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柳江区广播电视工作站</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柳江区广播电视工作站2025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单位预算收支增减变化情况说明</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单位预算收入总体情况说明</w:t>
      </w:r>
    </w:p>
    <w:p>
      <w:pPr>
        <w:keepNext w:val="0"/>
        <w:keepLines w:val="0"/>
        <w:pageBreakBefore w:val="0"/>
        <w:widowControl w:val="0"/>
        <w:numPr>
          <w:ilvl w:val="0"/>
          <w:numId w:val="1"/>
        </w:numPr>
        <w:tabs>
          <w:tab w:val="center" w:pos="4475"/>
        </w:tabs>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单位预算支出总体情况说明</w:t>
      </w:r>
    </w:p>
    <w:p>
      <w:pPr>
        <w:keepNext w:val="0"/>
        <w:keepLines w:val="0"/>
        <w:pageBreakBefore w:val="0"/>
        <w:widowControl w:val="0"/>
        <w:numPr>
          <w:ilvl w:val="0"/>
          <w:numId w:val="0"/>
        </w:numPr>
        <w:tabs>
          <w:tab w:val="center" w:pos="4475"/>
        </w:tabs>
        <w:kinsoku/>
        <w:wordWrap/>
        <w:overflowPunct/>
        <w:topLinePunct w:val="0"/>
        <w:autoSpaceDE/>
        <w:autoSpaceDN/>
        <w:bidi w:val="0"/>
        <w:spacing w:line="560" w:lineRule="exact"/>
        <w:ind w:leftChars="200"/>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五、国有资本经营预算支出情况说明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七、机关运行经费安排情况说明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Cs w:val="32"/>
          <w:highlight w:val="none"/>
          <w:lang w:eastAsia="zh-CN"/>
        </w:rPr>
        <w:t>八、政府采购预算安排情况说明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九、国有资产占用情况说明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柳江区广播电视工作站2025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numPr>
          <w:ilvl w:val="0"/>
          <w:numId w:val="2"/>
        </w:numPr>
        <w:spacing w:line="460" w:lineRule="exact"/>
        <w:ind w:firstLine="800" w:firstLineChars="250"/>
        <w:rPr>
          <w:rFonts w:hint="eastAsia" w:ascii="黑体" w:eastAsia="黑体"/>
          <w:sz w:val="32"/>
          <w:szCs w:val="32"/>
          <w:highlight w:val="none"/>
        </w:rPr>
      </w:pPr>
      <w:r>
        <w:rPr>
          <w:rFonts w:hint="eastAsia" w:ascii="黑体" w:eastAsia="黑体"/>
          <w:sz w:val="32"/>
          <w:szCs w:val="32"/>
          <w:highlight w:val="none"/>
        </w:rPr>
        <w:t>单位职责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贯彻执行国家广播电视法律、法规，协助拟订全区广播电视事业发展的目标与规划并组织实施；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负责全区卫星电视接收设施和境外卫星电视节目落地与接收的社会管理工作，组织查处上述业务的违规行为；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指导全区网络视听节目服务的发展和宣传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对信息网络和公共载体传播的视听节目进行监测；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指导全区网络视听节目监管体系建设，组织查处非法开展网络视听节目服务行为；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协助拟订全区广播电视传输覆盖网和监督监管网的规划，推进广播电视有线、无线、卫星等传输服务体系建设；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jc w:val="both"/>
        <w:textAlignment w:val="auto"/>
        <w:outlineLvl w:val="9"/>
        <w:rPr>
          <w:rFonts w:hint="eastAsia" w:ascii="黑体" w:eastAsia="黑体"/>
          <w:sz w:val="32"/>
          <w:szCs w:val="32"/>
          <w:highlight w:val="none"/>
        </w:rPr>
      </w:pPr>
      <w:r>
        <w:rPr>
          <w:rFonts w:hint="eastAsia" w:ascii="仿宋" w:hAnsi="仿宋" w:eastAsia="仿宋" w:cs="仿宋"/>
          <w:sz w:val="32"/>
          <w:szCs w:val="32"/>
          <w:lang w:val="en-US" w:eastAsia="zh-CN"/>
        </w:rPr>
        <w:t>7.</w:t>
      </w:r>
      <w:r>
        <w:rPr>
          <w:rFonts w:hint="eastAsia" w:ascii="仿宋" w:hAnsi="仿宋" w:eastAsia="仿宋" w:cs="仿宋"/>
          <w:sz w:val="32"/>
          <w:szCs w:val="32"/>
        </w:rPr>
        <w:t>负责指导全区广播电视安全播出工作，指导、监测全区广播电视节目、网络视听节目、广播电视广告的内容和质量，指导全区广播电视有线、无线传输设施等重点单位安全保护工作。</w:t>
      </w:r>
    </w:p>
    <w:p>
      <w:pPr>
        <w:spacing w:line="460" w:lineRule="exact"/>
        <w:ind w:firstLine="800" w:firstLineChars="250"/>
        <w:rPr>
          <w:rFonts w:hint="eastAsia" w:ascii="黑体" w:eastAsia="黑体"/>
          <w:sz w:val="32"/>
          <w:szCs w:val="32"/>
          <w:highlight w:val="none"/>
        </w:rPr>
      </w:pPr>
      <w:r>
        <w:rPr>
          <w:rFonts w:hint="eastAsia" w:ascii="黑体" w:eastAsia="黑体"/>
          <w:sz w:val="32"/>
          <w:szCs w:val="32"/>
          <w:highlight w:val="none"/>
        </w:rPr>
        <w:t>二、机构设置、编制现状、人员构成情况</w:t>
      </w:r>
    </w:p>
    <w:p>
      <w:pPr>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1．编制情况</w:t>
      </w:r>
    </w:p>
    <w:p>
      <w:pPr>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经柳江区机构编制委员会办公室核定，我</w:t>
      </w:r>
      <w:r>
        <w:rPr>
          <w:rFonts w:hint="eastAsia" w:ascii="仿宋_GB2312" w:hAnsi="仿宋_GB2312" w:eastAsia="仿宋_GB2312" w:cs="仿宋_GB2312"/>
          <w:color w:val="auto"/>
          <w:sz w:val="32"/>
          <w:szCs w:val="32"/>
          <w:lang w:eastAsia="zh-CN"/>
        </w:rPr>
        <w:t>站</w:t>
      </w:r>
      <w:r>
        <w:rPr>
          <w:rFonts w:hint="eastAsia" w:ascii="仿宋_GB2312" w:hAnsi="仿宋_GB2312" w:eastAsia="仿宋_GB2312" w:cs="仿宋_GB2312"/>
          <w:color w:val="auto"/>
          <w:sz w:val="32"/>
          <w:szCs w:val="32"/>
        </w:rPr>
        <w:t>事业单位编制</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名，其中，全额事业单位编制</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p>
    <w:p>
      <w:pPr>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2．人员构成情况</w:t>
      </w:r>
    </w:p>
    <w:p>
      <w:pPr>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站</w:t>
      </w:r>
      <w:r>
        <w:rPr>
          <w:rFonts w:hint="eastAsia" w:ascii="仿宋_GB2312" w:hAnsi="仿宋_GB2312" w:eastAsia="仿宋_GB2312" w:cs="仿宋_GB2312"/>
          <w:color w:val="auto"/>
          <w:sz w:val="32"/>
          <w:szCs w:val="32"/>
        </w:rPr>
        <w:t>实有人数</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w:t>
      </w:r>
      <w:r>
        <w:rPr>
          <w:rFonts w:hint="eastAsia" w:ascii="仿宋" w:hAnsi="仿宋" w:eastAsia="仿宋" w:cs="仿宋"/>
          <w:sz w:val="32"/>
          <w:szCs w:val="32"/>
          <w:highlight w:val="none"/>
          <w:lang w:eastAsia="zh-CN"/>
        </w:rPr>
        <w:t>同比减少</w:t>
      </w:r>
      <w:r>
        <w:rPr>
          <w:rFonts w:hint="eastAsia" w:ascii="仿宋" w:hAnsi="仿宋" w:eastAsia="仿宋" w:cs="仿宋"/>
          <w:sz w:val="32"/>
          <w:szCs w:val="32"/>
          <w:highlight w:val="none"/>
          <w:lang w:val="en-US" w:eastAsia="zh-CN"/>
        </w:rPr>
        <w:t>1人，同比下降25%，</w:t>
      </w:r>
      <w:r>
        <w:rPr>
          <w:rFonts w:hint="eastAsia" w:ascii="仿宋_GB2312" w:hAnsi="仿宋_GB2312" w:eastAsia="仿宋_GB2312" w:cs="仿宋_GB2312"/>
          <w:color w:val="auto"/>
          <w:sz w:val="32"/>
          <w:szCs w:val="32"/>
        </w:rPr>
        <w:t>其中，编制内实有人数</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人（全额事业单位编制</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名），占100%。</w:t>
      </w:r>
    </w:p>
    <w:p>
      <w:pPr>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事业编制内在职人员</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人中，科级以上</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人；其他人员</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各类专业技术人员</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人，占事业人员</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退休人员</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人。</w:t>
      </w:r>
    </w:p>
    <w:p>
      <w:pPr>
        <w:spacing w:line="460" w:lineRule="exact"/>
        <w:ind w:firstLine="800" w:firstLineChars="250"/>
        <w:rPr>
          <w:rFonts w:hint="eastAsia" w:ascii="黑体" w:eastAsia="黑体"/>
          <w:sz w:val="32"/>
          <w:szCs w:val="32"/>
          <w:highlight w:val="none"/>
        </w:rPr>
      </w:pPr>
    </w:p>
    <w:p>
      <w:pPr>
        <w:numPr>
          <w:ilvl w:val="0"/>
          <w:numId w:val="0"/>
        </w:numPr>
        <w:spacing w:line="460" w:lineRule="exact"/>
        <w:ind w:firstLine="640" w:firstLineChars="200"/>
        <w:rPr>
          <w:rFonts w:hint="eastAsia"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年度主要工作任务等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负责全区卫星电视接收设施和境外卫星电视节目落地与接收的社会管理工作，组织查处上述业务的违规行为；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对信息网络和公共载体传播的视听节目进行监测；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指导全区网络视听节目监管体系建设，组织查处非法开展网络视听节目服务行为；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推进广播电视有线、无线、卫星等传输服务体系建设；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指导、监测全区广播电视节目、网络视听节目、广播电视广告的内容和质量，指导全区广播电视有线、无线传输设施等重点单位安全保护工作；</w:t>
      </w:r>
    </w:p>
    <w:p>
      <w:pPr>
        <w:tabs>
          <w:tab w:val="center" w:pos="4475"/>
        </w:tabs>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推进应急广播体系建设工作，并负责运行和维护。</w:t>
      </w:r>
    </w:p>
    <w:p>
      <w:pPr>
        <w:tabs>
          <w:tab w:val="center" w:pos="4475"/>
        </w:tabs>
        <w:spacing w:line="560" w:lineRule="exact"/>
        <w:ind w:firstLine="645"/>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rPr>
      </w:pP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柳江区广播电视工作站</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一、</w:t>
      </w:r>
      <w:r>
        <w:rPr>
          <w:rFonts w:hint="eastAsia" w:ascii="黑体" w:eastAsia="黑体"/>
          <w:szCs w:val="32"/>
          <w:lang w:eastAsia="zh-CN"/>
        </w:rPr>
        <w:t>单位预算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41.69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41.69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14.35</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25.61%，主要原因是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14.35</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25.61%，主要原因一是</w:t>
      </w:r>
      <w:r>
        <w:rPr>
          <w:rFonts w:hint="eastAsia" w:ascii="仿宋_GB2312"/>
          <w:szCs w:val="32"/>
          <w:lang w:eastAsia="zh-CN"/>
        </w:rPr>
        <w:t>经济下行，财政资金紧张，严格控制项目资金预算；二是</w:t>
      </w:r>
      <w:r>
        <w:rPr>
          <w:rFonts w:hint="eastAsia" w:ascii="仿宋_GB2312"/>
          <w:szCs w:val="32"/>
          <w:lang w:val="en-US" w:eastAsia="zh-CN"/>
        </w:rPr>
        <w:t>2024年我单位有一人调出</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41.69</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较上年减少</w:t>
      </w:r>
      <w:r>
        <w:rPr>
          <w:rFonts w:hint="eastAsia" w:ascii="仿宋_GB2312"/>
          <w:sz w:val="32"/>
          <w:szCs w:val="32"/>
          <w:lang w:val="en-US" w:eastAsia="zh-CN"/>
        </w:rPr>
        <w:t>14.35</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25.61%，主要原因是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。单位收入主要包括：</w:t>
      </w:r>
      <w:r>
        <w:rPr>
          <w:rFonts w:hint="eastAsia" w:ascii="仿宋_GB2312" w:hAnsi="宋体"/>
          <w:szCs w:val="32"/>
          <w:lang w:val="en-US" w:eastAsia="zh-CN"/>
        </w:rPr>
        <w:t>一般公共预算拨款41.69万元，占总收入的100%</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三、</w:t>
      </w:r>
      <w:r>
        <w:rPr>
          <w:rFonts w:hint="eastAsia" w:ascii="黑体" w:eastAsia="黑体"/>
          <w:szCs w:val="32"/>
          <w:lang w:eastAsia="zh-CN"/>
        </w:rPr>
        <w:t>单位预算</w:t>
      </w:r>
      <w:r>
        <w:rPr>
          <w:rFonts w:hint="eastAsia" w:ascii="黑体" w:eastAsia="黑体"/>
          <w:szCs w:val="32"/>
        </w:rPr>
        <w:t>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41.69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14.35</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25.61%，主要原因是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。单位支出主要包括：1.文化旅游体育与传媒支出29.88万元，占总支出的71.68%；2.社会保障和就业支出7.23万元，占总支出的17.35%；3.卫生健康支出1.82万元，占总支出的4.36%；4.住房保障支出2.76万元，占总支出的6.62%</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政府性基金预算支出</w:t>
      </w:r>
      <w:r>
        <w:rPr>
          <w:rFonts w:hint="eastAsia" w:ascii="仿宋_GB2312"/>
          <w:szCs w:val="32"/>
          <w:lang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0.07</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0.05</w:t>
      </w:r>
      <w:r>
        <w:rPr>
          <w:rFonts w:hint="eastAsia" w:ascii="仿宋_GB2312"/>
          <w:bCs/>
        </w:rPr>
        <w:t>万元，下降</w:t>
      </w:r>
      <w:r>
        <w:rPr>
          <w:rFonts w:hint="eastAsia" w:ascii="仿宋_GB2312"/>
          <w:bCs/>
          <w:lang w:val="en-US" w:eastAsia="zh-CN"/>
        </w:rPr>
        <w:t>41.67</w:t>
      </w:r>
      <w:r>
        <w:rPr>
          <w:rFonts w:hint="eastAsia" w:ascii="仿宋_GB2312"/>
          <w:bCs/>
        </w:rPr>
        <w:t>%，具体如下：</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0.07</w:t>
      </w:r>
      <w:r>
        <w:rPr>
          <w:rFonts w:hint="eastAsia" w:ascii="仿宋_GB2312" w:hAnsi="宋体"/>
          <w:szCs w:val="32"/>
        </w:rPr>
        <w:t>万元，比上年减少</w:t>
      </w:r>
      <w:r>
        <w:rPr>
          <w:rFonts w:hint="eastAsia" w:ascii="仿宋_GB2312" w:hAnsi="宋体"/>
          <w:szCs w:val="32"/>
          <w:lang w:val="en-US" w:eastAsia="zh-CN"/>
        </w:rPr>
        <w:t>0.05</w:t>
      </w:r>
      <w:r>
        <w:rPr>
          <w:rFonts w:hint="eastAsia" w:ascii="仿宋_GB2312" w:hAnsi="宋体"/>
          <w:szCs w:val="32"/>
        </w:rPr>
        <w:t>万元，下降</w:t>
      </w:r>
      <w:r>
        <w:rPr>
          <w:rFonts w:hint="eastAsia" w:ascii="仿宋_GB2312" w:hAnsi="宋体"/>
          <w:szCs w:val="32"/>
          <w:lang w:val="en-US" w:eastAsia="zh-CN"/>
        </w:rPr>
        <w:t>41.67</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经济下行，财政资金紧张，严格控制预算资金</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七、</w:t>
      </w:r>
      <w:r>
        <w:rPr>
          <w:rFonts w:hint="eastAsia" w:ascii="黑体" w:hAnsi="黑体" w:eastAsia="黑体" w:cs="黑体"/>
          <w:szCs w:val="32"/>
        </w:rPr>
        <w:t>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我单位运行经费主要包括</w:t>
      </w:r>
      <w:r>
        <w:rPr>
          <w:rFonts w:hint="eastAsia" w:ascii="仿宋_GB2312" w:hAnsi="宋体" w:cs="Times New Roman"/>
          <w:szCs w:val="32"/>
          <w:highlight w:val="none"/>
          <w:lang w:val="en-US" w:eastAsia="zh-CN"/>
        </w:rPr>
        <w:t>办公费、邮电费、差旅费、</w:t>
      </w:r>
      <w:r>
        <w:rPr>
          <w:rFonts w:hint="eastAsia" w:ascii="仿宋_GB2312" w:hAnsi="宋体" w:cs="Times New Roman"/>
          <w:szCs w:val="32"/>
          <w:highlight w:val="none"/>
          <w:u w:val="none"/>
          <w:lang w:val="en-US" w:eastAsia="zh-CN"/>
        </w:rPr>
        <w:t>会议</w:t>
      </w:r>
      <w:r>
        <w:rPr>
          <w:rFonts w:hint="eastAsia" w:ascii="仿宋_GB2312" w:hAnsi="宋体"/>
          <w:szCs w:val="32"/>
          <w:highlight w:val="none"/>
          <w:u w:val="none"/>
        </w:rPr>
        <w:t>费、福利费、日常维修费以及其他费用</w:t>
      </w:r>
      <w:r>
        <w:rPr>
          <w:rFonts w:hint="eastAsia" w:ascii="仿宋_GB2312" w:hAnsi="宋体" w:cs="Times New Roman"/>
          <w:szCs w:val="32"/>
          <w:highlight w:val="none"/>
          <w:u w:val="none"/>
          <w:lang w:val="en-US" w:eastAsia="zh-CN"/>
        </w:rPr>
        <w:t>。</w:t>
      </w:r>
      <w:r>
        <w:rPr>
          <w:rFonts w:hint="eastAsia" w:ascii="仿宋_GB2312" w:hAnsi="宋体" w:cs="Times New Roman"/>
          <w:szCs w:val="32"/>
          <w:highlight w:val="none"/>
          <w:u w:val="none"/>
          <w:lang w:eastAsia="zh-CN"/>
        </w:rPr>
        <w:t>我单位</w:t>
      </w:r>
      <w:r>
        <w:rPr>
          <w:rFonts w:hint="eastAsia" w:ascii="仿宋_GB2312" w:hAnsi="宋体" w:cs="Times New Roman"/>
          <w:szCs w:val="32"/>
          <w:highlight w:val="none"/>
          <w:u w:val="none"/>
          <w:lang w:val="en-US" w:eastAsia="zh-CN"/>
        </w:rPr>
        <w:t>2025年运行经费预算4.49万</w:t>
      </w:r>
      <w:r>
        <w:rPr>
          <w:rFonts w:hint="eastAsia" w:ascii="仿宋_GB2312" w:hAnsi="宋体" w:cs="Times New Roman"/>
          <w:szCs w:val="32"/>
          <w:highlight w:val="none"/>
          <w:lang w:val="en-US" w:eastAsia="zh-CN"/>
        </w:rPr>
        <w:t>元，较上年减少1.82</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28.84%，减少的主要原因是</w:t>
      </w:r>
      <w:r>
        <w:rPr>
          <w:rFonts w:hint="eastAsia" w:ascii="仿宋_GB2312" w:hAnsi="Arial" w:cs="Arial"/>
          <w:kern w:val="0"/>
          <w:lang w:eastAsia="zh-CN"/>
        </w:rPr>
        <w:t>经济下行，财政资金紧张，严格控制预算资金</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0.81</w:t>
      </w:r>
      <w:r>
        <w:rPr>
          <w:rFonts w:hint="eastAsia" w:ascii="仿宋_GB2312" w:eastAsia="仿宋_GB2312"/>
          <w:sz w:val="32"/>
          <w:szCs w:val="32"/>
          <w:lang w:val="en-US" w:eastAsia="zh-CN"/>
        </w:rPr>
        <w:t>万元</w:t>
      </w:r>
      <w:bookmarkStart w:id="0" w:name="_GoBack"/>
      <w:bookmarkEnd w:id="0"/>
      <w:r>
        <w:rPr>
          <w:rFonts w:hint="eastAsia" w:ascii="仿宋_GB2312" w:eastAsia="仿宋_GB2312"/>
          <w:sz w:val="32"/>
          <w:szCs w:val="32"/>
          <w:lang w:val="en-US" w:eastAsia="zh-CN"/>
        </w:rPr>
        <w:t>；</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（二）重点项目预算绩效目标说明。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广播电视公共服务工作经费</w:t>
            </w:r>
          </w:p>
        </w:tc>
        <w:tc>
          <w:tcPr>
            <w:tcW w:w="2841" w:type="dxa"/>
            <w:vAlign w:val="center"/>
          </w:tcPr>
          <w:p>
            <w:pPr>
              <w:tabs>
                <w:tab w:val="center" w:pos="4475"/>
              </w:tabs>
              <w:spacing w:line="560" w:lineRule="exact"/>
              <w:jc w:val="center"/>
              <w:rPr>
                <w:rFonts w:hint="eastAsia"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0.81</w:t>
            </w:r>
          </w:p>
        </w:tc>
        <w:tc>
          <w:tcPr>
            <w:tcW w:w="2841" w:type="dxa"/>
            <w:vAlign w:val="top"/>
          </w:tcPr>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绩效目标：</w:t>
            </w:r>
            <w:r>
              <w:rPr>
                <w:rFonts w:hint="eastAsia" w:ascii="仿宋_GB2312" w:hAnsi="仿宋_GB2312" w:eastAsia="仿宋_GB2312" w:cs="仿宋_GB2312"/>
                <w:b w:val="0"/>
                <w:bCs w:val="0"/>
                <w:sz w:val="28"/>
                <w:szCs w:val="28"/>
              </w:rPr>
              <w:t>开展卫星广播电视地面接收设施的社会管理和广播电视设施保护管理工作；监测全区广播电视节目传输播出质量，协助做好广播电视安全播出工作；监督、检查、指导全区应急广播系统设施的运行和维护。</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条数量指标：</w:t>
            </w:r>
            <w:r>
              <w:rPr>
                <w:rFonts w:hint="eastAsia" w:ascii="仿宋_GB2312" w:hAnsi="宋体"/>
                <w:szCs w:val="32"/>
                <w:lang w:eastAsia="zh-CN"/>
              </w:rPr>
              <w:t>完成业务工作数</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条质量指标：</w:t>
            </w:r>
            <w:r>
              <w:rPr>
                <w:rFonts w:hint="eastAsia" w:ascii="仿宋_GB2312" w:hAnsi="宋体"/>
                <w:szCs w:val="32"/>
                <w:lang w:eastAsia="zh-CN"/>
              </w:rPr>
              <w:t>业务工作完成率</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条时效指标：</w:t>
            </w:r>
            <w:r>
              <w:rPr>
                <w:rFonts w:hint="eastAsia" w:ascii="仿宋_GB2312" w:hAnsi="宋体"/>
                <w:szCs w:val="32"/>
                <w:lang w:eastAsia="zh-CN"/>
              </w:rPr>
              <w:t>业务完成时间</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条成本指标：</w:t>
            </w:r>
            <w:r>
              <w:rPr>
                <w:rFonts w:hint="eastAsia" w:ascii="仿宋_GB2312" w:hAnsi="宋体"/>
                <w:szCs w:val="32"/>
                <w:lang w:eastAsia="zh-CN"/>
              </w:rPr>
              <w:t>业务成本</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none"/>
              </w:rPr>
              <w:t>设</w:t>
            </w:r>
            <w:r>
              <w:rPr>
                <w:rFonts w:hint="eastAsia" w:ascii="仿宋_GB2312" w:hAnsi="仿宋_GB2312" w:eastAsia="仿宋_GB2312" w:cs="仿宋_GB2312"/>
                <w:b w:val="0"/>
                <w:bCs w:val="0"/>
                <w:sz w:val="28"/>
                <w:szCs w:val="28"/>
                <w:u w:val="none"/>
                <w:lang w:val="en-US" w:eastAsia="zh-CN"/>
              </w:rPr>
              <w:t>1</w:t>
            </w:r>
            <w:r>
              <w:rPr>
                <w:rFonts w:hint="eastAsia" w:ascii="仿宋_GB2312" w:hAnsi="仿宋_GB2312" w:eastAsia="仿宋_GB2312" w:cs="仿宋_GB2312"/>
                <w:b w:val="0"/>
                <w:bCs w:val="0"/>
                <w:sz w:val="28"/>
                <w:szCs w:val="28"/>
                <w:u w:val="none"/>
              </w:rPr>
              <w:t>条社会效益指标：</w:t>
            </w:r>
            <w:r>
              <w:rPr>
                <w:rFonts w:hint="eastAsia" w:ascii="仿宋_GB2312" w:hAnsi="宋体"/>
                <w:szCs w:val="32"/>
                <w:u w:val="none"/>
              </w:rPr>
              <w:t>做好广播电视各</w:t>
            </w:r>
            <w:r>
              <w:rPr>
                <w:rFonts w:hint="eastAsia" w:ascii="仿宋_GB2312" w:hAnsi="宋体"/>
                <w:szCs w:val="32"/>
              </w:rPr>
              <w:t>项工作，提升群众幸福感</w:t>
            </w:r>
            <w:r>
              <w:rPr>
                <w:rFonts w:hint="eastAsia" w:ascii="仿宋_GB2312" w:hAnsi="仿宋_GB2312" w:eastAsia="仿宋_GB2312" w:cs="仿宋_GB2312"/>
                <w:b w:val="0"/>
                <w:bCs w:val="0"/>
                <w:sz w:val="28"/>
                <w:szCs w:val="28"/>
              </w:rPr>
              <w:t>；</w:t>
            </w:r>
          </w:p>
          <w:p>
            <w:pPr>
              <w:pStyle w:val="2"/>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条满意度指标：</w:t>
            </w:r>
            <w:r>
              <w:rPr>
                <w:rFonts w:hint="eastAsia" w:ascii="仿宋_GB2312" w:hAnsi="仿宋_GB2312" w:eastAsia="仿宋_GB2312" w:cs="仿宋_GB2312"/>
                <w:b w:val="0"/>
                <w:bCs w:val="0"/>
                <w:sz w:val="28"/>
                <w:szCs w:val="28"/>
                <w:lang w:eastAsia="zh-CN"/>
              </w:rPr>
              <w:t>群众满意度</w:t>
            </w:r>
            <w:r>
              <w:rPr>
                <w:rFonts w:hint="eastAsia" w:ascii="仿宋_GB2312" w:hAnsi="仿宋_GB2312" w:eastAsia="仿宋_GB2312" w:cs="仿宋_GB2312"/>
                <w:b w:val="0"/>
                <w:bCs w:val="0"/>
                <w:sz w:val="28"/>
                <w:szCs w:val="28"/>
              </w:rPr>
              <w:t>。</w:t>
            </w:r>
          </w:p>
        </w:tc>
      </w:tr>
    </w:tbl>
    <w:p>
      <w:pPr>
        <w:tabs>
          <w:tab w:val="center" w:pos="4475"/>
        </w:tabs>
        <w:spacing w:line="560" w:lineRule="exact"/>
        <w:ind w:firstLine="0"/>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2．文化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val="en-US" w:eastAsia="zh-CN"/>
        </w:rPr>
        <w:t>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第四部分：柳江区广播电视工作站2025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1CE12"/>
    <w:multiLevelType w:val="singleLevel"/>
    <w:tmpl w:val="4CF1CE12"/>
    <w:lvl w:ilvl="0" w:tentative="0">
      <w:start w:val="1"/>
      <w:numFmt w:val="chineseCounting"/>
      <w:suff w:val="nothing"/>
      <w:lvlText w:val="%1、"/>
      <w:lvlJc w:val="left"/>
      <w:rPr>
        <w:rFonts w:hint="eastAsia"/>
      </w:rPr>
    </w:lvl>
  </w:abstractNum>
  <w:abstractNum w:abstractNumId="1">
    <w:nsid w:val="5D51EAEF"/>
    <w:multiLevelType w:val="singleLevel"/>
    <w:tmpl w:val="5D51EAE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168C2"/>
    <w:rsid w:val="0C977ED8"/>
    <w:rsid w:val="0DAB4844"/>
    <w:rsid w:val="19475D2D"/>
    <w:rsid w:val="1AE058BC"/>
    <w:rsid w:val="2060146E"/>
    <w:rsid w:val="21690C6D"/>
    <w:rsid w:val="21A31E73"/>
    <w:rsid w:val="21CF00F5"/>
    <w:rsid w:val="28737EFF"/>
    <w:rsid w:val="30713D89"/>
    <w:rsid w:val="37DA1981"/>
    <w:rsid w:val="3C1F4142"/>
    <w:rsid w:val="463F3317"/>
    <w:rsid w:val="4C945566"/>
    <w:rsid w:val="4FD364FB"/>
    <w:rsid w:val="5493205E"/>
    <w:rsid w:val="5D0E3293"/>
    <w:rsid w:val="62FB621B"/>
    <w:rsid w:val="634B487A"/>
    <w:rsid w:val="6CBE6465"/>
    <w:rsid w:val="6DAE2E3A"/>
    <w:rsid w:val="71170081"/>
    <w:rsid w:val="743A40F2"/>
    <w:rsid w:val="75785BB8"/>
    <w:rsid w:val="77E14533"/>
    <w:rsid w:val="7C4E0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2"/>
    <w:basedOn w:val="1"/>
    <w:qFormat/>
    <w:uiPriority w:val="99"/>
    <w:pPr>
      <w:ind w:firstLine="420" w:firstLineChars="200"/>
    </w:pPr>
    <w:rPr>
      <w:rFonts w:ascii="Calibri" w:hAnsi="Calibri" w:cs="Calibri"/>
      <w:szCs w:val="21"/>
    </w:rPr>
  </w:style>
  <w:style w:type="paragraph" w:customStyle="1" w:styleId="13">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2875</Words>
  <Characters>3075</Characters>
  <Lines>0</Lines>
  <Paragraphs>0</Paragraphs>
  <TotalTime>1</TotalTime>
  <ScaleCrop>false</ScaleCrop>
  <LinksUpToDate>false</LinksUpToDate>
  <CharactersWithSpaces>3166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2025-02-13T08:58:00Z</cp:lastPrinted>
  <dcterms:modified xsi:type="dcterms:W3CDTF">2025-02-13T11:32:14Z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08986AA8434D413E88C0F0948F9C9C02_13</vt:lpwstr>
  </property>
</Properties>
</file>