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柳州市柳江区社会保险事业管理中心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一）贯彻执行国家、自治区和市制定的养老保险（包括机关事业单位养老保险、企业职工基本养老保险、城乡居民基本养老保险）、工伤保险、失业保险、职业年金（以下简称“三险一金”）法律、法规、规章和政策规定；</w:t>
      </w:r>
    </w:p>
    <w:p>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（二）负责全区“三险一金”业务经办和服务管理工作；</w:t>
      </w:r>
    </w:p>
    <w:p>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（三）会同有关部门建立对“三险一金”基金的管理、稽核、风控等机制并组织实施；</w:t>
      </w:r>
    </w:p>
    <w:p>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（四）负责“三险一金”基金预决算草案的编制和基金预决算的执行工作；</w:t>
      </w:r>
    </w:p>
    <w:p>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（五）负责“三险一金”有关信息与统计数据的采集、整理、分析、管理等工作；</w:t>
      </w:r>
    </w:p>
    <w:p>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（六）指导各镇、委托代办机构开展“三险一金”经办工作：</w:t>
      </w:r>
    </w:p>
    <w:p>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（七）负责本区被征地农民参加养老保险和养老保障生活补助基金的参保、审核、发放等工作；负责社会保障卡的制作、发放和管理工作；</w:t>
      </w:r>
    </w:p>
    <w:p>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（八）负责对“三险一金”参保资料的整理、归档及管理；负责本区“三险一金”业务网络系统的组织、运行、安装、升级、维护；</w:t>
      </w:r>
    </w:p>
    <w:p>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（九）完成区委、区人民政府、区人力资源和社会保障局交办的其他任务。</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eastAsia="仿宋_GB2312" w:cs="仿宋_GB2312"/>
          <w:sz w:val="32"/>
          <w:szCs w:val="32"/>
          <w:highlight w:val="none"/>
        </w:rPr>
      </w:pPr>
      <w:r>
        <w:rPr>
          <w:rFonts w:hint="eastAsia" w:ascii="仿宋" w:hAnsi="仿宋" w:eastAsia="仿宋" w:cs="仿宋"/>
          <w:sz w:val="32"/>
          <w:szCs w:val="32"/>
          <w:highlight w:val="none"/>
          <w:lang w:eastAsia="zh-CN"/>
        </w:rPr>
        <w:t>柳州市柳江区社会保险事业管理中心</w:t>
      </w:r>
      <w:r>
        <w:rPr>
          <w:rFonts w:hint="eastAsia" w:ascii="仿宋_GB2312" w:eastAsia="仿宋_GB2312" w:cs="仿宋_GB2312"/>
          <w:sz w:val="32"/>
          <w:szCs w:val="32"/>
          <w:highlight w:val="none"/>
        </w:rPr>
        <w:t>为柳州市柳江区人力资源和社会保障局下属财政全额拨款事业单位，</w:t>
      </w:r>
      <w:r>
        <w:rPr>
          <w:rFonts w:hint="eastAsia" w:ascii="仿宋_GB2312" w:cs="仿宋_GB2312"/>
          <w:sz w:val="32"/>
          <w:szCs w:val="32"/>
          <w:highlight w:val="none"/>
          <w:lang w:eastAsia="zh-CN"/>
        </w:rPr>
        <w:t>参照公务员管理，</w:t>
      </w:r>
      <w:r>
        <w:rPr>
          <w:rFonts w:hint="eastAsia" w:ascii="仿宋_GB2312" w:eastAsia="仿宋_GB2312" w:cs="仿宋_GB2312"/>
          <w:sz w:val="32"/>
          <w:szCs w:val="32"/>
          <w:highlight w:val="none"/>
        </w:rPr>
        <w:t>副科级机构规格</w:t>
      </w:r>
      <w:r>
        <w:rPr>
          <w:rFonts w:hint="eastAsia" w:ascii="仿宋_GB2312" w:cs="仿宋_GB2312"/>
          <w:sz w:val="32"/>
          <w:szCs w:val="32"/>
          <w:highlight w:val="none"/>
          <w:lang w:eastAsia="zh-CN"/>
        </w:rPr>
        <w:t>，实行政府会计准则制度。</w:t>
      </w:r>
      <w:r>
        <w:rPr>
          <w:rFonts w:hint="eastAsia" w:ascii="仿宋_GB2312" w:eastAsia="仿宋_GB2312" w:cs="仿宋_GB2312"/>
          <w:sz w:val="32"/>
          <w:szCs w:val="32"/>
          <w:highlight w:val="none"/>
        </w:rPr>
        <w:t>现</w:t>
      </w:r>
      <w:r>
        <w:rPr>
          <w:rFonts w:hint="eastAsia" w:ascii="仿宋_GB2312" w:cs="仿宋_GB2312"/>
          <w:sz w:val="32"/>
          <w:szCs w:val="32"/>
          <w:highlight w:val="none"/>
          <w:lang w:eastAsia="zh-CN"/>
        </w:rPr>
        <w:t>有全额参公编制人员</w:t>
      </w:r>
      <w:r>
        <w:rPr>
          <w:rFonts w:hint="eastAsia" w:ascii="仿宋_GB2312" w:eastAsia="仿宋_GB2312" w:cs="仿宋_GB2312"/>
          <w:sz w:val="32"/>
          <w:szCs w:val="32"/>
          <w:highlight w:val="none"/>
          <w:lang w:val="en-US" w:eastAsia="zh-CN"/>
        </w:rPr>
        <w:t>4</w:t>
      </w:r>
      <w:r>
        <w:rPr>
          <w:rFonts w:hint="eastAsia" w:ascii="仿宋_GB2312" w:cs="仿宋_GB2312"/>
          <w:sz w:val="32"/>
          <w:szCs w:val="32"/>
          <w:highlight w:val="none"/>
          <w:lang w:val="en-US" w:eastAsia="zh-CN"/>
        </w:rPr>
        <w:t>2</w:t>
      </w:r>
      <w:r>
        <w:rPr>
          <w:rFonts w:hint="eastAsia" w:ascii="仿宋_GB2312" w:eastAsia="仿宋_GB2312" w:cs="仿宋_GB2312"/>
          <w:sz w:val="32"/>
          <w:szCs w:val="32"/>
          <w:highlight w:val="none"/>
        </w:rPr>
        <w:t>人，</w:t>
      </w:r>
      <w:r>
        <w:rPr>
          <w:rFonts w:hint="eastAsia" w:ascii="仿宋_GB2312" w:cs="仿宋_GB2312"/>
          <w:sz w:val="32"/>
          <w:szCs w:val="32"/>
          <w:highlight w:val="none"/>
          <w:lang w:eastAsia="zh-CN"/>
        </w:rPr>
        <w:t>退休人员</w:t>
      </w:r>
      <w:r>
        <w:rPr>
          <w:rFonts w:hint="eastAsia" w:ascii="仿宋_GB2312" w:cs="仿宋_GB2312"/>
          <w:sz w:val="32"/>
          <w:szCs w:val="32"/>
          <w:highlight w:val="none"/>
          <w:lang w:val="en-US" w:eastAsia="zh-CN"/>
        </w:rPr>
        <w:t>26人，非编人员17人（其中：政府外聘人员5人，公益性岗位人员12人）。</w:t>
      </w:r>
      <w:r>
        <w:rPr>
          <w:rFonts w:hint="eastAsia" w:ascii="仿宋_GB2312" w:eastAsia="仿宋_GB2312" w:cs="仿宋_GB2312"/>
          <w:sz w:val="32"/>
          <w:szCs w:val="32"/>
          <w:highlight w:val="none"/>
        </w:rPr>
        <w:t>内设有</w:t>
      </w:r>
      <w:r>
        <w:rPr>
          <w:rFonts w:hint="eastAsia" w:ascii="仿宋_GB2312" w:cs="仿宋_GB2312"/>
          <w:sz w:val="32"/>
          <w:szCs w:val="32"/>
          <w:highlight w:val="none"/>
          <w:lang w:eastAsia="zh-CN"/>
        </w:rPr>
        <w:t>中心主任、中心副主任、</w:t>
      </w:r>
      <w:r>
        <w:rPr>
          <w:rFonts w:hint="eastAsia" w:ascii="仿宋_GB2312" w:eastAsia="仿宋_GB2312" w:cs="仿宋_GB2312"/>
          <w:sz w:val="32"/>
          <w:szCs w:val="32"/>
          <w:highlight w:val="none"/>
        </w:rPr>
        <w:t>办公室、基金财务股、</w:t>
      </w:r>
      <w:r>
        <w:rPr>
          <w:rFonts w:hint="eastAsia" w:ascii="仿宋_GB2312" w:eastAsia="仿宋_GB2312" w:cs="仿宋_GB2312"/>
          <w:sz w:val="32"/>
          <w:szCs w:val="32"/>
          <w:highlight w:val="none"/>
          <w:lang w:eastAsia="zh-CN"/>
        </w:rPr>
        <w:t>参保管理股</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eastAsia="zh-CN"/>
        </w:rPr>
        <w:t>养老保险待遇股</w:t>
      </w:r>
      <w:r>
        <w:rPr>
          <w:rFonts w:hint="eastAsia" w:ascii="仿宋_GB2312" w:eastAsia="仿宋_GB2312" w:cs="仿宋_GB2312"/>
          <w:sz w:val="32"/>
          <w:szCs w:val="32"/>
          <w:highlight w:val="none"/>
        </w:rPr>
        <w:t>、城乡居民</w:t>
      </w:r>
      <w:r>
        <w:rPr>
          <w:rFonts w:hint="eastAsia" w:ascii="仿宋_GB2312" w:eastAsia="仿宋_GB2312" w:cs="仿宋_GB2312"/>
          <w:sz w:val="32"/>
          <w:szCs w:val="32"/>
          <w:highlight w:val="none"/>
          <w:lang w:eastAsia="zh-CN"/>
        </w:rPr>
        <w:t>养老保险</w:t>
      </w:r>
      <w:r>
        <w:rPr>
          <w:rFonts w:hint="eastAsia" w:ascii="仿宋_GB2312" w:eastAsia="仿宋_GB2312" w:cs="仿宋_GB2312"/>
          <w:sz w:val="32"/>
          <w:szCs w:val="32"/>
          <w:highlight w:val="none"/>
        </w:rPr>
        <w:t>股、失业及工伤保险待遇股</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审</w:t>
      </w:r>
      <w:r>
        <w:rPr>
          <w:rFonts w:hint="eastAsia" w:ascii="仿宋_GB2312" w:eastAsia="仿宋_GB2312" w:cs="仿宋_GB2312"/>
          <w:sz w:val="32"/>
          <w:szCs w:val="32"/>
          <w:highlight w:val="none"/>
          <w:lang w:eastAsia="zh-CN"/>
        </w:rPr>
        <w:t>核</w:t>
      </w:r>
      <w:r>
        <w:rPr>
          <w:rFonts w:hint="eastAsia" w:ascii="仿宋_GB2312" w:eastAsia="仿宋_GB2312" w:cs="仿宋_GB2312"/>
          <w:sz w:val="32"/>
          <w:szCs w:val="32"/>
          <w:highlight w:val="none"/>
        </w:rPr>
        <w:t>股、</w:t>
      </w:r>
      <w:r>
        <w:rPr>
          <w:rFonts w:hint="eastAsia" w:ascii="仿宋_GB2312" w:eastAsia="仿宋_GB2312" w:cs="仿宋_GB2312"/>
          <w:sz w:val="32"/>
          <w:szCs w:val="32"/>
          <w:highlight w:val="none"/>
          <w:lang w:eastAsia="zh-CN"/>
        </w:rPr>
        <w:t>稽核风控股、信息档案股</w:t>
      </w:r>
      <w:r>
        <w:rPr>
          <w:rFonts w:hint="eastAsia" w:ascii="仿宋_GB2312" w:eastAsia="仿宋_GB2312" w:cs="仿宋_GB2312"/>
          <w:sz w:val="32"/>
          <w:szCs w:val="32"/>
          <w:highlight w:val="none"/>
        </w:rPr>
        <w:t>等</w:t>
      </w:r>
      <w:r>
        <w:rPr>
          <w:rFonts w:hint="eastAsia" w:ascii="仿宋_GB2312" w:cs="仿宋_GB2312"/>
          <w:sz w:val="32"/>
          <w:szCs w:val="32"/>
          <w:highlight w:val="none"/>
          <w:lang w:val="en-US" w:eastAsia="zh-CN"/>
        </w:rPr>
        <w:t>部门</w:t>
      </w:r>
      <w:r>
        <w:rPr>
          <w:rFonts w:hint="eastAsia" w:ascii="仿宋_GB2312" w:eastAsia="仿宋_GB2312" w:cs="仿宋_GB2312"/>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eastAsia="仿宋_GB2312" w:cs="仿宋_GB2312"/>
          <w:sz w:val="32"/>
          <w:szCs w:val="32"/>
          <w:highlight w:val="none"/>
        </w:rPr>
      </w:pP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 w:val="32"/>
          <w:szCs w:val="32"/>
        </w:rPr>
        <w:t>柳州市柳江区社会保险事业管理中心202</w:t>
      </w:r>
      <w:r>
        <w:rPr>
          <w:rFonts w:hint="eastAsia" w:ascii="黑体" w:hAnsi="宋体" w:eastAsia="黑体"/>
          <w:sz w:val="32"/>
          <w:szCs w:val="32"/>
          <w:lang w:val="en-US" w:eastAsia="zh-CN"/>
        </w:rPr>
        <w:t>5</w:t>
      </w:r>
      <w:r>
        <w:rPr>
          <w:rFonts w:hint="eastAsia" w:ascii="黑体" w:hAnsi="宋体" w:eastAsia="黑体"/>
          <w:sz w:val="32"/>
          <w:szCs w:val="32"/>
        </w:rPr>
        <w:t>年</w:t>
      </w:r>
      <w:r>
        <w:rPr>
          <w:rFonts w:hint="eastAsia" w:ascii="黑体" w:eastAsia="黑体"/>
          <w:sz w:val="32"/>
          <w:szCs w:val="32"/>
        </w:rPr>
        <w:t>单位预算情况说明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1616.07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1616.07</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538.14</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25%，主要原因是</w:t>
      </w:r>
      <w:r>
        <w:rPr>
          <w:rFonts w:hint="eastAsia" w:ascii="仿宋_GB2312"/>
          <w:szCs w:val="32"/>
          <w:lang w:eastAsia="zh-CN"/>
        </w:rPr>
        <w:t>厉行勤俭节约，压缩项目支出预算的批复，以及预算年度在编人员减少，人员经费和公用经费相应减少</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25%，主要原因是</w:t>
      </w:r>
      <w:r>
        <w:rPr>
          <w:rFonts w:hint="eastAsia" w:ascii="仿宋_GB2312"/>
          <w:szCs w:val="32"/>
          <w:lang w:eastAsia="zh-CN"/>
        </w:rPr>
        <w:t>厉行勤俭节约，压缩项目支出预算的批复，以及预算年度在编人员减少，人员经费和公用经费相应减少</w:t>
      </w:r>
      <w:r>
        <w:rPr>
          <w:rFonts w:hint="eastAsia" w:ascii="仿宋_GB2312"/>
          <w:sz w:val="32"/>
          <w:szCs w:val="32"/>
          <w:lang w:val="en-US" w:eastAsia="zh-CN"/>
        </w:rPr>
        <w:t xml:space="preserve">。  </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left"/>
        <w:outlineLvl w:val="9"/>
        <w:rPr>
          <w:rFonts w:hint="eastAsia" w:ascii="仿宋_GB2312" w:eastAsia="仿宋_GB2312"/>
          <w:sz w:val="32"/>
          <w:szCs w:val="32"/>
          <w:highlight w:val="none"/>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1616.07</w:t>
      </w:r>
      <w:r>
        <w:rPr>
          <w:rFonts w:hint="eastAsia" w:ascii="仿宋_GB2312" w:eastAsia="仿宋_GB2312"/>
          <w:sz w:val="32"/>
          <w:szCs w:val="32"/>
          <w:highlight w:val="none"/>
        </w:rPr>
        <w:t>万元，同比</w:t>
      </w:r>
      <w:r>
        <w:rPr>
          <w:rFonts w:hint="eastAsia" w:ascii="仿宋_GB2312"/>
          <w:sz w:val="32"/>
          <w:szCs w:val="32"/>
          <w:lang w:eastAsia="zh-CN"/>
        </w:rPr>
        <w:t>较上年减少</w:t>
      </w:r>
      <w:r>
        <w:rPr>
          <w:rFonts w:hint="eastAsia" w:ascii="仿宋_GB2312"/>
          <w:sz w:val="32"/>
          <w:szCs w:val="32"/>
          <w:lang w:val="en-US" w:eastAsia="zh-CN"/>
        </w:rPr>
        <w:t>538.14</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25%</w:t>
      </w:r>
      <w:r>
        <w:rPr>
          <w:rFonts w:hint="eastAsia" w:ascii="仿宋_GB2312" w:eastAsia="仿宋_GB2312"/>
          <w:sz w:val="32"/>
          <w:szCs w:val="32"/>
          <w:highlight w:val="none"/>
        </w:rPr>
        <w:t>。</w:t>
      </w:r>
      <w:r>
        <w:rPr>
          <w:rFonts w:hint="eastAsia" w:ascii="仿宋_GB2312"/>
          <w:sz w:val="32"/>
          <w:szCs w:val="32"/>
          <w:lang w:val="en-US" w:eastAsia="zh-CN"/>
        </w:rPr>
        <w:t>主要原因是</w:t>
      </w:r>
      <w:r>
        <w:rPr>
          <w:rFonts w:hint="eastAsia" w:ascii="仿宋_GB2312"/>
          <w:szCs w:val="32"/>
          <w:lang w:eastAsia="zh-CN"/>
        </w:rPr>
        <w:t>厉行勤俭节约，压缩项目支出预算的批复，以及在编人员减少。</w:t>
      </w:r>
      <w:r>
        <w:rPr>
          <w:rFonts w:hint="eastAsia" w:ascii="仿宋_GB2312" w:eastAsia="仿宋_GB2312"/>
          <w:sz w:val="32"/>
          <w:szCs w:val="32"/>
          <w:highlight w:val="none"/>
        </w:rPr>
        <w:t>其中：</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left"/>
        <w:outlineLvl w:val="9"/>
        <w:rPr>
          <w:rFonts w:hint="eastAsia" w:ascii="仿宋_GB2312" w:eastAsia="仿宋_GB2312"/>
          <w:sz w:val="32"/>
          <w:szCs w:val="32"/>
          <w:highlight w:val="none"/>
        </w:rPr>
      </w:pPr>
      <w:r>
        <w:rPr>
          <w:rFonts w:hint="eastAsia" w:ascii="仿宋_GB2312" w:eastAsia="仿宋_GB2312"/>
          <w:sz w:val="32"/>
          <w:szCs w:val="32"/>
          <w:highlight w:val="none"/>
        </w:rPr>
        <w:t>1、一般公共预算拨款</w:t>
      </w:r>
      <w:r>
        <w:rPr>
          <w:rFonts w:hint="eastAsia" w:ascii="仿宋_GB2312"/>
          <w:sz w:val="32"/>
          <w:szCs w:val="32"/>
          <w:highlight w:val="none"/>
          <w:lang w:val="en-US" w:eastAsia="zh-CN"/>
        </w:rPr>
        <w:t>1587.72</w:t>
      </w:r>
      <w:r>
        <w:rPr>
          <w:rFonts w:hint="eastAsia" w:ascii="仿宋_GB2312" w:eastAsia="仿宋_GB2312"/>
          <w:sz w:val="32"/>
          <w:szCs w:val="32"/>
          <w:highlight w:val="none"/>
        </w:rPr>
        <w:t>万元，同比</w:t>
      </w:r>
      <w:r>
        <w:rPr>
          <w:rFonts w:hint="eastAsia" w:ascii="仿宋_GB2312"/>
          <w:sz w:val="32"/>
          <w:szCs w:val="32"/>
          <w:highlight w:val="none"/>
          <w:lang w:eastAsia="zh-CN"/>
        </w:rPr>
        <w:t>减少</w:t>
      </w:r>
      <w:r>
        <w:rPr>
          <w:rFonts w:hint="eastAsia" w:ascii="仿宋_GB2312"/>
          <w:sz w:val="32"/>
          <w:szCs w:val="32"/>
          <w:highlight w:val="none"/>
          <w:lang w:val="en-US" w:eastAsia="zh-CN"/>
        </w:rPr>
        <w:t>534.99</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25</w:t>
      </w:r>
      <w:r>
        <w:rPr>
          <w:rFonts w:hint="eastAsia" w:ascii="仿宋_GB2312" w:eastAsia="仿宋_GB2312"/>
          <w:sz w:val="32"/>
          <w:szCs w:val="32"/>
          <w:highlight w:val="none"/>
        </w:rPr>
        <w:t>%。</w:t>
      </w:r>
    </w:p>
    <w:p>
      <w:pPr>
        <w:keepNext w:val="0"/>
        <w:keepLines w:val="0"/>
        <w:pageBreakBefore w:val="0"/>
        <w:tabs>
          <w:tab w:val="center" w:pos="4475"/>
        </w:tabs>
        <w:kinsoku/>
        <w:wordWrap/>
        <w:overflowPunct/>
        <w:topLinePunct w:val="0"/>
        <w:autoSpaceDE/>
        <w:autoSpaceDN/>
        <w:bidi w:val="0"/>
        <w:adjustRightInd/>
        <w:snapToGrid/>
        <w:spacing w:line="500" w:lineRule="exact"/>
        <w:ind w:left="0" w:leftChars="0" w:right="0" w:rightChars="0" w:firstLine="645"/>
        <w:outlineLvl w:val="9"/>
        <w:rPr>
          <w:rFonts w:hint="eastAsia" w:ascii="黑体" w:eastAsia="黑体"/>
          <w:szCs w:val="32"/>
        </w:rPr>
      </w:pPr>
      <w:r>
        <w:rPr>
          <w:rFonts w:hint="eastAsia" w:ascii="仿宋_GB2312" w:eastAsia="仿宋_GB2312"/>
          <w:sz w:val="32"/>
          <w:szCs w:val="32"/>
          <w:highlight w:val="none"/>
        </w:rPr>
        <w:t>2、政府性基金拨款</w:t>
      </w:r>
      <w:r>
        <w:rPr>
          <w:rFonts w:hint="eastAsia" w:ascii="仿宋_GB2312"/>
          <w:sz w:val="32"/>
          <w:szCs w:val="32"/>
          <w:highlight w:val="none"/>
          <w:lang w:val="en-US" w:eastAsia="zh-CN"/>
        </w:rPr>
        <w:t>28.35</w:t>
      </w:r>
      <w:r>
        <w:rPr>
          <w:rFonts w:hint="eastAsia" w:ascii="仿宋_GB2312" w:eastAsia="仿宋_GB2312"/>
          <w:sz w:val="32"/>
          <w:szCs w:val="32"/>
          <w:highlight w:val="none"/>
        </w:rPr>
        <w:t>万元，同比</w:t>
      </w:r>
      <w:r>
        <w:rPr>
          <w:rFonts w:hint="eastAsia" w:ascii="仿宋_GB2312"/>
          <w:sz w:val="32"/>
          <w:szCs w:val="32"/>
          <w:highlight w:val="none"/>
          <w:lang w:eastAsia="zh-CN"/>
        </w:rPr>
        <w:t>减少</w:t>
      </w:r>
      <w:r>
        <w:rPr>
          <w:rFonts w:hint="eastAsia" w:ascii="仿宋_GB2312"/>
          <w:sz w:val="32"/>
          <w:szCs w:val="32"/>
          <w:highlight w:val="none"/>
          <w:lang w:val="en-US" w:eastAsia="zh-CN"/>
        </w:rPr>
        <w:t>3.15</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10</w:t>
      </w:r>
      <w:r>
        <w:rPr>
          <w:rFonts w:hint="eastAsia" w:ascii="仿宋_GB2312" w:eastAsia="仿宋_GB2312"/>
          <w:sz w:val="32"/>
          <w:szCs w:val="32"/>
          <w:highlight w:val="none"/>
        </w:rPr>
        <w:t>%。</w:t>
      </w:r>
    </w:p>
    <w:p>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pStyle w:val="6"/>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textAlignment w:val="auto"/>
        <w:outlineLvl w:val="9"/>
        <w:rPr>
          <w:rFonts w:hint="eastAsia" w:ascii="仿宋_GB2312"/>
          <w:sz w:val="32"/>
          <w:szCs w:val="32"/>
          <w:lang w:val="en-US" w:eastAsia="zh-CN"/>
        </w:rPr>
      </w:pPr>
      <w:r>
        <w:rPr>
          <w:rFonts w:hint="eastAsia" w:ascii="仿宋_GB2312"/>
          <w:sz w:val="32"/>
          <w:szCs w:val="32"/>
          <w:lang w:eastAsia="zh-CN"/>
        </w:rPr>
        <w:t>我单位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1616.07</w:t>
      </w:r>
      <w:r>
        <w:rPr>
          <w:rFonts w:hint="eastAsia" w:ascii="仿宋_GB2312" w:eastAsia="仿宋_GB2312"/>
          <w:sz w:val="32"/>
          <w:szCs w:val="32"/>
          <w:highlight w:val="none"/>
        </w:rPr>
        <w:t>万元，同比</w:t>
      </w:r>
      <w:r>
        <w:rPr>
          <w:rFonts w:hint="eastAsia" w:ascii="仿宋_GB2312"/>
          <w:sz w:val="32"/>
          <w:szCs w:val="32"/>
          <w:lang w:eastAsia="zh-CN"/>
        </w:rPr>
        <w:t>较上年减少</w:t>
      </w:r>
      <w:r>
        <w:rPr>
          <w:rFonts w:hint="eastAsia" w:ascii="仿宋_GB2312"/>
          <w:sz w:val="32"/>
          <w:szCs w:val="32"/>
          <w:lang w:val="en-US" w:eastAsia="zh-CN"/>
        </w:rPr>
        <w:t>538.14</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25%，主要原因是厉行勤俭节约，压缩项目支出预算的批复，以及预算年度在编人员减少，人员经费和公用经费相应减少。主要包括：</w:t>
      </w:r>
    </w:p>
    <w:p>
      <w:pPr>
        <w:pStyle w:val="6"/>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textAlignment w:val="auto"/>
        <w:outlineLvl w:val="9"/>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w:t>
      </w:r>
      <w:r>
        <w:rPr>
          <w:rFonts w:hint="eastAsia" w:ascii="仿宋_GB2312" w:hAnsi="Times New Roman" w:eastAsia="仿宋_GB2312" w:cs="Times New Roman"/>
          <w:kern w:val="2"/>
          <w:sz w:val="32"/>
          <w:szCs w:val="32"/>
          <w:highlight w:val="none"/>
          <w:lang w:eastAsia="zh-CN"/>
        </w:rPr>
        <w:t>.社会保障和就业</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1497.05</w:t>
      </w:r>
      <w:r>
        <w:rPr>
          <w:rFonts w:hint="eastAsia" w:ascii="仿宋_GB2312" w:hAnsi="Times New Roman" w:eastAsia="仿宋_GB2312" w:cs="Times New Roman"/>
          <w:kern w:val="2"/>
          <w:sz w:val="32"/>
          <w:szCs w:val="32"/>
          <w:highlight w:val="none"/>
        </w:rPr>
        <w:t>万元</w:t>
      </w:r>
      <w:r>
        <w:rPr>
          <w:rFonts w:hint="eastAsia" w:ascii="仿宋_GB2312" w:hAnsi="Times New Roman" w:cs="Times New Roman"/>
          <w:kern w:val="2"/>
          <w:sz w:val="32"/>
          <w:szCs w:val="32"/>
          <w:highlight w:val="none"/>
          <w:lang w:eastAsia="zh-CN"/>
        </w:rPr>
        <w:t>，</w:t>
      </w:r>
      <w:r>
        <w:rPr>
          <w:rFonts w:hint="eastAsia" w:ascii="仿宋_GB2312" w:hAnsi="Times New Roman" w:eastAsia="仿宋_GB2312" w:cs="Times New Roman"/>
          <w:kern w:val="2"/>
          <w:sz w:val="32"/>
          <w:szCs w:val="32"/>
          <w:highlight w:val="none"/>
        </w:rPr>
        <w:t>占支出总预算</w:t>
      </w:r>
      <w:r>
        <w:rPr>
          <w:rFonts w:hint="eastAsia" w:ascii="仿宋_GB2312" w:hAnsi="Times New Roman" w:cs="Times New Roman"/>
          <w:kern w:val="2"/>
          <w:sz w:val="32"/>
          <w:szCs w:val="32"/>
          <w:highlight w:val="none"/>
          <w:lang w:val="en-US" w:eastAsia="zh-CN"/>
        </w:rPr>
        <w:t>92.64%，</w:t>
      </w:r>
      <w:r>
        <w:rPr>
          <w:rFonts w:hint="eastAsia" w:ascii="仿宋_GB2312" w:eastAsia="仿宋_GB2312"/>
          <w:sz w:val="32"/>
          <w:szCs w:val="32"/>
          <w:highlight w:val="none"/>
        </w:rPr>
        <w:t>同比</w:t>
      </w:r>
      <w:r>
        <w:rPr>
          <w:rFonts w:hint="eastAsia" w:ascii="仿宋_GB2312"/>
          <w:sz w:val="32"/>
          <w:szCs w:val="32"/>
          <w:highlight w:val="none"/>
          <w:lang w:eastAsia="zh-CN"/>
        </w:rPr>
        <w:t>上年减少</w:t>
      </w:r>
      <w:r>
        <w:rPr>
          <w:rFonts w:hint="eastAsia" w:ascii="仿宋_GB2312"/>
          <w:sz w:val="32"/>
          <w:szCs w:val="32"/>
          <w:highlight w:val="none"/>
          <w:lang w:val="en-US" w:eastAsia="zh-CN"/>
        </w:rPr>
        <w:t>515.3</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eastAsia="仿宋_GB2312"/>
          <w:sz w:val="32"/>
          <w:szCs w:val="32"/>
          <w:highlight w:val="none"/>
        </w:rPr>
        <w:t>同比</w:t>
      </w:r>
      <w:r>
        <w:rPr>
          <w:rFonts w:hint="eastAsia" w:ascii="仿宋_GB2312"/>
          <w:sz w:val="32"/>
          <w:szCs w:val="32"/>
          <w:highlight w:val="none"/>
          <w:lang w:eastAsia="zh-CN"/>
        </w:rPr>
        <w:t>下降</w:t>
      </w:r>
      <w:r>
        <w:rPr>
          <w:rFonts w:hint="eastAsia" w:ascii="仿宋_GB2312"/>
          <w:sz w:val="32"/>
          <w:szCs w:val="32"/>
          <w:highlight w:val="none"/>
          <w:lang w:val="en-US" w:eastAsia="zh-CN"/>
        </w:rPr>
        <w:t>25.6</w:t>
      </w:r>
      <w:r>
        <w:rPr>
          <w:rFonts w:hint="eastAsia" w:ascii="仿宋_GB2312" w:eastAsia="仿宋_GB2312"/>
          <w:sz w:val="32"/>
          <w:szCs w:val="32"/>
          <w:highlight w:val="none"/>
        </w:rPr>
        <w:t>%</w:t>
      </w:r>
      <w:r>
        <w:rPr>
          <w:rFonts w:hint="eastAsia" w:ascii="仿宋_GB2312" w:hAnsi="Times New Roman" w:eastAsia="仿宋_GB2312" w:cs="Times New Roman"/>
          <w:kern w:val="2"/>
          <w:sz w:val="32"/>
          <w:szCs w:val="32"/>
          <w:highlight w:val="none"/>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textAlignment w:val="auto"/>
        <w:outlineLvl w:val="9"/>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2</w:t>
      </w:r>
      <w:r>
        <w:rPr>
          <w:rFonts w:hint="eastAsia" w:ascii="仿宋_GB2312" w:hAnsi="Times New Roman" w:eastAsia="仿宋_GB2312" w:cs="Times New Roman"/>
          <w:kern w:val="2"/>
          <w:sz w:val="32"/>
          <w:szCs w:val="32"/>
          <w:highlight w:val="none"/>
          <w:lang w:eastAsia="zh-CN"/>
        </w:rPr>
        <w:t>.卫生健康</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33.14</w:t>
      </w:r>
      <w:r>
        <w:rPr>
          <w:rFonts w:hint="eastAsia" w:ascii="仿宋_GB2312" w:hAnsi="Times New Roman" w:eastAsia="仿宋_GB2312" w:cs="Times New Roman"/>
          <w:kern w:val="2"/>
          <w:sz w:val="32"/>
          <w:szCs w:val="32"/>
          <w:highlight w:val="none"/>
        </w:rPr>
        <w:t>万元</w:t>
      </w:r>
      <w:r>
        <w:rPr>
          <w:rFonts w:hint="eastAsia" w:ascii="仿宋_GB2312" w:hAnsi="Times New Roman" w:cs="Times New Roman"/>
          <w:kern w:val="2"/>
          <w:sz w:val="32"/>
          <w:szCs w:val="32"/>
          <w:highlight w:val="none"/>
          <w:lang w:eastAsia="zh-CN"/>
        </w:rPr>
        <w:t>，</w:t>
      </w:r>
      <w:r>
        <w:rPr>
          <w:rFonts w:hint="eastAsia" w:ascii="仿宋_GB2312" w:hAnsi="Times New Roman" w:eastAsia="仿宋_GB2312" w:cs="Times New Roman"/>
          <w:kern w:val="2"/>
          <w:sz w:val="32"/>
          <w:szCs w:val="32"/>
          <w:highlight w:val="none"/>
        </w:rPr>
        <w:t>占支出总预算</w:t>
      </w:r>
      <w:r>
        <w:rPr>
          <w:rFonts w:hint="eastAsia" w:ascii="仿宋_GB2312" w:hAnsi="Times New Roman" w:cs="Times New Roman"/>
          <w:kern w:val="2"/>
          <w:sz w:val="32"/>
          <w:szCs w:val="32"/>
          <w:highlight w:val="none"/>
          <w:lang w:val="en-US" w:eastAsia="zh-CN"/>
        </w:rPr>
        <w:t>2.05%，</w:t>
      </w:r>
      <w:r>
        <w:rPr>
          <w:rFonts w:hint="eastAsia" w:ascii="仿宋_GB2312" w:eastAsia="仿宋_GB2312"/>
          <w:sz w:val="32"/>
          <w:szCs w:val="32"/>
          <w:highlight w:val="none"/>
        </w:rPr>
        <w:t>同比</w:t>
      </w:r>
      <w:r>
        <w:rPr>
          <w:rFonts w:hint="eastAsia" w:ascii="仿宋_GB2312"/>
          <w:sz w:val="32"/>
          <w:szCs w:val="32"/>
          <w:highlight w:val="none"/>
          <w:lang w:eastAsia="zh-CN"/>
        </w:rPr>
        <w:t>上年减少</w:t>
      </w:r>
      <w:r>
        <w:rPr>
          <w:rFonts w:hint="eastAsia" w:ascii="仿宋_GB2312"/>
          <w:sz w:val="32"/>
          <w:szCs w:val="32"/>
          <w:highlight w:val="none"/>
          <w:lang w:val="en-US" w:eastAsia="zh-CN"/>
        </w:rPr>
        <w:t>10.3</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eastAsia="仿宋_GB2312"/>
          <w:sz w:val="32"/>
          <w:szCs w:val="32"/>
          <w:highlight w:val="none"/>
        </w:rPr>
        <w:t>同比</w:t>
      </w:r>
      <w:r>
        <w:rPr>
          <w:rFonts w:hint="eastAsia" w:ascii="仿宋_GB2312"/>
          <w:sz w:val="32"/>
          <w:szCs w:val="32"/>
          <w:highlight w:val="none"/>
          <w:lang w:eastAsia="zh-CN"/>
        </w:rPr>
        <w:t>下降</w:t>
      </w:r>
      <w:r>
        <w:rPr>
          <w:rFonts w:hint="eastAsia" w:ascii="仿宋_GB2312"/>
          <w:sz w:val="32"/>
          <w:szCs w:val="32"/>
          <w:highlight w:val="none"/>
          <w:lang w:val="en-US" w:eastAsia="zh-CN"/>
        </w:rPr>
        <w:t>23.8</w:t>
      </w:r>
      <w:r>
        <w:rPr>
          <w:rFonts w:hint="eastAsia" w:ascii="仿宋_GB2312" w:eastAsia="仿宋_GB2312"/>
          <w:sz w:val="32"/>
          <w:szCs w:val="32"/>
          <w:highlight w:val="none"/>
        </w:rPr>
        <w:t>%</w:t>
      </w:r>
      <w:r>
        <w:rPr>
          <w:rFonts w:hint="eastAsia" w:ascii="仿宋_GB2312" w:hAnsi="Times New Roman" w:eastAsia="仿宋_GB2312" w:cs="Times New Roman"/>
          <w:kern w:val="2"/>
          <w:sz w:val="32"/>
          <w:szCs w:val="32"/>
          <w:highlight w:val="none"/>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Times New Roman" w:eastAsia="仿宋_GB2312" w:cs="Times New Roman"/>
          <w:kern w:val="2"/>
          <w:sz w:val="32"/>
          <w:szCs w:val="32"/>
          <w:highlight w:val="none"/>
          <w:lang w:eastAsia="zh-CN"/>
        </w:rPr>
      </w:pPr>
      <w:r>
        <w:rPr>
          <w:rFonts w:hint="eastAsia" w:ascii="仿宋_GB2312" w:eastAsia="仿宋_GB2312"/>
          <w:sz w:val="32"/>
          <w:szCs w:val="32"/>
          <w:highlight w:val="none"/>
          <w:lang w:val="en-US" w:eastAsia="zh-CN"/>
        </w:rPr>
        <w:t>3.</w:t>
      </w:r>
      <w:r>
        <w:rPr>
          <w:rFonts w:hint="eastAsia" w:ascii="仿宋_GB2312" w:hAnsi="Times New Roman" w:eastAsia="仿宋_GB2312" w:cs="Times New Roman"/>
          <w:kern w:val="2"/>
          <w:sz w:val="32"/>
          <w:szCs w:val="32"/>
          <w:highlight w:val="none"/>
          <w:lang w:eastAsia="zh-CN"/>
        </w:rPr>
        <w:t>住房保障类支出</w:t>
      </w:r>
      <w:r>
        <w:rPr>
          <w:rFonts w:hint="eastAsia" w:ascii="仿宋_GB2312" w:hAnsi="Times New Roman" w:eastAsia="仿宋_GB2312" w:cs="Times New Roman"/>
          <w:kern w:val="2"/>
          <w:sz w:val="32"/>
          <w:szCs w:val="32"/>
          <w:highlight w:val="none"/>
        </w:rPr>
        <w:t>预算</w:t>
      </w:r>
      <w:r>
        <w:rPr>
          <w:rFonts w:hint="eastAsia" w:ascii="仿宋_GB2312" w:cs="Times New Roman"/>
          <w:kern w:val="2"/>
          <w:sz w:val="32"/>
          <w:szCs w:val="32"/>
          <w:highlight w:val="none"/>
          <w:lang w:val="en-US" w:eastAsia="zh-CN"/>
        </w:rPr>
        <w:t>57.53</w:t>
      </w:r>
      <w:r>
        <w:rPr>
          <w:rFonts w:hint="eastAsia" w:ascii="仿宋_GB2312" w:hAnsi="Times New Roman" w:eastAsia="仿宋_GB2312" w:cs="Times New Roman"/>
          <w:kern w:val="2"/>
          <w:sz w:val="32"/>
          <w:szCs w:val="32"/>
          <w:highlight w:val="none"/>
        </w:rPr>
        <w:t>万元</w:t>
      </w:r>
      <w:r>
        <w:rPr>
          <w:rFonts w:hint="eastAsia" w:ascii="仿宋_GB2312" w:cs="Times New Roman"/>
          <w:kern w:val="2"/>
          <w:sz w:val="32"/>
          <w:szCs w:val="32"/>
          <w:highlight w:val="none"/>
          <w:lang w:eastAsia="zh-CN"/>
        </w:rPr>
        <w:t>，</w:t>
      </w:r>
      <w:r>
        <w:rPr>
          <w:rFonts w:hint="eastAsia" w:ascii="仿宋_GB2312" w:hAnsi="Times New Roman" w:eastAsia="仿宋_GB2312" w:cs="Times New Roman"/>
          <w:kern w:val="2"/>
          <w:sz w:val="32"/>
          <w:szCs w:val="32"/>
          <w:highlight w:val="none"/>
        </w:rPr>
        <w:t>占支出总预算</w:t>
      </w:r>
      <w:r>
        <w:rPr>
          <w:rFonts w:hint="eastAsia" w:ascii="仿宋_GB2312" w:cs="Times New Roman"/>
          <w:kern w:val="2"/>
          <w:sz w:val="32"/>
          <w:szCs w:val="32"/>
          <w:highlight w:val="none"/>
          <w:lang w:val="en-US" w:eastAsia="zh-CN"/>
        </w:rPr>
        <w:t>3.56</w:t>
      </w:r>
      <w:r>
        <w:rPr>
          <w:rFonts w:hint="eastAsia" w:ascii="仿宋_GB2312" w:hAnsi="Times New Roman" w:cs="Times New Roman"/>
          <w:kern w:val="2"/>
          <w:sz w:val="32"/>
          <w:szCs w:val="32"/>
          <w:highlight w:val="none"/>
          <w:lang w:val="en-US" w:eastAsia="zh-CN"/>
        </w:rPr>
        <w:t>%，</w:t>
      </w:r>
      <w:r>
        <w:rPr>
          <w:rFonts w:hint="eastAsia" w:ascii="仿宋_GB2312" w:eastAsia="仿宋_GB2312"/>
          <w:sz w:val="32"/>
          <w:szCs w:val="32"/>
          <w:highlight w:val="none"/>
        </w:rPr>
        <w:t>同比</w:t>
      </w:r>
      <w:r>
        <w:rPr>
          <w:rFonts w:hint="eastAsia" w:ascii="仿宋_GB2312"/>
          <w:sz w:val="32"/>
          <w:szCs w:val="32"/>
          <w:highlight w:val="none"/>
          <w:lang w:eastAsia="zh-CN"/>
        </w:rPr>
        <w:t>上年减少</w:t>
      </w:r>
      <w:r>
        <w:rPr>
          <w:rFonts w:hint="eastAsia" w:ascii="仿宋_GB2312"/>
          <w:sz w:val="32"/>
          <w:szCs w:val="32"/>
          <w:highlight w:val="none"/>
          <w:lang w:val="en-US" w:eastAsia="zh-CN"/>
        </w:rPr>
        <w:t>9.35</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eastAsia="仿宋_GB2312"/>
          <w:sz w:val="32"/>
          <w:szCs w:val="32"/>
          <w:highlight w:val="none"/>
        </w:rPr>
        <w:t>同比</w:t>
      </w:r>
      <w:r>
        <w:rPr>
          <w:rFonts w:hint="eastAsia" w:ascii="仿宋_GB2312"/>
          <w:sz w:val="32"/>
          <w:szCs w:val="32"/>
          <w:highlight w:val="none"/>
          <w:lang w:eastAsia="zh-CN"/>
        </w:rPr>
        <w:t>下降</w:t>
      </w:r>
      <w:r>
        <w:rPr>
          <w:rFonts w:hint="eastAsia" w:ascii="仿宋_GB2312"/>
          <w:sz w:val="32"/>
          <w:szCs w:val="32"/>
          <w:highlight w:val="none"/>
          <w:lang w:val="en-US" w:eastAsia="zh-CN"/>
        </w:rPr>
        <w:t>13.98</w:t>
      </w:r>
      <w:r>
        <w:rPr>
          <w:rFonts w:hint="eastAsia" w:ascii="仿宋_GB2312" w:eastAsia="仿宋_GB2312"/>
          <w:sz w:val="32"/>
          <w:szCs w:val="32"/>
          <w:highlight w:val="none"/>
        </w:rPr>
        <w:t>%</w:t>
      </w:r>
      <w:r>
        <w:rPr>
          <w:rFonts w:hint="eastAsia" w:ascii="仿宋_GB2312" w:hAnsi="Times New Roman" w:eastAsia="仿宋_GB2312" w:cs="Times New Roman"/>
          <w:kern w:val="2"/>
          <w:sz w:val="32"/>
          <w:szCs w:val="32"/>
          <w:highlight w:val="none"/>
          <w:lang w:eastAsia="zh-CN"/>
        </w:rPr>
        <w:t>。</w:t>
      </w:r>
    </w:p>
    <w:p>
      <w:pPr>
        <w:pStyle w:val="5"/>
        <w:keepNext w:val="0"/>
        <w:keepLines w:val="0"/>
        <w:pageBreakBefore w:val="0"/>
        <w:kinsoku/>
        <w:wordWrap/>
        <w:overflowPunct/>
        <w:topLinePunct w:val="0"/>
        <w:autoSpaceDE/>
        <w:autoSpaceDN/>
        <w:bidi w:val="0"/>
        <w:adjustRightInd/>
        <w:snapToGrid/>
        <w:spacing w:after="0" w:line="500" w:lineRule="exact"/>
        <w:ind w:left="0" w:leftChars="0" w:right="0" w:rightChars="0" w:firstLine="640" w:firstLineChars="200"/>
        <w:outlineLvl w:val="9"/>
        <w:rPr>
          <w:rFonts w:hint="eastAsia" w:ascii="黑体" w:eastAsia="仿宋_GB2312"/>
          <w:szCs w:val="32"/>
          <w:lang w:val="en-US" w:eastAsia="zh-CN"/>
        </w:rPr>
      </w:pPr>
      <w:r>
        <w:rPr>
          <w:rFonts w:hint="eastAsia" w:ascii="仿宋_GB2312" w:cs="Times New Roman"/>
          <w:kern w:val="2"/>
          <w:sz w:val="32"/>
          <w:szCs w:val="32"/>
          <w:highlight w:val="none"/>
          <w:lang w:val="en-US" w:eastAsia="zh-CN"/>
        </w:rPr>
        <w:t>4.城乡社区支出预算28.35万元，</w:t>
      </w:r>
      <w:r>
        <w:rPr>
          <w:rFonts w:hint="eastAsia" w:ascii="仿宋_GB2312" w:eastAsia="仿宋_GB2312"/>
          <w:sz w:val="32"/>
          <w:szCs w:val="32"/>
          <w:highlight w:val="none"/>
        </w:rPr>
        <w:t>同比</w:t>
      </w:r>
      <w:r>
        <w:rPr>
          <w:rFonts w:hint="eastAsia" w:ascii="仿宋_GB2312"/>
          <w:sz w:val="32"/>
          <w:szCs w:val="32"/>
          <w:highlight w:val="none"/>
          <w:lang w:eastAsia="zh-CN"/>
        </w:rPr>
        <w:t>上年减少</w:t>
      </w:r>
      <w:r>
        <w:rPr>
          <w:rFonts w:hint="eastAsia" w:ascii="仿宋_GB2312"/>
          <w:sz w:val="32"/>
          <w:szCs w:val="32"/>
          <w:highlight w:val="none"/>
          <w:lang w:val="en-US" w:eastAsia="zh-CN"/>
        </w:rPr>
        <w:t>3.15</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eastAsia="仿宋_GB2312"/>
          <w:sz w:val="32"/>
          <w:szCs w:val="32"/>
          <w:highlight w:val="none"/>
        </w:rPr>
        <w:t>同比</w:t>
      </w:r>
      <w:r>
        <w:rPr>
          <w:rFonts w:hint="eastAsia" w:ascii="仿宋_GB2312"/>
          <w:sz w:val="32"/>
          <w:szCs w:val="32"/>
          <w:highlight w:val="none"/>
          <w:lang w:eastAsia="zh-CN"/>
        </w:rPr>
        <w:t>下降</w:t>
      </w:r>
      <w:r>
        <w:rPr>
          <w:rFonts w:hint="eastAsia" w:ascii="仿宋_GB2312"/>
          <w:sz w:val="32"/>
          <w:szCs w:val="32"/>
          <w:highlight w:val="none"/>
          <w:lang w:val="en-US" w:eastAsia="zh-CN"/>
        </w:rPr>
        <w:t>10</w:t>
      </w:r>
      <w:r>
        <w:rPr>
          <w:rFonts w:hint="eastAsia" w:ascii="仿宋_GB2312" w:eastAsia="仿宋_GB2312"/>
          <w:sz w:val="32"/>
          <w:szCs w:val="32"/>
          <w:highlight w:val="none"/>
        </w:rPr>
        <w:t>%</w:t>
      </w:r>
      <w:r>
        <w:rPr>
          <w:rFonts w:hint="eastAsia" w:ascii="仿宋_GB2312"/>
          <w:sz w:val="32"/>
          <w:szCs w:val="32"/>
          <w:highlight w:val="none"/>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keepNext w:val="0"/>
        <w:keepLines w:val="0"/>
        <w:pageBreakBefore w:val="0"/>
        <w:tabs>
          <w:tab w:val="center" w:pos="4475"/>
        </w:tabs>
        <w:kinsoku/>
        <w:wordWrap/>
        <w:overflowPunct/>
        <w:topLinePunct w:val="0"/>
        <w:autoSpaceDE/>
        <w:autoSpaceDN/>
        <w:bidi w:val="0"/>
        <w:adjustRightInd/>
        <w:snapToGrid/>
        <w:spacing w:line="500" w:lineRule="exact"/>
        <w:ind w:left="0" w:leftChars="0" w:right="0" w:rightChars="0" w:firstLine="645"/>
        <w:outlineLvl w:val="9"/>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28.35</w:t>
      </w:r>
      <w:r>
        <w:rPr>
          <w:rFonts w:hint="eastAsia" w:ascii="仿宋_GB2312" w:eastAsia="仿宋_GB2312"/>
          <w:sz w:val="32"/>
          <w:szCs w:val="32"/>
        </w:rPr>
        <w:t>万元，</w:t>
      </w:r>
      <w:r>
        <w:rPr>
          <w:rFonts w:hint="eastAsia" w:ascii="仿宋_GB2312"/>
          <w:sz w:val="32"/>
          <w:szCs w:val="32"/>
          <w:lang w:eastAsia="zh-CN"/>
        </w:rPr>
        <w:t>较上年</w:t>
      </w:r>
      <w:r>
        <w:rPr>
          <w:rFonts w:hint="eastAsia" w:ascii="仿宋_GB2312"/>
          <w:sz w:val="32"/>
          <w:szCs w:val="32"/>
          <w:highlight w:val="none"/>
          <w:lang w:eastAsia="zh-CN"/>
        </w:rPr>
        <w:t>减少</w:t>
      </w:r>
      <w:r>
        <w:rPr>
          <w:rFonts w:hint="eastAsia" w:ascii="仿宋_GB2312"/>
          <w:sz w:val="32"/>
          <w:szCs w:val="32"/>
          <w:highlight w:val="none"/>
          <w:lang w:val="en-US" w:eastAsia="zh-CN"/>
        </w:rPr>
        <w:t>3.15</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10</w:t>
      </w:r>
      <w:r>
        <w:rPr>
          <w:rFonts w:hint="eastAsia" w:ascii="仿宋_GB2312" w:eastAsia="仿宋_GB2312"/>
          <w:sz w:val="32"/>
          <w:szCs w:val="32"/>
          <w:highlight w:val="none"/>
        </w:rPr>
        <w:t>%</w:t>
      </w:r>
      <w:r>
        <w:rPr>
          <w:rFonts w:hint="eastAsia" w:ascii="仿宋_GB2312"/>
          <w:sz w:val="32"/>
          <w:szCs w:val="32"/>
          <w:lang w:val="en-US" w:eastAsia="zh-CN"/>
        </w:rPr>
        <w:t>，主要原因是厉行勤俭节约，</w:t>
      </w:r>
      <w:r>
        <w:rPr>
          <w:rFonts w:hint="eastAsia" w:ascii="仿宋_GB2312"/>
          <w:szCs w:val="32"/>
          <w:lang w:eastAsia="zh-CN"/>
        </w:rPr>
        <w:t>压缩同项目支出预算拨款。</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黑体" w:eastAsia="仿宋_GB2312"/>
          <w:b w:val="0"/>
          <w:bCs w:val="0"/>
          <w:szCs w:val="32"/>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r>
        <w:rPr>
          <w:rFonts w:hint="eastAsia" w:ascii="仿宋_GB2312" w:hAnsi="宋体"/>
          <w:b w:val="0"/>
          <w:bCs w:val="0"/>
          <w:szCs w:val="32"/>
          <w:highlight w:val="none"/>
          <w:u w:val="none"/>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1.01</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0.34</w:t>
      </w:r>
      <w:r>
        <w:rPr>
          <w:rFonts w:hint="eastAsia" w:ascii="仿宋_GB2312"/>
          <w:bCs/>
        </w:rPr>
        <w:t>万元，下降</w:t>
      </w:r>
      <w:r>
        <w:rPr>
          <w:rFonts w:hint="eastAsia" w:ascii="仿宋_GB2312"/>
          <w:bCs/>
          <w:lang w:val="en-US" w:eastAsia="zh-CN"/>
        </w:rPr>
        <w:t>25.3</w:t>
      </w:r>
      <w:r>
        <w:rPr>
          <w:rFonts w:hint="eastAsia" w:ascii="仿宋_GB2312"/>
          <w:bCs/>
        </w:rPr>
        <w:t>%，具体如下：</w:t>
      </w:r>
    </w:p>
    <w:p>
      <w:pPr>
        <w:keepNext w:val="0"/>
        <w:keepLines w:val="0"/>
        <w:pageBreakBefore w:val="0"/>
        <w:tabs>
          <w:tab w:val="center" w:pos="4475"/>
        </w:tabs>
        <w:kinsoku/>
        <w:wordWrap/>
        <w:overflowPunct/>
        <w:topLinePunct w:val="0"/>
        <w:autoSpaceDE/>
        <w:autoSpaceDN/>
        <w:bidi w:val="0"/>
        <w:adjustRightInd/>
        <w:snapToGrid/>
        <w:spacing w:line="500" w:lineRule="exact"/>
        <w:ind w:left="0" w:leftChars="0" w:right="0" w:rightChars="0" w:firstLine="645"/>
        <w:outlineLvl w:val="9"/>
        <w:rPr>
          <w:rFonts w:hint="eastAsia" w:ascii="仿宋_GB2312" w:hAnsi="宋体" w:eastAsia="仿宋_GB2312"/>
          <w:szCs w:val="32"/>
          <w:lang w:eastAsia="zh-CN"/>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p>
    <w:p>
      <w:pPr>
        <w:keepNext w:val="0"/>
        <w:keepLines w:val="0"/>
        <w:pageBreakBefore w:val="0"/>
        <w:tabs>
          <w:tab w:val="center" w:pos="4475"/>
        </w:tabs>
        <w:kinsoku/>
        <w:wordWrap/>
        <w:overflowPunct/>
        <w:topLinePunct w:val="0"/>
        <w:autoSpaceDE/>
        <w:autoSpaceDN/>
        <w:bidi w:val="0"/>
        <w:adjustRightInd/>
        <w:snapToGrid/>
        <w:spacing w:line="500" w:lineRule="exact"/>
        <w:ind w:left="0" w:leftChars="0" w:right="0" w:rightChars="0" w:firstLine="645"/>
        <w:outlineLvl w:val="9"/>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宋体"/>
          <w:szCs w:val="32"/>
        </w:rPr>
        <w:t>其中：</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p>
    <w:p>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1.01</w:t>
      </w:r>
      <w:r>
        <w:rPr>
          <w:rFonts w:hint="eastAsia" w:ascii="仿宋_GB2312" w:hAnsi="宋体"/>
          <w:szCs w:val="32"/>
        </w:rPr>
        <w:t>万元，比上年</w:t>
      </w:r>
      <w:r>
        <w:rPr>
          <w:rFonts w:hint="eastAsia" w:ascii="仿宋_GB2312"/>
          <w:bCs/>
        </w:rPr>
        <w:t>减少</w:t>
      </w:r>
      <w:r>
        <w:rPr>
          <w:rFonts w:hint="eastAsia" w:ascii="仿宋_GB2312"/>
          <w:bCs/>
          <w:lang w:val="en-US" w:eastAsia="zh-CN"/>
        </w:rPr>
        <w:t>0.34</w:t>
      </w:r>
      <w:r>
        <w:rPr>
          <w:rFonts w:hint="eastAsia" w:ascii="仿宋_GB2312"/>
          <w:bCs/>
        </w:rPr>
        <w:t>万元，下降</w:t>
      </w:r>
      <w:r>
        <w:rPr>
          <w:rFonts w:hint="eastAsia" w:ascii="仿宋_GB2312"/>
          <w:bCs/>
          <w:lang w:val="en-US" w:eastAsia="zh-CN"/>
        </w:rPr>
        <w:t>25.3</w:t>
      </w:r>
      <w:r>
        <w:rPr>
          <w:rFonts w:hint="eastAsia" w:ascii="仿宋_GB2312"/>
          <w:bCs/>
        </w:rPr>
        <w:t>%</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我单位在编人员减少</w:t>
      </w:r>
      <w:r>
        <w:rPr>
          <w:rFonts w:hint="eastAsia" w:ascii="仿宋_GB2312" w:hAnsi="Arial" w:cs="Arial"/>
          <w:kern w:val="0"/>
        </w:rPr>
        <w:t>。</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运行经费主要</w:t>
      </w:r>
      <w:r>
        <w:rPr>
          <w:rFonts w:hint="eastAsia" w:ascii="仿宋_GB2312" w:eastAsia="仿宋_GB2312"/>
          <w:sz w:val="32"/>
          <w:szCs w:val="32"/>
          <w:highlight w:val="none"/>
        </w:rPr>
        <w:t>包括办公费、印刷费、水电费、邮电费、差旅费、维修（护）费、会议费、培训费、公务接待费、</w:t>
      </w:r>
      <w:r>
        <w:rPr>
          <w:rFonts w:hint="eastAsia" w:ascii="仿宋_GB2312"/>
          <w:sz w:val="32"/>
          <w:szCs w:val="32"/>
          <w:highlight w:val="none"/>
          <w:lang w:eastAsia="zh-CN"/>
        </w:rPr>
        <w:t>福利费、</w:t>
      </w:r>
      <w:r>
        <w:rPr>
          <w:rFonts w:hint="eastAsia" w:ascii="仿宋_GB2312" w:eastAsia="仿宋_GB2312"/>
          <w:sz w:val="32"/>
          <w:szCs w:val="32"/>
          <w:highlight w:val="none"/>
        </w:rPr>
        <w:t>公务用车运行维护费及其他商品和服务支出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2025年机关运行经费预算61.37万元，较上年减少0.59</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0.94%，减少的主要原因是</w:t>
      </w:r>
      <w:r>
        <w:rPr>
          <w:rFonts w:hint="eastAsia" w:ascii="仿宋_GB2312"/>
          <w:sz w:val="32"/>
          <w:szCs w:val="32"/>
          <w:highlight w:val="none"/>
          <w:lang w:eastAsia="zh-CN"/>
        </w:rPr>
        <w:t>在编人员减少</w:t>
      </w:r>
      <w:r>
        <w:rPr>
          <w:rFonts w:hint="eastAsia" w:ascii="仿宋_GB2312"/>
          <w:sz w:val="32"/>
          <w:szCs w:val="32"/>
          <w:lang w:val="en-US" w:eastAsia="zh-CN"/>
        </w:rPr>
        <w:t>。</w:t>
      </w:r>
    </w:p>
    <w:p>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10.29</w:t>
      </w:r>
      <w:r>
        <w:rPr>
          <w:rFonts w:hint="eastAsia" w:ascii="仿宋_GB2312" w:hAnsi="宋体"/>
          <w:szCs w:val="32"/>
        </w:rPr>
        <w:t>万元。其中：货物类采购</w:t>
      </w:r>
      <w:r>
        <w:rPr>
          <w:rFonts w:hint="eastAsia" w:ascii="仿宋_GB2312" w:hAnsi="宋体"/>
          <w:szCs w:val="32"/>
          <w:lang w:val="en-US" w:eastAsia="zh-CN"/>
        </w:rPr>
        <w:t>10.29</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主要为办公设备用品采购。</w:t>
      </w:r>
    </w:p>
    <w:p>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tabs>
          <w:tab w:val="center" w:pos="4475"/>
        </w:tabs>
        <w:spacing w:line="560" w:lineRule="exact"/>
        <w:ind w:firstLine="645"/>
        <w:rPr>
          <w:rFonts w:hint="eastAsia" w:ascii="仿宋_GB2312" w:hAnsi="宋体"/>
          <w:b w:val="0"/>
          <w:bCs w:val="0"/>
          <w:szCs w:val="32"/>
          <w:highlight w:val="none"/>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w:t>
      </w:r>
      <w:r>
        <w:rPr>
          <w:rFonts w:hint="eastAsia" w:ascii="仿宋_GB2312" w:hAnsi="宋体"/>
          <w:b w:val="0"/>
          <w:bCs w:val="0"/>
          <w:szCs w:val="32"/>
          <w:highlight w:val="none"/>
          <w:u w:val="none"/>
          <w:lang w:val="en-US" w:eastAsia="zh-CN"/>
        </w:rPr>
        <w:t>初固定资产原值783.88万元，其中房屋和构筑物529.63万元，设备190.08万元，家具和用具64.17万元；固定资产累计折旧609.94万元，其中房屋和构筑物累计折旧396.33万元，设备累计折旧178.70万元，家具和用具累计折旧34.91万元；固定资产净值173.94万元</w:t>
      </w:r>
      <w:r>
        <w:rPr>
          <w:rFonts w:hint="eastAsia" w:ascii="仿宋_GB2312" w:hAnsi="宋体"/>
          <w:b w:val="0"/>
          <w:bCs w:val="0"/>
          <w:szCs w:val="32"/>
          <w:highlight w:val="none"/>
          <w:u w:val="none"/>
        </w:rPr>
        <w:t>。</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vertAlign w:val="baseline"/>
          <w:lang w:val="en-US" w:eastAsia="zh-CN" w:bidi="ar"/>
        </w:rPr>
        <w:t>4</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758.74</w:t>
      </w:r>
      <w:r>
        <w:rPr>
          <w:rFonts w:hint="eastAsia" w:ascii="仿宋_GB2312" w:hAnsi="Times New Roman" w:eastAsia="仿宋_GB2312" w:cs="仿宋_GB2312"/>
          <w:b w:val="0"/>
          <w:bCs w:val="0"/>
          <w:caps w:val="0"/>
          <w:color w:val="auto"/>
          <w:kern w:val="2"/>
          <w:sz w:val="32"/>
          <w:szCs w:val="32"/>
          <w:vertAlign w:val="baseline"/>
          <w:lang w:val="en-US" w:eastAsia="zh-CN" w:bidi="ar"/>
        </w:rPr>
        <w:t>万元。</w:t>
      </w:r>
      <w:r>
        <w:rPr>
          <w:rFonts w:hint="eastAsia" w:ascii="仿宋_GB2312" w:cs="仿宋_GB2312"/>
          <w:b w:val="0"/>
          <w:bCs w:val="0"/>
          <w:caps w:val="0"/>
          <w:color w:val="auto"/>
          <w:kern w:val="2"/>
          <w:sz w:val="32"/>
          <w:szCs w:val="32"/>
          <w:vertAlign w:val="baseline"/>
          <w:lang w:val="en-US" w:eastAsia="zh-CN" w:bidi="ar"/>
        </w:rPr>
        <w:t>重点</w:t>
      </w:r>
      <w:r>
        <w:rPr>
          <w:rFonts w:hint="eastAsia" w:ascii="仿宋_GB2312" w:hAnsi="Times New Roman" w:eastAsia="仿宋_GB2312" w:cs="仿宋_GB2312"/>
          <w:b w:val="0"/>
          <w:bCs w:val="0"/>
          <w:caps w:val="0"/>
          <w:color w:val="auto"/>
          <w:kern w:val="2"/>
          <w:sz w:val="32"/>
          <w:szCs w:val="32"/>
          <w:vertAlign w:val="baseline"/>
          <w:lang w:val="en-US" w:eastAsia="zh-CN" w:bidi="ar"/>
        </w:rPr>
        <w:t>绩效目标情况详见报表（敏感涉密项目除外）。</w:t>
      </w:r>
    </w:p>
    <w:p>
      <w:pPr>
        <w:tabs>
          <w:tab w:val="center" w:pos="4475"/>
        </w:tabs>
        <w:spacing w:line="560" w:lineRule="exact"/>
        <w:ind w:firstLine="640" w:firstLineChars="200"/>
        <w:rPr>
          <w:rFonts w:hint="eastAsia" w:ascii="仿宋_GB2312"/>
          <w:sz w:val="32"/>
          <w:szCs w:val="32"/>
          <w:lang w:val="en-US" w:eastAsia="zh-CN"/>
        </w:rPr>
      </w:pPr>
      <w:r>
        <w:rPr>
          <w:rFonts w:hint="eastAsia" w:ascii="仿宋_GB2312"/>
          <w:sz w:val="32"/>
          <w:szCs w:val="32"/>
          <w:lang w:val="en-US" w:eastAsia="zh-CN"/>
        </w:rPr>
        <w:t>（二）重点项目预算绩效目标说明。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highlight w:val="none"/>
          <w:lang w:val="en-US" w:eastAsia="zh-CN"/>
        </w:rPr>
      </w:pPr>
      <w:r>
        <w:rPr>
          <w:rFonts w:hint="eastAsia" w:ascii="仿宋_GB2312" w:hAnsi="宋体"/>
          <w:szCs w:val="32"/>
          <w:highlight w:val="none"/>
          <w:lang w:val="en-US" w:eastAsia="zh-CN"/>
        </w:rPr>
        <w:t>项目名称：城乡居民养老保险城区财政补贴；预算资金650万元，2024年度绩效目标为确保城乡居民养老保险养老金按时足额发放，统筹推进城乡社会保障体系建设，保障部分困难城乡居民养老基本生活，</w:t>
      </w:r>
      <w:r>
        <w:rPr>
          <w:rFonts w:hint="eastAsia" w:ascii="仿宋_GB2312" w:hAnsi="宋体"/>
          <w:b w:val="0"/>
          <w:bCs w:val="0"/>
          <w:szCs w:val="32"/>
          <w:highlight w:val="none"/>
          <w:lang w:val="en-US" w:eastAsia="zh-CN"/>
        </w:rPr>
        <w:t>设4条数量指标：</w:t>
      </w:r>
      <w:r>
        <w:rPr>
          <w:rFonts w:hint="eastAsia" w:ascii="仿宋_GB2312" w:hAnsi="宋体"/>
          <w:szCs w:val="32"/>
          <w:highlight w:val="none"/>
          <w:lang w:val="en-US" w:eastAsia="zh-CN"/>
        </w:rPr>
        <w:t>数量指标1.财政补贴城乡居民养老金的人数≥60600人；2.享受补贴的年满65周岁老年居民人数≥39500人；3.特定帮扶对象人数≥3080人；4.个人缴费补贴人数≥72465人。</w:t>
      </w:r>
      <w:r>
        <w:rPr>
          <w:rFonts w:hint="eastAsia" w:ascii="仿宋_GB2312" w:hAnsi="宋体"/>
          <w:b w:val="0"/>
          <w:bCs w:val="0"/>
          <w:szCs w:val="32"/>
          <w:highlight w:val="none"/>
          <w:lang w:val="en-US" w:eastAsia="zh-CN"/>
        </w:rPr>
        <w:t>设1条质量指标：</w:t>
      </w:r>
      <w:r>
        <w:rPr>
          <w:rFonts w:hint="eastAsia" w:ascii="仿宋_GB2312" w:hAnsi="宋体"/>
          <w:szCs w:val="32"/>
          <w:highlight w:val="none"/>
          <w:lang w:val="en-US" w:eastAsia="zh-CN"/>
        </w:rPr>
        <w:t>质量指标1.补贴审核发放合规率100%。</w:t>
      </w:r>
      <w:r>
        <w:rPr>
          <w:rFonts w:hint="eastAsia" w:ascii="仿宋_GB2312" w:hAnsi="宋体"/>
          <w:b w:val="0"/>
          <w:bCs w:val="0"/>
          <w:szCs w:val="32"/>
          <w:highlight w:val="none"/>
          <w:lang w:val="en-US" w:eastAsia="zh-CN"/>
        </w:rPr>
        <w:t>设1条时效指标：</w:t>
      </w:r>
      <w:r>
        <w:rPr>
          <w:rFonts w:hint="eastAsia" w:ascii="仿宋_GB2312" w:hAnsi="宋体"/>
          <w:szCs w:val="32"/>
          <w:highlight w:val="none"/>
          <w:lang w:val="en-US" w:eastAsia="zh-CN"/>
        </w:rPr>
        <w:t>时效指标1.完成时间:2025年12月31日。</w:t>
      </w:r>
      <w:r>
        <w:rPr>
          <w:rFonts w:hint="eastAsia" w:ascii="仿宋_GB2312" w:hAnsi="宋体"/>
          <w:b w:val="0"/>
          <w:bCs w:val="0"/>
          <w:szCs w:val="32"/>
          <w:highlight w:val="none"/>
          <w:lang w:val="en-US" w:eastAsia="zh-CN"/>
        </w:rPr>
        <w:t>设1条成本指标：</w:t>
      </w:r>
      <w:r>
        <w:rPr>
          <w:rFonts w:hint="eastAsia" w:ascii="仿宋_GB2312" w:hAnsi="宋体"/>
          <w:szCs w:val="32"/>
          <w:highlight w:val="none"/>
          <w:lang w:val="en-US" w:eastAsia="zh-CN"/>
        </w:rPr>
        <w:t>成本指标1.城乡居民养老保险补贴成本金额650万元。设2条效益指标：社会效益指标1.城乡老年居民的生活质量同比提高；2.城乡居民养老保险缴费覆盖率≥90%。设1条满意度指标：满意度指标1.补贴对象满意度≥85%。</w:t>
      </w:r>
    </w:p>
    <w:p>
      <w:pPr>
        <w:pStyle w:val="2"/>
        <w:rPr>
          <w:rFonts w:hint="eastAsia"/>
          <w:lang w:val="en-US" w:eastAsia="zh-CN"/>
        </w:rPr>
      </w:pPr>
    </w:p>
    <w:tbl>
      <w:tblPr>
        <w:tblStyle w:val="9"/>
        <w:tblW w:w="8813" w:type="dxa"/>
        <w:tblInd w:w="-2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1448"/>
        <w:gridCol w:w="1320"/>
        <w:gridCol w:w="753"/>
        <w:gridCol w:w="1902"/>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475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仿宋" w:hAnsi="仿宋" w:eastAsia="仿宋" w:cs="仿宋"/>
                <w:b/>
                <w:bCs/>
                <w:i w:val="0"/>
                <w:iCs w:val="0"/>
                <w:color w:val="000000"/>
                <w:kern w:val="0"/>
                <w:sz w:val="32"/>
                <w:szCs w:val="32"/>
                <w:u w:val="none"/>
                <w:lang w:val="en-US" w:eastAsia="zh-CN" w:bidi="ar"/>
              </w:rPr>
              <w:t>项目名称</w:t>
            </w:r>
          </w:p>
        </w:tc>
        <w:tc>
          <w:tcPr>
            <w:tcW w:w="4061" w:type="dxa"/>
            <w:gridSpan w:val="2"/>
            <w:tcBorders>
              <w:top w:val="single" w:color="000000" w:sz="4" w:space="0"/>
              <w:left w:val="single" w:color="000000" w:sz="4" w:space="0"/>
              <w:bottom w:val="nil"/>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仿宋_GB2312" w:hAnsi="仿宋_GB2312" w:eastAsia="仿宋_GB2312" w:cs="仿宋_GB2312"/>
                <w:b/>
                <w:bCs/>
                <w:szCs w:val="32"/>
                <w:vertAlign w:val="baseline"/>
                <w:lang w:eastAsia="zh-CN"/>
              </w:rPr>
              <w:t>预算数（单位：万元）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75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仿宋_GB2312" w:hAnsi="宋体"/>
                <w:szCs w:val="32"/>
                <w:highlight w:val="none"/>
                <w:lang w:val="en-US" w:eastAsia="zh-CN"/>
              </w:rPr>
              <w:t>城乡居民养老保险城区财政补贴</w:t>
            </w:r>
          </w:p>
        </w:tc>
        <w:tc>
          <w:tcPr>
            <w:tcW w:w="4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1600" w:firstLineChars="500"/>
              <w:jc w:val="left"/>
              <w:textAlignment w:val="center"/>
              <w:rPr>
                <w:rFonts w:hint="eastAsia" w:ascii="宋体" w:hAnsi="宋体" w:eastAsia="宋体" w:cs="宋体"/>
                <w:i w:val="0"/>
                <w:iCs w:val="0"/>
                <w:color w:val="000000"/>
                <w:sz w:val="20"/>
                <w:szCs w:val="20"/>
                <w:u w:val="none"/>
                <w:lang w:val="en-US"/>
              </w:rPr>
            </w:pPr>
            <w:r>
              <w:rPr>
                <w:rFonts w:hint="eastAsia" w:ascii="仿宋_GB2312" w:hAnsi="仿宋_GB2312" w:cs="仿宋_GB2312"/>
                <w:szCs w:val="32"/>
                <w:vertAlign w:val="baseline"/>
                <w:lang w:val="en-US" w:eastAsia="zh-CN"/>
              </w:rPr>
              <w:t>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8813"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cs="仿宋_GB2312"/>
                <w:szCs w:val="32"/>
                <w:vertAlign w:val="baseline"/>
                <w:lang w:val="en-US" w:eastAsia="zh-CN"/>
              </w:rPr>
            </w:pPr>
            <w:r>
              <w:rPr>
                <w:rFonts w:hint="eastAsia" w:ascii="仿宋_GB2312" w:hAnsi="仿宋_GB2312" w:eastAsia="仿宋_GB2312" w:cs="仿宋_GB2312"/>
                <w:b/>
                <w:bCs/>
                <w:szCs w:val="32"/>
                <w:vertAlign w:val="baseline"/>
                <w:lang w:eastAsia="zh-CN"/>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8813"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val="0"/>
                <w:bCs w:val="0"/>
                <w:szCs w:val="32"/>
                <w:vertAlign w:val="baseline"/>
                <w:lang w:eastAsia="zh-CN"/>
              </w:rPr>
              <w:t>确保城乡居民养老保险养老金按时足额发放，统筹推进城乡社会保障体系建设，保障部分困难城乡居民养老基本生活。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1" w:hRule="atLeast"/>
        </w:trPr>
        <w:tc>
          <w:tcPr>
            <w:tcW w:w="1231" w:type="dxa"/>
            <w:vMerge w:val="restart"/>
            <w:tcBorders>
              <w:top w:val="single" w:color="000000" w:sz="4" w:space="0"/>
              <w:left w:val="single" w:color="000000" w:sz="4" w:space="0"/>
              <w:bottom w:val="single" w:color="000000" w:sz="4" w:space="0"/>
              <w:right w:val="single" w:color="000000" w:sz="4" w:space="0"/>
            </w:tcBorders>
            <w:textDirection w:val="tbLrV"/>
            <w:vAlign w:val="center"/>
          </w:tcPr>
          <w:p>
            <w:pPr>
              <w:keepNext w:val="0"/>
              <w:keepLines w:val="0"/>
              <w:widowControl/>
              <w:suppressLineNumbers w:val="0"/>
              <w:ind w:left="113" w:right="113"/>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绩效指标</w:t>
            </w:r>
          </w:p>
        </w:tc>
        <w:tc>
          <w:tcPr>
            <w:tcW w:w="14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一级</w:t>
            </w:r>
          </w:p>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指标</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二级</w:t>
            </w:r>
          </w:p>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指标</w:t>
            </w: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三级指标</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i w:val="0"/>
                <w:color w:val="000000"/>
                <w:kern w:val="0"/>
                <w:sz w:val="32"/>
                <w:szCs w:val="32"/>
                <w:u w:val="none"/>
                <w:lang w:val="en-US" w:eastAsia="zh-CN" w:bidi="ar"/>
              </w:rPr>
              <w:t>指标值</w:t>
            </w:r>
          </w:p>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2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14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32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财政补贴城乡居民养老金的人数</w:t>
            </w:r>
          </w:p>
        </w:tc>
        <w:tc>
          <w:tcPr>
            <w:tcW w:w="21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≥60600人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2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享受补贴的年满65周岁老年居民人数</w:t>
            </w:r>
          </w:p>
        </w:tc>
        <w:tc>
          <w:tcPr>
            <w:tcW w:w="2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≥39500人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trPr>
        <w:tc>
          <w:tcPr>
            <w:tcW w:w="12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特定帮扶对象人数</w:t>
            </w:r>
          </w:p>
        </w:tc>
        <w:tc>
          <w:tcPr>
            <w:tcW w:w="2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≥3080人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2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个人缴费补贴人数</w:t>
            </w:r>
          </w:p>
        </w:tc>
        <w:tc>
          <w:tcPr>
            <w:tcW w:w="2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≥72465人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12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14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补贴审核发放合规率</w:t>
            </w:r>
          </w:p>
        </w:tc>
        <w:tc>
          <w:tcPr>
            <w:tcW w:w="21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12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14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完成时间</w:t>
            </w:r>
          </w:p>
        </w:tc>
        <w:tc>
          <w:tcPr>
            <w:tcW w:w="2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2025年12月31日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2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1448"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0"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城乡居民养老保险补贴成本金额</w:t>
            </w:r>
          </w:p>
        </w:tc>
        <w:tc>
          <w:tcPr>
            <w:tcW w:w="2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231"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b/>
                <w:bCs/>
                <w:i w:val="0"/>
                <w:iCs w:val="0"/>
                <w:color w:val="000000"/>
                <w:sz w:val="20"/>
                <w:szCs w:val="20"/>
                <w:u w:val="none"/>
              </w:rPr>
            </w:pPr>
          </w:p>
        </w:tc>
        <w:tc>
          <w:tcPr>
            <w:tcW w:w="1448" w:type="dxa"/>
            <w:vMerge w:val="restart"/>
            <w:tcBorders>
              <w:top w:val="single" w:color="auto" w:sz="4" w:space="0"/>
              <w:left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320" w:type="dxa"/>
            <w:vMerge w:val="restart"/>
            <w:tcBorders>
              <w:top w:val="single" w:color="auto" w:sz="4" w:space="0"/>
              <w:left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w:t>
            </w:r>
          </w:p>
        </w:tc>
        <w:tc>
          <w:tcPr>
            <w:tcW w:w="2655"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城乡老年居民的生活质量</w:t>
            </w:r>
          </w:p>
        </w:tc>
        <w:tc>
          <w:tcPr>
            <w:tcW w:w="2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同比提高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231"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vMerge w:val="continue"/>
            <w:tcBorders>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5"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城乡居民养老保险缴费覆盖率</w:t>
            </w:r>
          </w:p>
        </w:tc>
        <w:tc>
          <w:tcPr>
            <w:tcW w:w="2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231"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b/>
                <w:bCs/>
                <w:i w:val="0"/>
                <w:iCs w:val="0"/>
                <w:color w:val="000000"/>
                <w:sz w:val="20"/>
                <w:szCs w:val="20"/>
                <w:u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320"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服务对象满意度</w:t>
            </w:r>
          </w:p>
        </w:tc>
        <w:tc>
          <w:tcPr>
            <w:tcW w:w="2655"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补贴对象满意度</w:t>
            </w:r>
          </w:p>
        </w:tc>
        <w:tc>
          <w:tcPr>
            <w:tcW w:w="21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r>
    </w:tbl>
    <w:p>
      <w:pPr>
        <w:pStyle w:val="2"/>
        <w:rPr>
          <w:rFonts w:hint="default"/>
          <w:lang w:val="en-US" w:eastAsia="zh-CN"/>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bookmarkStart w:id="0" w:name="_GoBack"/>
      <w:bookmarkEnd w:id="0"/>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ind w:firstLine="862" w:firstLineChars="196"/>
        <w:rPr>
          <w:rFonts w:ascii="仿宋_GB2312" w:hAnsi="宋体" w:eastAsia="仿宋_GB2312"/>
          <w:bCs/>
          <w:sz w:val="44"/>
          <w:szCs w:val="44"/>
          <w:highlight w:val="none"/>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第四部分：柳州市柳江区社会保险事业管理中心2025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8215C"/>
    <w:rsid w:val="0DFB5F51"/>
    <w:rsid w:val="0F4A0C59"/>
    <w:rsid w:val="0FDA3687"/>
    <w:rsid w:val="103117A7"/>
    <w:rsid w:val="105B3813"/>
    <w:rsid w:val="13CD2F8A"/>
    <w:rsid w:val="15DD7808"/>
    <w:rsid w:val="21690C6D"/>
    <w:rsid w:val="26A75E5D"/>
    <w:rsid w:val="27CD231B"/>
    <w:rsid w:val="2F0E7201"/>
    <w:rsid w:val="2FC77C62"/>
    <w:rsid w:val="346912FD"/>
    <w:rsid w:val="36190BE4"/>
    <w:rsid w:val="36E12B65"/>
    <w:rsid w:val="392A132F"/>
    <w:rsid w:val="3AF05D1D"/>
    <w:rsid w:val="3C6A25B1"/>
    <w:rsid w:val="3DA70546"/>
    <w:rsid w:val="3DB67B79"/>
    <w:rsid w:val="46A143E0"/>
    <w:rsid w:val="46FB6809"/>
    <w:rsid w:val="4A9E20B1"/>
    <w:rsid w:val="4E3B534E"/>
    <w:rsid w:val="5AA90721"/>
    <w:rsid w:val="5BF633FF"/>
    <w:rsid w:val="5C2A75BD"/>
    <w:rsid w:val="5D8E7397"/>
    <w:rsid w:val="5F9A63E3"/>
    <w:rsid w:val="60C464CD"/>
    <w:rsid w:val="61790893"/>
    <w:rsid w:val="65760A7C"/>
    <w:rsid w:val="6A3E1DEA"/>
    <w:rsid w:val="6D753925"/>
    <w:rsid w:val="6DAE2E3A"/>
    <w:rsid w:val="6DED6756"/>
    <w:rsid w:val="72092666"/>
    <w:rsid w:val="72C45F14"/>
    <w:rsid w:val="75731E31"/>
    <w:rsid w:val="768417F7"/>
    <w:rsid w:val="777C1329"/>
    <w:rsid w:val="77C82F0C"/>
    <w:rsid w:val="7B1A2AB2"/>
    <w:rsid w:val="7DFF4A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iPriority w:val="0"/>
    <w:pPr>
      <w:widowControl/>
      <w:spacing w:after="100" w:line="276" w:lineRule="auto"/>
      <w:ind w:left="220"/>
      <w:jc w:val="left"/>
      <w:textAlignment w:val="baseline"/>
    </w:pPr>
    <w:rPr>
      <w:kern w:val="0"/>
      <w:sz w:val="22"/>
      <w:szCs w:val="22"/>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5835</Words>
  <Characters>6080</Characters>
  <Lines>0</Lines>
  <Paragraphs>0</Paragraphs>
  <TotalTime>0</TotalTime>
  <ScaleCrop>false</ScaleCrop>
  <LinksUpToDate>false</LinksUpToDate>
  <CharactersWithSpaces>6180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lenovo</cp:lastModifiedBy>
  <dcterms:modified xsi:type="dcterms:W3CDTF">2025-02-10T01:04:55Z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