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黑体" w:eastAsia="黑体" w:cs="黑体"/>
          <w:sz w:val="44"/>
          <w:szCs w:val="44"/>
          <w:highlight w:val="none"/>
          <w:u w:val="none"/>
          <w:lang w:eastAsia="zh-CN"/>
        </w:rPr>
        <w:t>柳州市柳江区城乡规划服务中心</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eastAsia="zh-CN"/>
        </w:rPr>
        <w:t>柳州市柳江区城乡规划服务中心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hAnsi="宋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eastAsia="黑体"/>
          <w:szCs w:val="32"/>
          <w:lang w:eastAsia="zh-CN"/>
        </w:rPr>
        <w:t>柳州市柳江区城乡规划服务中心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rPr>
        <w:t>预算报表</w:t>
      </w: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6BE2508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办理城镇规划区个人自建住房的建设工程规划许可证，并办理上述事项的建设工程规划核实和相应的违法建设认</w:t>
      </w:r>
      <w:r>
        <w:rPr>
          <w:rFonts w:hint="eastAsia" w:ascii="仿宋_GB2312" w:hAnsi="仿宋_GB2312" w:eastAsia="仿宋_GB2312" w:cs="仿宋_GB2312"/>
          <w:color w:val="auto"/>
          <w:sz w:val="32"/>
          <w:szCs w:val="32"/>
          <w:lang w:val="en-US" w:eastAsia="zh-CN"/>
        </w:rPr>
        <w:t>定工作，完成上级交办的其他相关规划工作。</w:t>
      </w:r>
    </w:p>
    <w:p w14:paraId="5A33E1A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黑体" w:eastAsia="黑体"/>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办理工业园区内工业、仓储、科研类项目规划总平面图审查和建设工程规划许可证，并办理上述事项的建设工程规划核实和相应的违法建设认定工作，以及具体落实辖区内镇控制性详细规划和村庄规划的初步审查和上报工作，完成上级交办的其他相关规划工作。</w:t>
      </w:r>
    </w:p>
    <w:p w14:paraId="0CC7EC99">
      <w:pPr>
        <w:spacing w:line="560" w:lineRule="exact"/>
        <w:ind w:firstLine="640" w:firstLineChars="200"/>
        <w:rPr>
          <w:rFonts w:hint="eastAsia" w:ascii="黑体" w:hAnsi="宋体" w:eastAsia="黑体"/>
          <w:color w:val="auto"/>
          <w:szCs w:val="32"/>
        </w:rPr>
      </w:pPr>
      <w:r>
        <w:rPr>
          <w:rFonts w:hint="eastAsia" w:ascii="黑体" w:hAnsi="宋体" w:eastAsia="黑体"/>
          <w:color w:val="auto"/>
          <w:szCs w:val="32"/>
        </w:rPr>
        <w:t>二、机构设置情况</w:t>
      </w:r>
    </w:p>
    <w:p w14:paraId="33D498F1">
      <w:pPr>
        <w:tabs>
          <w:tab w:val="center" w:pos="4475"/>
        </w:tabs>
        <w:spacing w:line="560" w:lineRule="exact"/>
        <w:ind w:firstLine="645"/>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人员构成情况：乡村规划管理股编制10人</w:t>
      </w:r>
      <w:r>
        <w:rPr>
          <w:rFonts w:hint="eastAsia" w:ascii="仿宋_GB2312" w:hAnsi="仿宋_GB2312" w:cs="仿宋_GB2312"/>
          <w:color w:val="auto"/>
          <w:sz w:val="32"/>
          <w:szCs w:val="32"/>
          <w:lang w:val="en-US" w:eastAsia="zh-CN"/>
        </w:rPr>
        <w:t>。</w:t>
      </w:r>
    </w:p>
    <w:p w14:paraId="43D0079E">
      <w:pPr>
        <w:numPr>
          <w:ilvl w:val="0"/>
          <w:numId w:val="0"/>
        </w:numPr>
        <w:tabs>
          <w:tab w:val="center" w:pos="4475"/>
        </w:tabs>
        <w:spacing w:line="560" w:lineRule="exact"/>
        <w:ind w:firstLine="640" w:firstLineChars="200"/>
        <w:rPr>
          <w:rFonts w:hint="eastAsia" w:ascii="仿宋_GB2312" w:hAnsi="仿宋_GB2312" w:cs="仿宋_GB2312"/>
          <w:color w:val="auto"/>
          <w:sz w:val="32"/>
          <w:szCs w:val="32"/>
          <w:lang w:val="en-US" w:eastAsia="zh-CN"/>
        </w:rPr>
      </w:pPr>
      <w:r>
        <w:rPr>
          <w:rFonts w:hint="eastAsia" w:ascii="黑体" w:hAnsi="黑体" w:eastAsia="黑体" w:cs="黑体"/>
          <w:color w:val="auto"/>
          <w:sz w:val="32"/>
          <w:szCs w:val="32"/>
          <w:lang w:val="en-US" w:eastAsia="zh-CN"/>
        </w:rPr>
        <w:t>三、年度主要工作任务。</w:t>
      </w:r>
    </w:p>
    <w:p w14:paraId="4B726552">
      <w:pPr>
        <w:spacing w:line="520" w:lineRule="exact"/>
        <w:ind w:firstLine="600" w:firstLineChars="200"/>
        <w:rPr>
          <w:rFonts w:hint="eastAsia" w:ascii="黑体" w:eastAsia="黑体"/>
          <w:color w:val="auto"/>
          <w:szCs w:val="32"/>
        </w:rPr>
      </w:pPr>
      <w:r>
        <w:rPr>
          <w:rFonts w:hint="eastAsia" w:ascii="仿宋_GB2312" w:eastAsia="仿宋_GB2312"/>
          <w:color w:val="auto"/>
          <w:sz w:val="30"/>
          <w:szCs w:val="30"/>
        </w:rPr>
        <w:t>依法依规开展个人自建住房及工业园区项目规划管理工作，进一步提高服务质量及办事效率。全面推进村庄规划编制，按照应编尽编的原则，对具备条件、有需求的村庄全部完成村庄规划的编制。</w:t>
      </w:r>
    </w:p>
    <w:p w14:paraId="708EEA62">
      <w:pPr>
        <w:tabs>
          <w:tab w:val="center" w:pos="4475"/>
        </w:tabs>
        <w:spacing w:line="560" w:lineRule="exact"/>
        <w:ind w:firstLine="645"/>
        <w:rPr>
          <w:rFonts w:hint="eastAsia" w:ascii="仿宋_GB2312" w:hAnsi="仿宋_GB2312" w:eastAsia="仿宋_GB2312" w:cs="仿宋_GB2312"/>
          <w:color w:val="auto"/>
          <w:szCs w:val="32"/>
          <w:highlight w:val="none"/>
        </w:rPr>
      </w:pPr>
      <w:r>
        <w:rPr>
          <w:rFonts w:hint="eastAsia" w:ascii="黑体" w:eastAsia="黑体"/>
          <w:color w:val="auto"/>
          <w:szCs w:val="32"/>
        </w:rPr>
        <w:t>第二部分：</w:t>
      </w:r>
      <w:r>
        <w:rPr>
          <w:rFonts w:hint="eastAsia" w:ascii="黑体" w:eastAsia="黑体"/>
          <w:color w:val="auto"/>
          <w:szCs w:val="32"/>
          <w:lang w:eastAsia="zh-CN"/>
        </w:rPr>
        <w:t>柳州市柳江区城乡规划服务中心</w:t>
      </w:r>
      <w:r>
        <w:rPr>
          <w:rFonts w:hint="eastAsia" w:ascii="黑体" w:hAnsi="宋体" w:eastAsia="黑体"/>
          <w:color w:val="auto"/>
          <w:szCs w:val="32"/>
        </w:rPr>
        <w:t>202</w:t>
      </w:r>
      <w:r>
        <w:rPr>
          <w:rFonts w:hint="eastAsia" w:ascii="黑体" w:hAnsi="宋体" w:eastAsia="黑体"/>
          <w:color w:val="auto"/>
          <w:szCs w:val="32"/>
          <w:lang w:val="en-US" w:eastAsia="zh-CN"/>
        </w:rPr>
        <w:t>5</w:t>
      </w:r>
      <w:r>
        <w:rPr>
          <w:rFonts w:hint="eastAsia" w:ascii="黑体" w:hAnsi="宋体" w:eastAsia="黑体"/>
          <w:color w:val="auto"/>
          <w:szCs w:val="32"/>
        </w:rPr>
        <w:t>年</w:t>
      </w:r>
      <w:r>
        <w:rPr>
          <w:rFonts w:hint="eastAsia" w:ascii="黑体" w:eastAsia="黑体"/>
          <w:color w:val="auto"/>
          <w:szCs w:val="32"/>
        </w:rPr>
        <w:t>单位预算情况说明</w:t>
      </w:r>
    </w:p>
    <w:p w14:paraId="5C5E30AB">
      <w:pPr>
        <w:tabs>
          <w:tab w:val="center" w:pos="4475"/>
        </w:tabs>
        <w:spacing w:line="560" w:lineRule="exact"/>
        <w:ind w:firstLine="645"/>
        <w:rPr>
          <w:rFonts w:hint="eastAsia" w:ascii="黑体" w:eastAsia="黑体"/>
          <w:color w:val="auto"/>
          <w:szCs w:val="32"/>
        </w:rPr>
      </w:pPr>
      <w:r>
        <w:rPr>
          <w:rFonts w:hint="eastAsia" w:ascii="黑体" w:eastAsia="黑体"/>
          <w:color w:val="auto"/>
          <w:szCs w:val="32"/>
        </w:rPr>
        <w:t>一、单位</w:t>
      </w:r>
      <w:r>
        <w:rPr>
          <w:rFonts w:hint="eastAsia" w:ascii="黑体" w:eastAsia="黑体"/>
          <w:color w:val="auto"/>
          <w:szCs w:val="32"/>
          <w:lang w:eastAsia="zh-CN"/>
        </w:rPr>
        <w:t>预算</w:t>
      </w:r>
      <w:r>
        <w:rPr>
          <w:rFonts w:hint="eastAsia" w:ascii="黑体" w:eastAsia="黑体"/>
          <w:color w:val="auto"/>
          <w:szCs w:val="32"/>
        </w:rPr>
        <w:t>收支</w:t>
      </w:r>
      <w:r>
        <w:rPr>
          <w:rFonts w:hint="eastAsia" w:ascii="黑体" w:eastAsia="黑体"/>
          <w:color w:val="auto"/>
          <w:szCs w:val="32"/>
          <w:lang w:eastAsia="zh-CN"/>
        </w:rPr>
        <w:t>增减变化</w:t>
      </w:r>
      <w:r>
        <w:rPr>
          <w:rFonts w:hint="eastAsia" w:ascii="黑体" w:eastAsia="黑体"/>
          <w:color w:val="auto"/>
          <w:szCs w:val="32"/>
        </w:rPr>
        <w:t>情况说明</w:t>
      </w:r>
    </w:p>
    <w:p w14:paraId="07A7473B">
      <w:pPr>
        <w:tabs>
          <w:tab w:val="center" w:pos="4475"/>
        </w:tabs>
        <w:spacing w:line="560" w:lineRule="exact"/>
        <w:ind w:firstLine="645"/>
        <w:rPr>
          <w:rFonts w:hint="eastAsia" w:ascii="黑体" w:eastAsia="黑体"/>
          <w:color w:val="auto"/>
          <w:szCs w:val="32"/>
        </w:rPr>
      </w:pP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rPr>
        <w:t>总收入</w:t>
      </w:r>
      <w:r>
        <w:rPr>
          <w:rFonts w:hint="eastAsia" w:ascii="仿宋_GB2312"/>
          <w:color w:val="auto"/>
          <w:sz w:val="32"/>
          <w:szCs w:val="32"/>
          <w:lang w:val="en-US" w:eastAsia="zh-CN"/>
        </w:rPr>
        <w:t>156.87</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rPr>
        <w:t>总支出</w:t>
      </w:r>
      <w:r>
        <w:rPr>
          <w:rFonts w:hint="eastAsia" w:ascii="仿宋_GB2312"/>
          <w:color w:val="auto"/>
          <w:sz w:val="32"/>
          <w:szCs w:val="32"/>
          <w:lang w:val="en-US" w:eastAsia="zh-CN"/>
        </w:rPr>
        <w:t>156.87</w:t>
      </w:r>
      <w:r>
        <w:rPr>
          <w:rFonts w:hint="eastAsia" w:ascii="仿宋_GB2312" w:eastAsia="仿宋_GB2312"/>
          <w:color w:val="auto"/>
          <w:sz w:val="32"/>
          <w:szCs w:val="32"/>
        </w:rPr>
        <w:t>万元</w:t>
      </w:r>
      <w:r>
        <w:rPr>
          <w:rFonts w:hint="eastAsia" w:ascii="仿宋_GB2312" w:eastAsia="仿宋_GB2312"/>
          <w:color w:val="auto"/>
          <w:sz w:val="32"/>
          <w:szCs w:val="32"/>
          <w:highlight w:val="none"/>
          <w:lang w:eastAsia="zh-CN"/>
        </w:rPr>
        <w:t>（不含财政拨款上年未列支结转收支数）</w:t>
      </w:r>
      <w:r>
        <w:rPr>
          <w:rFonts w:hint="eastAsia" w:ascii="仿宋_GB2312" w:eastAsia="仿宋_GB2312"/>
          <w:color w:val="auto"/>
          <w:sz w:val="32"/>
          <w:szCs w:val="32"/>
          <w:lang w:eastAsia="zh-CN"/>
        </w:rPr>
        <w:t>。</w:t>
      </w:r>
      <w:r>
        <w:rPr>
          <w:rFonts w:hint="eastAsia" w:ascii="仿宋_GB2312"/>
          <w:color w:val="auto"/>
          <w:sz w:val="32"/>
          <w:szCs w:val="32"/>
          <w:lang w:eastAsia="zh-CN"/>
        </w:rPr>
        <w:t>总收入较上年减少</w:t>
      </w:r>
      <w:r>
        <w:rPr>
          <w:rFonts w:hint="eastAsia" w:ascii="仿宋_GB2312"/>
          <w:color w:val="auto"/>
          <w:sz w:val="32"/>
          <w:szCs w:val="32"/>
          <w:lang w:val="en-US" w:eastAsia="zh-CN"/>
        </w:rPr>
        <w:t>2.28</w:t>
      </w:r>
      <w:r>
        <w:rPr>
          <w:rFonts w:hint="default" w:ascii="仿宋_GB2312"/>
          <w:color w:val="auto"/>
          <w:sz w:val="32"/>
          <w:szCs w:val="32"/>
          <w:lang w:val="en" w:eastAsia="zh-CN"/>
        </w:rPr>
        <w:t xml:space="preserve">  </w:t>
      </w:r>
      <w:r>
        <w:rPr>
          <w:rFonts w:hint="eastAsia" w:ascii="仿宋_GB2312"/>
          <w:color w:val="auto"/>
          <w:sz w:val="32"/>
          <w:szCs w:val="32"/>
          <w:lang w:val="en" w:eastAsia="zh-CN"/>
        </w:rPr>
        <w:t>万元，</w:t>
      </w:r>
      <w:r>
        <w:rPr>
          <w:rFonts w:hint="eastAsia" w:ascii="仿宋_GB2312"/>
          <w:color w:val="auto"/>
          <w:sz w:val="32"/>
          <w:szCs w:val="32"/>
          <w:lang w:eastAsia="zh-CN"/>
        </w:rPr>
        <w:t>减少</w:t>
      </w:r>
      <w:r>
        <w:rPr>
          <w:rFonts w:hint="eastAsia" w:ascii="仿宋_GB2312"/>
          <w:color w:val="auto"/>
          <w:sz w:val="32"/>
          <w:szCs w:val="32"/>
          <w:lang w:val="en-US" w:eastAsia="zh-CN"/>
        </w:rPr>
        <w:t>1.43%，主要原因是压缩预算支出。总支出</w:t>
      </w:r>
      <w:r>
        <w:rPr>
          <w:rFonts w:hint="eastAsia" w:ascii="仿宋_GB2312"/>
          <w:color w:val="auto"/>
          <w:sz w:val="32"/>
          <w:szCs w:val="32"/>
          <w:lang w:eastAsia="zh-CN"/>
        </w:rPr>
        <w:t>较上年减少</w:t>
      </w:r>
      <w:r>
        <w:rPr>
          <w:rFonts w:hint="eastAsia" w:ascii="仿宋_GB2312"/>
          <w:color w:val="auto"/>
          <w:sz w:val="32"/>
          <w:szCs w:val="32"/>
          <w:lang w:val="en-US" w:eastAsia="zh-CN"/>
        </w:rPr>
        <w:t>1.43 %，主要原因是压缩预算支出。</w:t>
      </w:r>
    </w:p>
    <w:p w14:paraId="2FB6A1E0">
      <w:pPr>
        <w:tabs>
          <w:tab w:val="center" w:pos="4475"/>
        </w:tabs>
        <w:spacing w:line="560" w:lineRule="exact"/>
        <w:ind w:firstLine="645"/>
        <w:rPr>
          <w:rFonts w:hint="eastAsia" w:ascii="黑体" w:eastAsia="黑体"/>
          <w:color w:val="auto"/>
          <w:szCs w:val="32"/>
        </w:rPr>
      </w:pPr>
      <w:r>
        <w:rPr>
          <w:rFonts w:hint="eastAsia" w:ascii="黑体" w:eastAsia="黑体"/>
          <w:color w:val="auto"/>
          <w:szCs w:val="32"/>
        </w:rPr>
        <w:t>二、单位</w:t>
      </w:r>
      <w:r>
        <w:rPr>
          <w:rFonts w:hint="eastAsia" w:ascii="黑体" w:eastAsia="黑体"/>
          <w:color w:val="auto"/>
          <w:szCs w:val="32"/>
          <w:lang w:eastAsia="zh-CN"/>
        </w:rPr>
        <w:t>预算</w:t>
      </w:r>
      <w:r>
        <w:rPr>
          <w:rFonts w:hint="eastAsia" w:ascii="黑体" w:eastAsia="黑体"/>
          <w:color w:val="auto"/>
          <w:szCs w:val="32"/>
        </w:rPr>
        <w:t>收入总体情况说明</w:t>
      </w:r>
    </w:p>
    <w:p w14:paraId="08A0F076">
      <w:pPr>
        <w:tabs>
          <w:tab w:val="center" w:pos="4475"/>
        </w:tabs>
        <w:spacing w:line="560" w:lineRule="exact"/>
        <w:ind w:firstLine="645"/>
        <w:rPr>
          <w:rFonts w:hint="eastAsia" w:ascii="黑体" w:eastAsia="黑体"/>
          <w:color w:val="auto"/>
          <w:szCs w:val="32"/>
        </w:rPr>
      </w:pP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rPr>
        <w:t>总收入</w:t>
      </w:r>
      <w:r>
        <w:rPr>
          <w:rFonts w:hint="eastAsia" w:ascii="仿宋_GB2312"/>
          <w:color w:val="auto"/>
          <w:sz w:val="32"/>
          <w:szCs w:val="32"/>
          <w:lang w:val="en-US" w:eastAsia="zh-CN"/>
        </w:rPr>
        <w:t>156.87</w:t>
      </w:r>
      <w:r>
        <w:rPr>
          <w:rFonts w:hint="eastAsia" w:ascii="仿宋_GB2312" w:eastAsia="仿宋_GB2312"/>
          <w:color w:val="auto"/>
          <w:sz w:val="32"/>
          <w:szCs w:val="32"/>
        </w:rPr>
        <w:t>万元</w:t>
      </w:r>
      <w:r>
        <w:rPr>
          <w:rFonts w:hint="eastAsia" w:ascii="仿宋_GB2312"/>
          <w:color w:val="auto"/>
          <w:sz w:val="32"/>
          <w:szCs w:val="32"/>
          <w:lang w:eastAsia="zh-CN"/>
        </w:rPr>
        <w:t>，较上年减少</w:t>
      </w:r>
      <w:r>
        <w:rPr>
          <w:rFonts w:hint="eastAsia" w:ascii="仿宋_GB2312"/>
          <w:color w:val="auto"/>
          <w:sz w:val="32"/>
          <w:szCs w:val="32"/>
          <w:lang w:val="en-US" w:eastAsia="zh-CN"/>
        </w:rPr>
        <w:t>2.28</w:t>
      </w:r>
      <w:r>
        <w:rPr>
          <w:rFonts w:hint="eastAsia" w:ascii="仿宋_GB2312"/>
          <w:color w:val="auto"/>
          <w:sz w:val="32"/>
          <w:szCs w:val="32"/>
          <w:lang w:val="en" w:eastAsia="zh-CN"/>
        </w:rPr>
        <w:t>万元，</w:t>
      </w:r>
      <w:r>
        <w:rPr>
          <w:rFonts w:hint="eastAsia" w:ascii="仿宋_GB2312"/>
          <w:color w:val="auto"/>
          <w:sz w:val="32"/>
          <w:szCs w:val="32"/>
          <w:lang w:eastAsia="zh-CN"/>
        </w:rPr>
        <w:t>减少</w:t>
      </w:r>
      <w:r>
        <w:rPr>
          <w:rFonts w:hint="eastAsia" w:ascii="仿宋_GB2312"/>
          <w:color w:val="auto"/>
          <w:sz w:val="32"/>
          <w:szCs w:val="32"/>
          <w:lang w:val="en-US" w:eastAsia="zh-CN"/>
        </w:rPr>
        <w:t>1.43 %，主要原因是</w:t>
      </w:r>
      <w:r>
        <w:rPr>
          <w:rFonts w:hint="eastAsia" w:ascii="仿宋_GB2312"/>
          <w:color w:val="auto"/>
          <w:sz w:val="32"/>
          <w:szCs w:val="32"/>
          <w:lang w:val="en-US" w:eastAsia="zh-CN"/>
        </w:rPr>
        <w:t>压缩预算支出。单位收入主要包括：</w:t>
      </w:r>
      <w:r>
        <w:rPr>
          <w:rFonts w:hint="eastAsia" w:ascii="仿宋_GB2312" w:hAnsi="宋体"/>
          <w:color w:val="auto"/>
          <w:szCs w:val="32"/>
          <w:lang w:val="en-US" w:eastAsia="zh-CN"/>
        </w:rPr>
        <w:t>一般公共预算收入。</w:t>
      </w:r>
    </w:p>
    <w:p w14:paraId="2E04A3E8">
      <w:pPr>
        <w:tabs>
          <w:tab w:val="center" w:pos="4475"/>
        </w:tabs>
        <w:spacing w:line="560" w:lineRule="exact"/>
        <w:ind w:firstLine="645"/>
        <w:rPr>
          <w:rFonts w:hint="eastAsia" w:ascii="黑体" w:eastAsia="黑体"/>
          <w:color w:val="auto"/>
          <w:szCs w:val="32"/>
        </w:rPr>
      </w:pPr>
      <w:r>
        <w:rPr>
          <w:rFonts w:hint="eastAsia" w:ascii="黑体" w:eastAsia="黑体"/>
          <w:color w:val="auto"/>
          <w:szCs w:val="32"/>
        </w:rPr>
        <w:t>三、单位</w:t>
      </w:r>
      <w:r>
        <w:rPr>
          <w:rFonts w:hint="eastAsia" w:ascii="黑体" w:eastAsia="黑体"/>
          <w:color w:val="auto"/>
          <w:szCs w:val="32"/>
          <w:lang w:eastAsia="zh-CN"/>
        </w:rPr>
        <w:t>预算</w:t>
      </w:r>
      <w:r>
        <w:rPr>
          <w:rFonts w:hint="eastAsia" w:ascii="黑体" w:eastAsia="黑体"/>
          <w:color w:val="auto"/>
          <w:szCs w:val="32"/>
        </w:rPr>
        <w:t>支出总体情况说明</w:t>
      </w:r>
    </w:p>
    <w:p w14:paraId="3C0494F8">
      <w:pPr>
        <w:pStyle w:val="4"/>
        <w:spacing w:before="0" w:beforeAutospacing="0" w:after="0" w:afterAutospacing="0" w:line="540" w:lineRule="exact"/>
        <w:ind w:firstLine="640" w:firstLineChars="200"/>
        <w:rPr>
          <w:rFonts w:hint="eastAsia" w:ascii="仿宋_GB2312"/>
          <w:color w:val="auto"/>
          <w:sz w:val="32"/>
          <w:szCs w:val="32"/>
          <w:lang w:val="en-US" w:eastAsia="zh-CN"/>
        </w:rPr>
      </w:pPr>
      <w:r>
        <w:rPr>
          <w:rFonts w:hint="eastAsia" w:ascii="仿宋_GB2312" w:hAnsi="宋体" w:eastAsia="仿宋_GB2312" w:cs="Times New Roman"/>
          <w:color w:val="auto"/>
          <w:sz w:val="32"/>
          <w:szCs w:val="32"/>
          <w:highlight w:val="none"/>
          <w:lang w:eastAsia="zh-CN"/>
        </w:rPr>
        <w:t>我</w:t>
      </w:r>
      <w:r>
        <w:rPr>
          <w:rFonts w:hint="eastAsia" w:ascii="仿宋_GB2312" w:hAnsi="宋体" w:cs="Times New Roman"/>
          <w:color w:val="auto"/>
          <w:sz w:val="32"/>
          <w:szCs w:val="32"/>
          <w:highlight w:val="none"/>
          <w:lang w:eastAsia="zh-CN"/>
        </w:rPr>
        <w:t>单位</w:t>
      </w:r>
      <w:r>
        <w:rPr>
          <w:rFonts w:hint="eastAsia" w:ascii="仿宋_GB2312" w:eastAsia="仿宋_GB2312"/>
          <w:color w:val="auto"/>
          <w:sz w:val="32"/>
          <w:szCs w:val="32"/>
        </w:rPr>
        <w:t>总</w:t>
      </w:r>
      <w:r>
        <w:rPr>
          <w:rFonts w:hint="eastAsia" w:ascii="仿宋_GB2312"/>
          <w:color w:val="auto"/>
          <w:sz w:val="32"/>
          <w:szCs w:val="32"/>
          <w:lang w:eastAsia="zh-CN"/>
        </w:rPr>
        <w:t>支出</w:t>
      </w:r>
      <w:r>
        <w:rPr>
          <w:rFonts w:hint="eastAsia" w:ascii="仿宋_GB2312"/>
          <w:color w:val="auto"/>
          <w:sz w:val="32"/>
          <w:szCs w:val="32"/>
          <w:lang w:val="en-US" w:eastAsia="zh-CN"/>
        </w:rPr>
        <w:t>156.87</w:t>
      </w:r>
      <w:r>
        <w:rPr>
          <w:rFonts w:hint="eastAsia" w:ascii="仿宋_GB2312" w:eastAsia="仿宋_GB2312"/>
          <w:color w:val="auto"/>
          <w:sz w:val="32"/>
          <w:szCs w:val="32"/>
        </w:rPr>
        <w:t>万元</w:t>
      </w:r>
      <w:r>
        <w:rPr>
          <w:rFonts w:hint="eastAsia" w:ascii="仿宋_GB2312"/>
          <w:color w:val="auto"/>
          <w:sz w:val="32"/>
          <w:szCs w:val="32"/>
          <w:lang w:eastAsia="zh-CN"/>
        </w:rPr>
        <w:t>，较上年减少</w:t>
      </w:r>
      <w:r>
        <w:rPr>
          <w:rFonts w:hint="eastAsia" w:ascii="仿宋_GB2312"/>
          <w:color w:val="auto"/>
          <w:sz w:val="32"/>
          <w:szCs w:val="32"/>
          <w:lang w:val="en-US" w:eastAsia="zh-CN"/>
        </w:rPr>
        <w:t>2.28</w:t>
      </w:r>
      <w:r>
        <w:rPr>
          <w:rFonts w:hint="eastAsia" w:ascii="仿宋_GB2312"/>
          <w:color w:val="auto"/>
          <w:sz w:val="32"/>
          <w:szCs w:val="32"/>
          <w:lang w:val="en" w:eastAsia="zh-CN"/>
        </w:rPr>
        <w:t>万元，</w:t>
      </w:r>
      <w:r>
        <w:rPr>
          <w:rFonts w:hint="eastAsia" w:ascii="仿宋_GB2312"/>
          <w:color w:val="auto"/>
          <w:sz w:val="32"/>
          <w:szCs w:val="32"/>
          <w:lang w:eastAsia="zh-CN"/>
        </w:rPr>
        <w:t>减少</w:t>
      </w:r>
      <w:r>
        <w:rPr>
          <w:rFonts w:hint="eastAsia" w:ascii="仿宋_GB2312"/>
          <w:color w:val="auto"/>
          <w:sz w:val="32"/>
          <w:szCs w:val="32"/>
          <w:lang w:val="en-US" w:eastAsia="zh-CN"/>
        </w:rPr>
        <w:t>1.43 %，主要原因是压缩预算支出。单位支出主要包括：</w:t>
      </w:r>
    </w:p>
    <w:p w14:paraId="4F46C77D">
      <w:pPr>
        <w:pStyle w:val="4"/>
        <w:spacing w:before="0" w:beforeAutospacing="0" w:after="0" w:afterAutospacing="0" w:line="540" w:lineRule="exact"/>
        <w:ind w:firstLine="640" w:firstLineChars="200"/>
        <w:rPr>
          <w:rFonts w:hint="eastAsia" w:ascii="仿宋_GB2312" w:hAnsi="Times New Roman" w:eastAsia="仿宋_GB2312" w:cs="Times New Roman"/>
          <w:color w:val="auto"/>
          <w:kern w:val="2"/>
          <w:sz w:val="32"/>
          <w:szCs w:val="32"/>
          <w:highlight w:val="none"/>
        </w:rPr>
      </w:pPr>
      <w:r>
        <w:rPr>
          <w:rFonts w:hint="eastAsia" w:ascii="仿宋_GB2312" w:hAnsi="Times New Roman" w:eastAsia="仿宋_GB2312" w:cs="Times New Roman"/>
          <w:color w:val="auto"/>
          <w:kern w:val="2"/>
          <w:sz w:val="32"/>
          <w:szCs w:val="32"/>
          <w:highlight w:val="none"/>
        </w:rPr>
        <w:t>（1）</w:t>
      </w:r>
      <w:r>
        <w:rPr>
          <w:rFonts w:hint="eastAsia" w:ascii="仿宋_GB2312" w:hAnsi="仿宋_GB2312" w:eastAsia="仿宋_GB2312" w:cs="仿宋_GB2312"/>
          <w:color w:val="auto"/>
          <w:kern w:val="2"/>
          <w:sz w:val="32"/>
          <w:szCs w:val="32"/>
          <w:highlight w:val="none"/>
          <w:lang w:eastAsia="zh-CN"/>
        </w:rPr>
        <w:t>社会保障和就业</w:t>
      </w:r>
      <w:r>
        <w:rPr>
          <w:rFonts w:hint="eastAsia" w:ascii="仿宋_GB2312" w:hAnsi="仿宋_GB2312" w:eastAsia="仿宋_GB2312" w:cs="仿宋_GB2312"/>
          <w:color w:val="auto"/>
          <w:kern w:val="2"/>
          <w:sz w:val="32"/>
          <w:szCs w:val="32"/>
          <w:highlight w:val="none"/>
        </w:rPr>
        <w:t>类科目</w:t>
      </w:r>
      <w:r>
        <w:rPr>
          <w:rFonts w:hint="eastAsia" w:ascii="仿宋_GB2312" w:hAnsi="Times New Roman" w:eastAsia="仿宋_GB2312" w:cs="Times New Roman"/>
          <w:color w:val="auto"/>
          <w:kern w:val="2"/>
          <w:sz w:val="32"/>
          <w:szCs w:val="32"/>
          <w:highlight w:val="none"/>
        </w:rPr>
        <w:t>支出预算</w:t>
      </w:r>
      <w:r>
        <w:rPr>
          <w:rFonts w:hint="eastAsia" w:ascii="仿宋_GB2312" w:hAnsi="Times New Roman" w:cs="Times New Roman"/>
          <w:color w:val="auto"/>
          <w:kern w:val="2"/>
          <w:sz w:val="32"/>
          <w:szCs w:val="32"/>
          <w:highlight w:val="none"/>
          <w:lang w:val="en-US" w:eastAsia="zh-CN"/>
        </w:rPr>
        <w:t>22.58</w:t>
      </w:r>
      <w:r>
        <w:rPr>
          <w:rFonts w:hint="eastAsia" w:ascii="仿宋_GB2312" w:hAnsi="Times New Roman" w:eastAsia="仿宋_GB2312" w:cs="Times New Roman"/>
          <w:color w:val="auto"/>
          <w:kern w:val="2"/>
          <w:sz w:val="32"/>
          <w:szCs w:val="32"/>
          <w:highlight w:val="none"/>
        </w:rPr>
        <w:t>万元，占支出总预算</w:t>
      </w:r>
      <w:r>
        <w:rPr>
          <w:rFonts w:hint="eastAsia" w:ascii="仿宋_GB2312" w:hAnsi="Times New Roman" w:cs="Times New Roman"/>
          <w:color w:val="auto"/>
          <w:kern w:val="2"/>
          <w:sz w:val="32"/>
          <w:szCs w:val="32"/>
          <w:highlight w:val="none"/>
          <w:lang w:val="en-US" w:eastAsia="zh-CN"/>
        </w:rPr>
        <w:t>14.39</w:t>
      </w:r>
      <w:r>
        <w:rPr>
          <w:rFonts w:hint="eastAsia" w:ascii="仿宋_GB2312" w:hAnsi="Times New Roman" w:eastAsia="仿宋_GB2312" w:cs="Times New Roman"/>
          <w:color w:val="auto"/>
          <w:kern w:val="2"/>
          <w:sz w:val="32"/>
          <w:szCs w:val="32"/>
          <w:highlight w:val="none"/>
        </w:rPr>
        <w:t>%，</w:t>
      </w:r>
      <w:r>
        <w:rPr>
          <w:rFonts w:hint="eastAsia" w:ascii="仿宋_GB2312" w:eastAsia="仿宋_GB2312"/>
          <w:color w:val="auto"/>
          <w:sz w:val="32"/>
          <w:szCs w:val="32"/>
          <w:highlight w:val="none"/>
        </w:rPr>
        <w:t>同比</w:t>
      </w:r>
      <w:r>
        <w:rPr>
          <w:rFonts w:hint="eastAsia" w:ascii="仿宋_GB2312"/>
          <w:color w:val="auto"/>
          <w:sz w:val="32"/>
          <w:szCs w:val="32"/>
          <w:highlight w:val="none"/>
          <w:lang w:eastAsia="zh-CN"/>
        </w:rPr>
        <w:t>减少</w:t>
      </w:r>
      <w:r>
        <w:rPr>
          <w:rFonts w:hint="eastAsia" w:ascii="仿宋_GB2312"/>
          <w:color w:val="auto"/>
          <w:sz w:val="32"/>
          <w:szCs w:val="32"/>
          <w:highlight w:val="none"/>
          <w:lang w:val="en-US" w:eastAsia="zh-CN"/>
        </w:rPr>
        <w:t>2.48</w:t>
      </w:r>
      <w:r>
        <w:rPr>
          <w:rFonts w:hint="eastAsia" w:ascii="仿宋_GB2312" w:eastAsia="仿宋_GB2312"/>
          <w:color w:val="auto"/>
          <w:sz w:val="32"/>
          <w:szCs w:val="32"/>
          <w:highlight w:val="none"/>
        </w:rPr>
        <w:t>万元，同比</w:t>
      </w:r>
      <w:r>
        <w:rPr>
          <w:rFonts w:hint="eastAsia" w:ascii="仿宋_GB2312"/>
          <w:color w:val="auto"/>
          <w:sz w:val="32"/>
          <w:szCs w:val="32"/>
          <w:highlight w:val="none"/>
          <w:lang w:eastAsia="zh-CN"/>
        </w:rPr>
        <w:t>下降</w:t>
      </w:r>
      <w:r>
        <w:rPr>
          <w:rFonts w:hint="eastAsia" w:ascii="仿宋_GB2312"/>
          <w:color w:val="auto"/>
          <w:sz w:val="32"/>
          <w:szCs w:val="32"/>
          <w:highlight w:val="none"/>
          <w:lang w:val="en-US" w:eastAsia="zh-CN"/>
        </w:rPr>
        <w:t>9.90</w:t>
      </w:r>
      <w:r>
        <w:rPr>
          <w:rFonts w:hint="eastAsia" w:ascii="仿宋_GB2312" w:eastAsia="仿宋_GB2312"/>
          <w:color w:val="auto"/>
          <w:sz w:val="32"/>
          <w:szCs w:val="32"/>
          <w:highlight w:val="none"/>
        </w:rPr>
        <w:t>%</w:t>
      </w:r>
      <w:r>
        <w:rPr>
          <w:rFonts w:hint="eastAsia" w:ascii="仿宋_GB2312"/>
          <w:color w:val="auto"/>
          <w:sz w:val="32"/>
          <w:szCs w:val="32"/>
          <w:highlight w:val="none"/>
          <w:lang w:eastAsia="zh-CN"/>
        </w:rPr>
        <w:t>，</w:t>
      </w:r>
      <w:r>
        <w:rPr>
          <w:rFonts w:hint="eastAsia" w:ascii="仿宋_GB2312"/>
          <w:color w:val="auto"/>
          <w:sz w:val="32"/>
          <w:szCs w:val="32"/>
          <w:lang w:val="en-US" w:eastAsia="zh-CN"/>
        </w:rPr>
        <w:t>主要原因是压缩预算支出；</w:t>
      </w:r>
    </w:p>
    <w:p w14:paraId="479761C4">
      <w:pPr>
        <w:pStyle w:val="4"/>
        <w:spacing w:before="0" w:beforeAutospacing="0" w:after="0" w:afterAutospacing="0" w:line="540" w:lineRule="exact"/>
        <w:ind w:firstLine="640" w:firstLineChars="200"/>
        <w:rPr>
          <w:rFonts w:hint="eastAsia" w:ascii="仿宋_GB2312" w:hAnsi="Times New Roman" w:eastAsia="仿宋_GB2312" w:cs="Times New Roman"/>
          <w:color w:val="auto"/>
          <w:kern w:val="2"/>
          <w:sz w:val="32"/>
          <w:szCs w:val="32"/>
          <w:highlight w:val="none"/>
        </w:rPr>
      </w:pPr>
      <w:r>
        <w:rPr>
          <w:rFonts w:hint="eastAsia" w:ascii="仿宋_GB2312" w:hAnsi="Times New Roman" w:eastAsia="仿宋_GB2312" w:cs="Times New Roman"/>
          <w:color w:val="auto"/>
          <w:kern w:val="2"/>
          <w:sz w:val="32"/>
          <w:szCs w:val="32"/>
          <w:highlight w:val="none"/>
        </w:rPr>
        <w:t>（2）卫生健康</w:t>
      </w:r>
      <w:r>
        <w:rPr>
          <w:rFonts w:hint="eastAsia" w:ascii="仿宋_GB2312" w:hAnsi="Times New Roman" w:cs="Times New Roman"/>
          <w:color w:val="auto"/>
          <w:kern w:val="2"/>
          <w:sz w:val="32"/>
          <w:szCs w:val="32"/>
          <w:highlight w:val="none"/>
          <w:lang w:eastAsia="zh-CN"/>
        </w:rPr>
        <w:t>类科目</w:t>
      </w:r>
      <w:r>
        <w:rPr>
          <w:rFonts w:hint="eastAsia" w:ascii="仿宋_GB2312" w:hAnsi="Times New Roman" w:eastAsia="仿宋_GB2312" w:cs="Times New Roman"/>
          <w:color w:val="auto"/>
          <w:kern w:val="2"/>
          <w:sz w:val="32"/>
          <w:szCs w:val="32"/>
          <w:highlight w:val="none"/>
        </w:rPr>
        <w:t>支出预算</w:t>
      </w:r>
      <w:r>
        <w:rPr>
          <w:rFonts w:hint="eastAsia" w:ascii="仿宋_GB2312" w:hAnsi="Times New Roman" w:cs="Times New Roman"/>
          <w:color w:val="auto"/>
          <w:kern w:val="2"/>
          <w:sz w:val="32"/>
          <w:szCs w:val="32"/>
          <w:highlight w:val="none"/>
          <w:lang w:val="en-US" w:eastAsia="zh-CN"/>
        </w:rPr>
        <w:t>7.41</w:t>
      </w:r>
      <w:r>
        <w:rPr>
          <w:rFonts w:hint="eastAsia" w:ascii="仿宋_GB2312" w:hAnsi="Times New Roman" w:eastAsia="仿宋_GB2312" w:cs="Times New Roman"/>
          <w:color w:val="auto"/>
          <w:kern w:val="2"/>
          <w:sz w:val="32"/>
          <w:szCs w:val="32"/>
          <w:highlight w:val="none"/>
        </w:rPr>
        <w:t>万元, 占支出总预算</w:t>
      </w:r>
      <w:r>
        <w:rPr>
          <w:rFonts w:hint="eastAsia" w:ascii="仿宋_GB2312" w:hAnsi="Times New Roman" w:cs="Times New Roman"/>
          <w:color w:val="auto"/>
          <w:kern w:val="2"/>
          <w:sz w:val="32"/>
          <w:szCs w:val="32"/>
          <w:highlight w:val="none"/>
          <w:lang w:val="en-US" w:eastAsia="zh-CN"/>
        </w:rPr>
        <w:t>4.72</w:t>
      </w:r>
      <w:r>
        <w:rPr>
          <w:rFonts w:hint="eastAsia" w:ascii="仿宋_GB2312" w:hAnsi="Times New Roman" w:eastAsia="仿宋_GB2312" w:cs="Times New Roman"/>
          <w:color w:val="auto"/>
          <w:kern w:val="2"/>
          <w:sz w:val="32"/>
          <w:szCs w:val="32"/>
          <w:highlight w:val="none"/>
        </w:rPr>
        <w:t>%，</w:t>
      </w:r>
      <w:r>
        <w:rPr>
          <w:rFonts w:hint="eastAsia" w:ascii="仿宋_GB2312" w:eastAsia="仿宋_GB2312"/>
          <w:color w:val="auto"/>
          <w:sz w:val="32"/>
          <w:szCs w:val="32"/>
          <w:highlight w:val="none"/>
        </w:rPr>
        <w:t>同比</w:t>
      </w:r>
      <w:r>
        <w:rPr>
          <w:rFonts w:hint="eastAsia" w:ascii="仿宋_GB2312"/>
          <w:color w:val="auto"/>
          <w:sz w:val="32"/>
          <w:szCs w:val="32"/>
          <w:highlight w:val="none"/>
          <w:lang w:eastAsia="zh-CN"/>
        </w:rPr>
        <w:t>减少</w:t>
      </w:r>
      <w:r>
        <w:rPr>
          <w:rFonts w:hint="eastAsia" w:ascii="仿宋_GB2312"/>
          <w:color w:val="auto"/>
          <w:sz w:val="32"/>
          <w:szCs w:val="32"/>
          <w:highlight w:val="none"/>
          <w:lang w:val="en-US" w:eastAsia="zh-CN"/>
        </w:rPr>
        <w:t>0.81</w:t>
      </w:r>
      <w:r>
        <w:rPr>
          <w:rFonts w:hint="eastAsia" w:ascii="仿宋_GB2312" w:eastAsia="仿宋_GB2312"/>
          <w:color w:val="auto"/>
          <w:sz w:val="32"/>
          <w:szCs w:val="32"/>
          <w:highlight w:val="none"/>
        </w:rPr>
        <w:t>万元，同比</w:t>
      </w:r>
      <w:r>
        <w:rPr>
          <w:rFonts w:hint="eastAsia" w:ascii="仿宋_GB2312"/>
          <w:color w:val="auto"/>
          <w:sz w:val="32"/>
          <w:szCs w:val="32"/>
          <w:highlight w:val="none"/>
          <w:lang w:eastAsia="zh-CN"/>
        </w:rPr>
        <w:t>下降</w:t>
      </w:r>
      <w:r>
        <w:rPr>
          <w:rFonts w:hint="eastAsia" w:ascii="仿宋_GB2312"/>
          <w:color w:val="auto"/>
          <w:sz w:val="32"/>
          <w:szCs w:val="32"/>
          <w:highlight w:val="none"/>
          <w:lang w:val="en-US" w:eastAsia="zh-CN"/>
        </w:rPr>
        <w:t>9.85</w:t>
      </w:r>
      <w:r>
        <w:rPr>
          <w:rFonts w:hint="eastAsia" w:ascii="仿宋_GB2312" w:eastAsia="仿宋_GB2312"/>
          <w:color w:val="auto"/>
          <w:sz w:val="32"/>
          <w:szCs w:val="32"/>
          <w:highlight w:val="none"/>
        </w:rPr>
        <w:t>%</w:t>
      </w:r>
      <w:r>
        <w:rPr>
          <w:rFonts w:hint="eastAsia" w:ascii="仿宋_GB2312"/>
          <w:color w:val="auto"/>
          <w:sz w:val="32"/>
          <w:szCs w:val="32"/>
          <w:highlight w:val="none"/>
          <w:lang w:eastAsia="zh-CN"/>
        </w:rPr>
        <w:t>，</w:t>
      </w:r>
      <w:r>
        <w:rPr>
          <w:rFonts w:hint="eastAsia" w:ascii="仿宋_GB2312"/>
          <w:color w:val="auto"/>
          <w:sz w:val="32"/>
          <w:szCs w:val="32"/>
          <w:lang w:val="en-US" w:eastAsia="zh-CN"/>
        </w:rPr>
        <w:t>主要原因是压缩预算支出</w:t>
      </w:r>
      <w:r>
        <w:rPr>
          <w:rFonts w:hint="eastAsia" w:ascii="仿宋_GB2312" w:hAnsi="Times New Roman" w:eastAsia="仿宋_GB2312" w:cs="Times New Roman"/>
          <w:color w:val="auto"/>
          <w:kern w:val="2"/>
          <w:sz w:val="32"/>
          <w:szCs w:val="32"/>
          <w:highlight w:val="none"/>
        </w:rPr>
        <w:t>；</w:t>
      </w:r>
    </w:p>
    <w:p w14:paraId="6933C58E">
      <w:pPr>
        <w:pStyle w:val="4"/>
        <w:spacing w:before="0" w:beforeAutospacing="0" w:after="0" w:afterAutospacing="0" w:line="500" w:lineRule="exact"/>
        <w:ind w:firstLine="640" w:firstLineChars="200"/>
        <w:rPr>
          <w:rFonts w:hint="eastAsia" w:ascii="仿宋_GB2312" w:hAnsi="仿宋_GB2312" w:cs="仿宋_GB2312"/>
          <w:color w:val="auto"/>
          <w:kern w:val="1"/>
          <w:sz w:val="32"/>
          <w:szCs w:val="32"/>
          <w:lang w:eastAsia="zh-CN"/>
        </w:rPr>
      </w:pPr>
      <w:r>
        <w:rPr>
          <w:rFonts w:hint="eastAsia" w:ascii="仿宋_GB2312" w:hAnsi="Times New Roman" w:cs="Times New Roman"/>
          <w:color w:val="auto"/>
          <w:kern w:val="2"/>
          <w:sz w:val="32"/>
          <w:szCs w:val="32"/>
          <w:highlight w:val="none"/>
          <w:lang w:eastAsia="zh-CN"/>
        </w:rPr>
        <w:t>（</w:t>
      </w:r>
      <w:r>
        <w:rPr>
          <w:rFonts w:hint="eastAsia" w:ascii="仿宋_GB2312" w:hAnsi="Times New Roman" w:cs="Times New Roman"/>
          <w:color w:val="auto"/>
          <w:kern w:val="2"/>
          <w:sz w:val="32"/>
          <w:szCs w:val="32"/>
          <w:highlight w:val="none"/>
          <w:lang w:val="en-US" w:eastAsia="zh-CN"/>
        </w:rPr>
        <w:t>3</w:t>
      </w:r>
      <w:r>
        <w:rPr>
          <w:rFonts w:hint="eastAsia" w:ascii="仿宋_GB2312" w:hAnsi="Times New Roman" w:cs="Times New Roman"/>
          <w:color w:val="auto"/>
          <w:kern w:val="2"/>
          <w:sz w:val="32"/>
          <w:szCs w:val="32"/>
          <w:highlight w:val="none"/>
          <w:lang w:eastAsia="zh-CN"/>
        </w:rPr>
        <w:t>）</w:t>
      </w:r>
      <w:r>
        <w:rPr>
          <w:rFonts w:hint="eastAsia" w:ascii="仿宋_GB2312" w:hAnsi="仿宋_GB2312" w:cs="仿宋_GB2312"/>
          <w:color w:val="auto"/>
          <w:kern w:val="2"/>
          <w:sz w:val="32"/>
          <w:szCs w:val="32"/>
          <w:highlight w:val="none"/>
          <w:lang w:eastAsia="zh-CN"/>
        </w:rPr>
        <w:t>农林水</w:t>
      </w:r>
      <w:r>
        <w:rPr>
          <w:rFonts w:hint="eastAsia" w:ascii="仿宋_GB2312" w:hAnsi="仿宋_GB2312" w:eastAsia="仿宋_GB2312" w:cs="仿宋_GB2312"/>
          <w:color w:val="auto"/>
          <w:kern w:val="1"/>
          <w:sz w:val="32"/>
          <w:szCs w:val="32"/>
        </w:rPr>
        <w:t>科目支出预算</w:t>
      </w:r>
      <w:r>
        <w:rPr>
          <w:rFonts w:hint="eastAsia" w:ascii="仿宋_GB2312" w:hAnsi="仿宋_GB2312" w:cs="仿宋_GB2312"/>
          <w:color w:val="auto"/>
          <w:kern w:val="1"/>
          <w:sz w:val="32"/>
          <w:szCs w:val="32"/>
          <w:lang w:val="en-US" w:eastAsia="zh-CN"/>
        </w:rPr>
        <w:t>115.59</w:t>
      </w:r>
      <w:r>
        <w:rPr>
          <w:rFonts w:hint="eastAsia" w:ascii="仿宋_GB2312" w:hAnsi="仿宋_GB2312" w:eastAsia="仿宋_GB2312" w:cs="仿宋_GB2312"/>
          <w:color w:val="auto"/>
          <w:kern w:val="1"/>
          <w:sz w:val="32"/>
          <w:szCs w:val="32"/>
        </w:rPr>
        <w:t>万元，占支出总预算</w:t>
      </w:r>
      <w:r>
        <w:rPr>
          <w:rFonts w:hint="eastAsia" w:ascii="仿宋_GB2312" w:hAnsi="仿宋_GB2312" w:cs="仿宋_GB2312"/>
          <w:color w:val="auto"/>
          <w:kern w:val="1"/>
          <w:sz w:val="32"/>
          <w:szCs w:val="32"/>
          <w:lang w:val="en-US" w:eastAsia="zh-CN"/>
        </w:rPr>
        <w:t>73.69</w:t>
      </w:r>
      <w:r>
        <w:rPr>
          <w:rFonts w:hint="eastAsia" w:ascii="仿宋_GB2312" w:hAnsi="仿宋_GB2312" w:eastAsia="仿宋_GB2312" w:cs="仿宋_GB2312"/>
          <w:color w:val="auto"/>
          <w:kern w:val="1"/>
          <w:sz w:val="32"/>
          <w:szCs w:val="32"/>
        </w:rPr>
        <w:t>%，同比</w:t>
      </w:r>
      <w:r>
        <w:rPr>
          <w:rFonts w:hint="eastAsia" w:ascii="仿宋_GB2312" w:hAnsi="仿宋_GB2312" w:cs="仿宋_GB2312"/>
          <w:color w:val="auto"/>
          <w:kern w:val="1"/>
          <w:sz w:val="32"/>
          <w:szCs w:val="32"/>
          <w:lang w:eastAsia="zh-CN"/>
        </w:rPr>
        <w:t>增加</w:t>
      </w:r>
      <w:r>
        <w:rPr>
          <w:rFonts w:hint="eastAsia" w:ascii="仿宋_GB2312" w:hAnsi="仿宋_GB2312" w:cs="仿宋_GB2312"/>
          <w:color w:val="auto"/>
          <w:kern w:val="1"/>
          <w:sz w:val="32"/>
          <w:szCs w:val="32"/>
          <w:lang w:val="en-US" w:eastAsia="zh-CN"/>
        </w:rPr>
        <w:t>2.25</w:t>
      </w:r>
      <w:r>
        <w:rPr>
          <w:rFonts w:hint="eastAsia" w:ascii="仿宋_GB2312" w:hAnsi="仿宋_GB2312" w:eastAsia="仿宋_GB2312" w:cs="仿宋_GB2312"/>
          <w:color w:val="auto"/>
          <w:kern w:val="1"/>
          <w:sz w:val="32"/>
          <w:szCs w:val="32"/>
        </w:rPr>
        <w:t>万元，同比</w:t>
      </w:r>
      <w:r>
        <w:rPr>
          <w:rFonts w:hint="eastAsia" w:ascii="仿宋_GB2312" w:hAnsi="仿宋_GB2312" w:cs="仿宋_GB2312"/>
          <w:color w:val="auto"/>
          <w:kern w:val="1"/>
          <w:sz w:val="32"/>
          <w:szCs w:val="32"/>
          <w:lang w:eastAsia="zh-CN"/>
        </w:rPr>
        <w:t>增长</w:t>
      </w:r>
      <w:r>
        <w:rPr>
          <w:rFonts w:hint="eastAsia" w:ascii="仿宋_GB2312" w:hAnsi="仿宋_GB2312" w:cs="仿宋_GB2312"/>
          <w:color w:val="auto"/>
          <w:kern w:val="1"/>
          <w:sz w:val="32"/>
          <w:szCs w:val="32"/>
          <w:lang w:val="en-US" w:eastAsia="zh-CN"/>
        </w:rPr>
        <w:t>1.99</w:t>
      </w:r>
      <w:r>
        <w:rPr>
          <w:rFonts w:hint="eastAsia" w:ascii="仿宋_GB2312" w:hAnsi="仿宋_GB2312" w:eastAsia="仿宋_GB2312" w:cs="仿宋_GB2312"/>
          <w:color w:val="auto"/>
          <w:kern w:val="1"/>
          <w:sz w:val="32"/>
          <w:szCs w:val="32"/>
        </w:rPr>
        <w:t>%</w:t>
      </w:r>
      <w:r>
        <w:rPr>
          <w:rFonts w:hint="eastAsia" w:ascii="仿宋_GB2312" w:hAnsi="仿宋_GB2312" w:cs="仿宋_GB2312"/>
          <w:color w:val="auto"/>
          <w:kern w:val="1"/>
          <w:sz w:val="32"/>
          <w:szCs w:val="32"/>
          <w:lang w:eastAsia="zh-CN"/>
        </w:rPr>
        <w:t>，主要原因是</w:t>
      </w:r>
      <w:r>
        <w:rPr>
          <w:rFonts w:hint="eastAsia" w:ascii="仿宋_GB2312"/>
          <w:color w:val="auto"/>
          <w:sz w:val="32"/>
          <w:szCs w:val="32"/>
          <w:lang w:val="en-US" w:eastAsia="zh-CN"/>
        </w:rPr>
        <w:t>压缩预算支出；</w:t>
      </w:r>
    </w:p>
    <w:p w14:paraId="456FDA0B">
      <w:pPr>
        <w:pStyle w:val="4"/>
        <w:spacing w:before="0" w:beforeAutospacing="0" w:after="0" w:afterAutospacing="0" w:line="500" w:lineRule="exact"/>
        <w:ind w:firstLine="640" w:firstLineChars="200"/>
        <w:rPr>
          <w:rFonts w:hint="eastAsia" w:ascii="仿宋_GB2312" w:hAnsi="宋体"/>
          <w:color w:val="auto"/>
          <w:sz w:val="32"/>
          <w:szCs w:val="32"/>
          <w:highlight w:val="none"/>
          <w:lang w:val="en-US" w:eastAsia="zh-CN"/>
        </w:rPr>
      </w:pPr>
      <w:r>
        <w:rPr>
          <w:rFonts w:hint="eastAsia" w:ascii="仿宋_GB2312" w:hAnsi="仿宋_GB2312" w:cs="仿宋_GB2312"/>
          <w:color w:val="auto"/>
          <w:kern w:val="1"/>
          <w:sz w:val="32"/>
          <w:szCs w:val="32"/>
          <w:lang w:eastAsia="zh-CN"/>
        </w:rPr>
        <w:t>（</w:t>
      </w:r>
      <w:r>
        <w:rPr>
          <w:rFonts w:hint="eastAsia" w:ascii="仿宋_GB2312" w:hAnsi="仿宋_GB2312" w:cs="仿宋_GB2312"/>
          <w:color w:val="auto"/>
          <w:kern w:val="1"/>
          <w:sz w:val="32"/>
          <w:szCs w:val="32"/>
          <w:lang w:val="en-US" w:eastAsia="zh-CN"/>
        </w:rPr>
        <w:t>4</w:t>
      </w:r>
      <w:r>
        <w:rPr>
          <w:rFonts w:hint="eastAsia" w:ascii="仿宋_GB2312" w:hAnsi="仿宋_GB2312" w:cs="仿宋_GB2312"/>
          <w:color w:val="auto"/>
          <w:kern w:val="1"/>
          <w:sz w:val="32"/>
          <w:szCs w:val="32"/>
          <w:lang w:eastAsia="zh-CN"/>
        </w:rPr>
        <w:t>）</w:t>
      </w:r>
      <w:r>
        <w:rPr>
          <w:rFonts w:hint="eastAsia" w:ascii="仿宋_GB2312" w:hAnsi="仿宋_GB2312" w:eastAsia="仿宋_GB2312" w:cs="仿宋_GB2312"/>
          <w:color w:val="auto"/>
          <w:kern w:val="2"/>
          <w:sz w:val="32"/>
          <w:szCs w:val="32"/>
        </w:rPr>
        <w:t>住房保障支出类科目支出预算</w:t>
      </w:r>
      <w:r>
        <w:rPr>
          <w:rFonts w:hint="eastAsia" w:ascii="仿宋_GB2312" w:hAnsi="仿宋_GB2312" w:cs="仿宋_GB2312"/>
          <w:color w:val="auto"/>
          <w:kern w:val="2"/>
          <w:sz w:val="32"/>
          <w:szCs w:val="32"/>
          <w:lang w:val="en-US" w:eastAsia="zh-CN"/>
        </w:rPr>
        <w:t>11.29</w:t>
      </w:r>
      <w:r>
        <w:rPr>
          <w:rFonts w:hint="eastAsia" w:ascii="仿宋_GB2312" w:hAnsi="仿宋_GB2312" w:eastAsia="仿宋_GB2312" w:cs="仿宋_GB2312"/>
          <w:color w:val="auto"/>
          <w:kern w:val="2"/>
          <w:sz w:val="32"/>
          <w:szCs w:val="32"/>
        </w:rPr>
        <w:t>万元, 占支出总预算</w:t>
      </w:r>
      <w:r>
        <w:rPr>
          <w:rFonts w:hint="eastAsia" w:ascii="仿宋_GB2312" w:hAnsi="仿宋_GB2312" w:cs="仿宋_GB2312"/>
          <w:color w:val="auto"/>
          <w:kern w:val="2"/>
          <w:sz w:val="32"/>
          <w:szCs w:val="32"/>
          <w:lang w:val="en-US" w:eastAsia="zh-CN"/>
        </w:rPr>
        <w:t>7.20</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sz w:val="32"/>
          <w:szCs w:val="32"/>
          <w:highlight w:val="none"/>
        </w:rPr>
        <w:t>同</w:t>
      </w:r>
      <w:r>
        <w:rPr>
          <w:rFonts w:hint="eastAsia" w:ascii="仿宋_GB2312" w:hAnsi="仿宋_GB2312" w:cs="仿宋_GB2312"/>
          <w:color w:val="auto"/>
          <w:sz w:val="32"/>
          <w:szCs w:val="32"/>
          <w:highlight w:val="none"/>
          <w:lang w:eastAsia="zh-CN"/>
        </w:rPr>
        <w:t>比减少</w:t>
      </w:r>
      <w:r>
        <w:rPr>
          <w:rFonts w:hint="eastAsia" w:ascii="仿宋_GB2312" w:hAnsi="仿宋_GB2312" w:cs="仿宋_GB2312"/>
          <w:color w:val="auto"/>
          <w:sz w:val="32"/>
          <w:szCs w:val="32"/>
          <w:highlight w:val="none"/>
          <w:lang w:val="en-US" w:eastAsia="zh-CN"/>
        </w:rPr>
        <w:t>1.24</w:t>
      </w:r>
      <w:r>
        <w:rPr>
          <w:rFonts w:hint="eastAsia" w:ascii="仿宋_GB2312" w:hAnsi="仿宋_GB2312" w:eastAsia="仿宋_GB2312" w:cs="仿宋_GB2312"/>
          <w:color w:val="auto"/>
          <w:sz w:val="32"/>
          <w:szCs w:val="32"/>
          <w:highlight w:val="none"/>
        </w:rPr>
        <w:t>万元，同比</w:t>
      </w:r>
      <w:r>
        <w:rPr>
          <w:rFonts w:hint="eastAsia" w:ascii="仿宋_GB2312" w:hAnsi="仿宋_GB2312" w:cs="仿宋_GB2312"/>
          <w:color w:val="auto"/>
          <w:sz w:val="32"/>
          <w:szCs w:val="32"/>
          <w:highlight w:val="none"/>
          <w:lang w:eastAsia="zh-CN"/>
        </w:rPr>
        <w:t>下降</w:t>
      </w:r>
      <w:r>
        <w:rPr>
          <w:rFonts w:hint="eastAsia" w:ascii="仿宋_GB2312" w:hAnsi="仿宋_GB2312" w:cs="仿宋_GB2312"/>
          <w:color w:val="auto"/>
          <w:sz w:val="32"/>
          <w:szCs w:val="32"/>
          <w:highlight w:val="none"/>
          <w:lang w:val="en-US" w:eastAsia="zh-CN"/>
        </w:rPr>
        <w:t>9.90</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kern w:val="2"/>
          <w:sz w:val="32"/>
          <w:szCs w:val="32"/>
          <w:lang w:eastAsia="zh-CN"/>
        </w:rPr>
        <w:t>，</w:t>
      </w:r>
      <w:r>
        <w:rPr>
          <w:rFonts w:hint="eastAsia" w:ascii="仿宋_GB2312" w:hAnsi="仿宋_GB2312" w:cs="仿宋_GB2312"/>
          <w:color w:val="auto"/>
          <w:kern w:val="1"/>
          <w:sz w:val="32"/>
          <w:szCs w:val="32"/>
          <w:lang w:eastAsia="zh-CN"/>
        </w:rPr>
        <w:t>主要原因是</w:t>
      </w:r>
      <w:r>
        <w:rPr>
          <w:rFonts w:hint="eastAsia" w:ascii="仿宋_GB2312"/>
          <w:color w:val="auto"/>
          <w:sz w:val="32"/>
          <w:szCs w:val="32"/>
          <w:lang w:val="en-US" w:eastAsia="zh-CN"/>
        </w:rPr>
        <w:t>压缩预算支出</w:t>
      </w:r>
      <w:r>
        <w:rPr>
          <w:rFonts w:hint="eastAsia" w:ascii="仿宋_GB2312" w:hAnsi="仿宋_GB2312" w:cs="仿宋_GB2312"/>
          <w:color w:val="auto"/>
          <w:kern w:val="1"/>
          <w:sz w:val="32"/>
          <w:szCs w:val="32"/>
          <w:lang w:eastAsia="zh-CN"/>
        </w:rPr>
        <w:t>。</w:t>
      </w:r>
    </w:p>
    <w:p w14:paraId="0B72479E">
      <w:pPr>
        <w:tabs>
          <w:tab w:val="center" w:pos="4475"/>
        </w:tabs>
        <w:spacing w:line="560" w:lineRule="exact"/>
        <w:ind w:firstLine="645"/>
        <w:rPr>
          <w:rFonts w:hint="eastAsia" w:ascii="黑体" w:eastAsia="黑体"/>
          <w:color w:val="auto"/>
          <w:szCs w:val="32"/>
        </w:rPr>
      </w:pPr>
      <w:r>
        <w:rPr>
          <w:rFonts w:hint="eastAsia" w:ascii="黑体" w:eastAsia="黑体"/>
          <w:color w:val="auto"/>
          <w:szCs w:val="32"/>
          <w:lang w:eastAsia="zh-CN"/>
        </w:rPr>
        <w:t>四</w:t>
      </w:r>
      <w:r>
        <w:rPr>
          <w:rFonts w:hint="eastAsia" w:ascii="黑体" w:eastAsia="黑体"/>
          <w:color w:val="auto"/>
          <w:szCs w:val="32"/>
        </w:rPr>
        <w:t>、政府性基金预算支出情况说明</w:t>
      </w:r>
    </w:p>
    <w:p w14:paraId="5D2668D6">
      <w:pPr>
        <w:tabs>
          <w:tab w:val="center" w:pos="4475"/>
        </w:tabs>
        <w:spacing w:line="560" w:lineRule="exact"/>
        <w:ind w:firstLine="645"/>
        <w:rPr>
          <w:rFonts w:hint="eastAsia" w:ascii="黑体" w:eastAsia="仿宋_GB2312"/>
          <w:b w:val="0"/>
          <w:bCs w:val="0"/>
          <w:i w:val="0"/>
          <w:iCs w:val="0"/>
          <w:color w:val="auto"/>
          <w:szCs w:val="32"/>
          <w:u w:val="none"/>
          <w:lang w:eastAsia="zh-CN"/>
        </w:rPr>
      </w:pPr>
      <w:r>
        <w:rPr>
          <w:rFonts w:hint="eastAsia" w:ascii="仿宋_GB2312" w:hAnsi="宋体"/>
          <w:b w:val="0"/>
          <w:bCs w:val="0"/>
          <w:i w:val="0"/>
          <w:iCs w:val="0"/>
          <w:color w:val="auto"/>
          <w:szCs w:val="32"/>
          <w:highlight w:val="none"/>
          <w:u w:val="none"/>
        </w:rPr>
        <w:t>我</w:t>
      </w:r>
      <w:r>
        <w:rPr>
          <w:rFonts w:hint="eastAsia" w:ascii="仿宋_GB2312" w:hAnsi="宋体"/>
          <w:b w:val="0"/>
          <w:bCs w:val="0"/>
          <w:i w:val="0"/>
          <w:iCs w:val="0"/>
          <w:color w:val="auto"/>
          <w:szCs w:val="32"/>
          <w:highlight w:val="none"/>
          <w:u w:val="none"/>
          <w:lang w:eastAsia="zh-CN"/>
        </w:rPr>
        <w:t>单位</w:t>
      </w:r>
      <w:r>
        <w:rPr>
          <w:rFonts w:hint="eastAsia" w:ascii="仿宋_GB2312" w:hAnsi="宋体"/>
          <w:b w:val="0"/>
          <w:bCs w:val="0"/>
          <w:i w:val="0"/>
          <w:iCs w:val="0"/>
          <w:color w:val="auto"/>
          <w:szCs w:val="32"/>
          <w:highlight w:val="none"/>
          <w:u w:val="none"/>
        </w:rPr>
        <w:t>202</w:t>
      </w:r>
      <w:r>
        <w:rPr>
          <w:rFonts w:hint="eastAsia" w:ascii="仿宋_GB2312" w:hAnsi="宋体"/>
          <w:b w:val="0"/>
          <w:bCs w:val="0"/>
          <w:i w:val="0"/>
          <w:iCs w:val="0"/>
          <w:color w:val="auto"/>
          <w:szCs w:val="32"/>
          <w:highlight w:val="none"/>
          <w:u w:val="none"/>
          <w:lang w:val="en-US" w:eastAsia="zh-CN"/>
        </w:rPr>
        <w:t>5</w:t>
      </w:r>
      <w:r>
        <w:rPr>
          <w:rFonts w:hint="eastAsia" w:ascii="仿宋_GB2312" w:hAnsi="宋体"/>
          <w:b w:val="0"/>
          <w:bCs w:val="0"/>
          <w:i w:val="0"/>
          <w:iCs w:val="0"/>
          <w:color w:val="auto"/>
          <w:szCs w:val="32"/>
          <w:highlight w:val="none"/>
          <w:u w:val="none"/>
        </w:rPr>
        <w:t>年无政府性基金预算</w:t>
      </w:r>
      <w:r>
        <w:rPr>
          <w:rFonts w:hint="eastAsia" w:ascii="仿宋_GB2312" w:hAnsi="宋体"/>
          <w:b w:val="0"/>
          <w:bCs w:val="0"/>
          <w:i w:val="0"/>
          <w:iCs w:val="0"/>
          <w:color w:val="auto"/>
          <w:szCs w:val="32"/>
          <w:highlight w:val="none"/>
          <w:u w:val="none"/>
          <w:lang w:eastAsia="zh-CN"/>
        </w:rPr>
        <w:t>。</w:t>
      </w:r>
    </w:p>
    <w:p w14:paraId="6DB32C68">
      <w:pPr>
        <w:tabs>
          <w:tab w:val="center" w:pos="4475"/>
        </w:tabs>
        <w:spacing w:line="560" w:lineRule="exact"/>
        <w:ind w:firstLine="645"/>
        <w:rPr>
          <w:rFonts w:hint="eastAsia" w:ascii="黑体" w:eastAsia="黑体"/>
          <w:color w:val="auto"/>
          <w:szCs w:val="32"/>
          <w:highlight w:val="yellow"/>
          <w:lang w:eastAsia="zh-CN"/>
        </w:rPr>
      </w:pPr>
      <w:r>
        <w:rPr>
          <w:rFonts w:hint="eastAsia" w:ascii="黑体" w:eastAsia="黑体"/>
          <w:color w:val="auto"/>
          <w:szCs w:val="32"/>
          <w:highlight w:val="none"/>
          <w:lang w:eastAsia="zh-CN"/>
        </w:rPr>
        <w:t>五</w:t>
      </w:r>
      <w:r>
        <w:rPr>
          <w:rFonts w:hint="eastAsia" w:ascii="黑体" w:eastAsia="黑体"/>
          <w:color w:val="auto"/>
          <w:szCs w:val="32"/>
          <w:highlight w:val="none"/>
        </w:rPr>
        <w:t>、</w:t>
      </w:r>
      <w:r>
        <w:rPr>
          <w:rFonts w:hint="eastAsia" w:ascii="黑体" w:eastAsia="黑体"/>
          <w:color w:val="auto"/>
          <w:szCs w:val="32"/>
          <w:highlight w:val="none"/>
          <w:lang w:eastAsia="zh-CN"/>
        </w:rPr>
        <w:t>国有资本经营</w:t>
      </w:r>
      <w:r>
        <w:rPr>
          <w:rFonts w:hint="eastAsia" w:ascii="黑体" w:eastAsia="黑体"/>
          <w:color w:val="auto"/>
          <w:szCs w:val="32"/>
          <w:highlight w:val="none"/>
        </w:rPr>
        <w:t>预算支出情况说明</w:t>
      </w:r>
    </w:p>
    <w:p w14:paraId="6C8D2844">
      <w:pPr>
        <w:tabs>
          <w:tab w:val="center" w:pos="4475"/>
        </w:tabs>
        <w:spacing w:line="560" w:lineRule="exact"/>
        <w:ind w:firstLine="645"/>
        <w:rPr>
          <w:rFonts w:hint="eastAsia" w:ascii="仿宋_GB2312" w:hAnsi="宋体" w:eastAsia="仿宋_GB2312"/>
          <w:b w:val="0"/>
          <w:bCs w:val="0"/>
          <w:color w:val="auto"/>
          <w:szCs w:val="32"/>
          <w:highlight w:val="none"/>
          <w:u w:val="none"/>
          <w:lang w:eastAsia="zh-CN"/>
        </w:rPr>
      </w:pPr>
      <w:r>
        <w:rPr>
          <w:rFonts w:hint="eastAsia" w:ascii="仿宋_GB2312" w:hAnsi="宋体"/>
          <w:b w:val="0"/>
          <w:bCs w:val="0"/>
          <w:color w:val="auto"/>
          <w:szCs w:val="32"/>
          <w:highlight w:val="none"/>
          <w:u w:val="none"/>
        </w:rPr>
        <w:t>我</w:t>
      </w:r>
      <w:r>
        <w:rPr>
          <w:rFonts w:hint="eastAsia" w:ascii="仿宋_GB2312" w:hAnsi="宋体"/>
          <w:b w:val="0"/>
          <w:bCs w:val="0"/>
          <w:color w:val="auto"/>
          <w:szCs w:val="32"/>
          <w:highlight w:val="none"/>
          <w:u w:val="none"/>
          <w:lang w:eastAsia="zh-CN"/>
        </w:rPr>
        <w:t>单位</w:t>
      </w:r>
      <w:r>
        <w:rPr>
          <w:rFonts w:hint="eastAsia" w:ascii="仿宋_GB2312" w:hAnsi="宋体"/>
          <w:b w:val="0"/>
          <w:bCs w:val="0"/>
          <w:color w:val="auto"/>
          <w:szCs w:val="32"/>
          <w:highlight w:val="none"/>
          <w:u w:val="none"/>
        </w:rPr>
        <w:t>202</w:t>
      </w:r>
      <w:r>
        <w:rPr>
          <w:rFonts w:hint="eastAsia" w:ascii="仿宋_GB2312" w:hAnsi="宋体"/>
          <w:b w:val="0"/>
          <w:bCs w:val="0"/>
          <w:color w:val="auto"/>
          <w:szCs w:val="32"/>
          <w:highlight w:val="none"/>
          <w:u w:val="none"/>
          <w:lang w:val="en-US" w:eastAsia="zh-CN"/>
        </w:rPr>
        <w:t>5</w:t>
      </w:r>
      <w:r>
        <w:rPr>
          <w:rFonts w:hint="eastAsia" w:ascii="仿宋_GB2312" w:hAnsi="宋体"/>
          <w:b w:val="0"/>
          <w:bCs w:val="0"/>
          <w:color w:val="auto"/>
          <w:szCs w:val="32"/>
          <w:highlight w:val="none"/>
          <w:u w:val="none"/>
        </w:rPr>
        <w:t>年无</w:t>
      </w:r>
      <w:r>
        <w:rPr>
          <w:rFonts w:hint="eastAsia" w:ascii="仿宋_GB2312" w:hAnsi="宋体"/>
          <w:b w:val="0"/>
          <w:bCs w:val="0"/>
          <w:color w:val="auto"/>
          <w:szCs w:val="32"/>
          <w:highlight w:val="none"/>
          <w:u w:val="none"/>
          <w:lang w:eastAsia="zh-CN"/>
        </w:rPr>
        <w:t>国有资本经营</w:t>
      </w:r>
      <w:r>
        <w:rPr>
          <w:rFonts w:hint="eastAsia" w:ascii="仿宋_GB2312" w:hAnsi="宋体"/>
          <w:b w:val="0"/>
          <w:bCs w:val="0"/>
          <w:color w:val="auto"/>
          <w:szCs w:val="32"/>
          <w:highlight w:val="none"/>
          <w:u w:val="none"/>
        </w:rPr>
        <w:t>预算</w:t>
      </w:r>
      <w:r>
        <w:rPr>
          <w:rFonts w:hint="eastAsia" w:ascii="仿宋_GB2312" w:hAnsi="宋体"/>
          <w:b w:val="0"/>
          <w:bCs w:val="0"/>
          <w:color w:val="auto"/>
          <w:szCs w:val="32"/>
          <w:highlight w:val="none"/>
          <w:u w:val="none"/>
          <w:lang w:eastAsia="zh-CN"/>
        </w:rPr>
        <w:t>。</w:t>
      </w:r>
    </w:p>
    <w:p w14:paraId="0BBE43BD">
      <w:pPr>
        <w:tabs>
          <w:tab w:val="center" w:pos="4475"/>
        </w:tabs>
        <w:spacing w:line="560" w:lineRule="exact"/>
        <w:ind w:firstLine="645"/>
        <w:rPr>
          <w:rFonts w:hint="eastAsia" w:ascii="黑体" w:eastAsia="黑体"/>
          <w:color w:val="auto"/>
          <w:szCs w:val="32"/>
        </w:rPr>
      </w:pPr>
      <w:r>
        <w:rPr>
          <w:rFonts w:hint="eastAsia" w:ascii="黑体" w:eastAsia="黑体"/>
          <w:color w:val="auto"/>
          <w:szCs w:val="32"/>
          <w:lang w:eastAsia="zh-CN"/>
        </w:rPr>
        <w:t>六</w:t>
      </w:r>
      <w:r>
        <w:rPr>
          <w:rFonts w:hint="eastAsia" w:ascii="黑体" w:eastAsia="黑体"/>
          <w:color w:val="auto"/>
          <w:szCs w:val="32"/>
        </w:rPr>
        <w:t>、一般公共预算“三公”经费支出情况说明</w:t>
      </w:r>
    </w:p>
    <w:p w14:paraId="58F8C327">
      <w:pPr>
        <w:tabs>
          <w:tab w:val="center" w:pos="4475"/>
        </w:tabs>
        <w:spacing w:line="560" w:lineRule="exact"/>
        <w:ind w:firstLine="645"/>
        <w:rPr>
          <w:rFonts w:hint="eastAsia" w:ascii="仿宋_GB2312" w:hAnsi="宋体"/>
          <w:color w:val="auto"/>
          <w:szCs w:val="32"/>
        </w:rPr>
      </w:pPr>
      <w:r>
        <w:rPr>
          <w:rFonts w:hint="eastAsia" w:ascii="仿宋_GB2312" w:hAnsi="宋体"/>
          <w:color w:val="auto"/>
          <w:szCs w:val="32"/>
        </w:rPr>
        <w:t>我单位</w:t>
      </w:r>
      <w:r>
        <w:rPr>
          <w:rFonts w:hint="eastAsia" w:ascii="仿宋_GB2312"/>
          <w:color w:val="auto"/>
        </w:rPr>
        <w:t>202</w:t>
      </w:r>
      <w:r>
        <w:rPr>
          <w:rFonts w:hint="eastAsia" w:ascii="仿宋_GB2312"/>
          <w:color w:val="auto"/>
          <w:lang w:val="en-US" w:eastAsia="zh-CN"/>
        </w:rPr>
        <w:t>5</w:t>
      </w:r>
      <w:r>
        <w:rPr>
          <w:rFonts w:hint="eastAsia" w:ascii="仿宋_GB2312"/>
          <w:color w:val="auto"/>
        </w:rPr>
        <w:t>年一般公共预算</w:t>
      </w:r>
      <w:r>
        <w:rPr>
          <w:rFonts w:hint="eastAsia" w:ascii="仿宋_GB2312"/>
          <w:bCs/>
          <w:color w:val="auto"/>
        </w:rPr>
        <w:t>安排的“三公”经费支出预算</w:t>
      </w:r>
      <w:r>
        <w:rPr>
          <w:rFonts w:hint="eastAsia" w:ascii="仿宋_GB2312"/>
          <w:bCs/>
          <w:color w:val="auto"/>
          <w:lang w:val="en-US" w:eastAsia="zh-CN"/>
        </w:rPr>
        <w:t>0.24</w:t>
      </w:r>
      <w:r>
        <w:rPr>
          <w:rFonts w:hint="eastAsia" w:ascii="仿宋_GB2312"/>
          <w:bCs/>
          <w:color w:val="auto"/>
        </w:rPr>
        <w:t>万元，同口径比202</w:t>
      </w:r>
      <w:r>
        <w:rPr>
          <w:rFonts w:hint="eastAsia" w:ascii="仿宋_GB2312"/>
          <w:bCs/>
          <w:color w:val="auto"/>
          <w:lang w:val="en-US" w:eastAsia="zh-CN"/>
        </w:rPr>
        <w:t>4</w:t>
      </w:r>
      <w:r>
        <w:rPr>
          <w:rFonts w:hint="eastAsia" w:ascii="仿宋_GB2312"/>
          <w:bCs/>
          <w:color w:val="auto"/>
        </w:rPr>
        <w:t>年减少</w:t>
      </w:r>
      <w:r>
        <w:rPr>
          <w:rFonts w:hint="eastAsia" w:ascii="仿宋_GB2312"/>
          <w:bCs/>
          <w:color w:val="auto"/>
          <w:lang w:val="en-US" w:eastAsia="zh-CN"/>
        </w:rPr>
        <w:t>0.06</w:t>
      </w:r>
      <w:r>
        <w:rPr>
          <w:rFonts w:hint="eastAsia" w:ascii="仿宋_GB2312"/>
          <w:bCs/>
          <w:color w:val="auto"/>
        </w:rPr>
        <w:t>万元，下降</w:t>
      </w:r>
      <w:r>
        <w:rPr>
          <w:rFonts w:hint="eastAsia" w:ascii="仿宋_GB2312"/>
          <w:bCs/>
          <w:color w:val="auto"/>
          <w:lang w:val="en-US" w:eastAsia="zh-CN"/>
        </w:rPr>
        <w:t>20</w:t>
      </w:r>
      <w:r>
        <w:rPr>
          <w:rFonts w:hint="eastAsia" w:ascii="仿宋_GB2312"/>
          <w:bCs/>
          <w:color w:val="auto"/>
        </w:rPr>
        <w:t>%，具体如下：</w:t>
      </w:r>
    </w:p>
    <w:p w14:paraId="5EC6ADFD">
      <w:pPr>
        <w:tabs>
          <w:tab w:val="center" w:pos="4475"/>
        </w:tabs>
        <w:spacing w:line="560" w:lineRule="exact"/>
        <w:ind w:firstLine="645"/>
        <w:rPr>
          <w:rFonts w:hint="eastAsia" w:ascii="仿宋_GB2312" w:hAnsi="Arial" w:cs="Arial"/>
          <w:color w:val="auto"/>
          <w:kern w:val="0"/>
        </w:rPr>
      </w:pPr>
      <w:r>
        <w:rPr>
          <w:rFonts w:hint="eastAsia" w:ascii="仿宋_GB2312"/>
          <w:color w:val="auto"/>
          <w:lang w:eastAsia="zh-CN"/>
        </w:rPr>
        <w:t>（一）</w:t>
      </w:r>
      <w:r>
        <w:rPr>
          <w:rFonts w:hint="eastAsia" w:ascii="仿宋_GB2312"/>
          <w:color w:val="auto"/>
        </w:rPr>
        <w:t>因公出国（境）费</w:t>
      </w:r>
      <w:r>
        <w:rPr>
          <w:rFonts w:hint="eastAsia" w:ascii="仿宋_GB2312" w:hAnsi="宋体"/>
          <w:color w:val="auto"/>
          <w:szCs w:val="32"/>
        </w:rPr>
        <w:t>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0</w:t>
      </w:r>
      <w:r>
        <w:rPr>
          <w:rFonts w:hint="eastAsia" w:ascii="仿宋_GB2312" w:hAnsi="宋体"/>
          <w:color w:val="auto"/>
          <w:szCs w:val="32"/>
        </w:rPr>
        <w:t>万元，</w:t>
      </w:r>
      <w:r>
        <w:rPr>
          <w:rFonts w:hint="eastAsia" w:ascii="仿宋_GB2312" w:hAnsi="宋体"/>
          <w:color w:val="auto"/>
          <w:szCs w:val="32"/>
          <w:lang w:eastAsia="zh-CN"/>
        </w:rPr>
        <w:t>与</w:t>
      </w:r>
      <w:r>
        <w:rPr>
          <w:rFonts w:hint="eastAsia" w:ascii="仿宋_GB2312" w:hAnsi="宋体"/>
          <w:color w:val="auto"/>
          <w:szCs w:val="32"/>
        </w:rPr>
        <w:t>上年</w:t>
      </w:r>
      <w:r>
        <w:rPr>
          <w:rFonts w:hint="eastAsia" w:ascii="仿宋_GB2312" w:hAnsi="宋体"/>
          <w:color w:val="auto"/>
          <w:szCs w:val="32"/>
          <w:lang w:eastAsia="zh-CN"/>
        </w:rPr>
        <w:t>持平</w:t>
      </w:r>
      <w:r>
        <w:rPr>
          <w:rFonts w:hint="eastAsia" w:ascii="仿宋_GB2312" w:hAnsi="Arial" w:cs="Arial"/>
          <w:color w:val="auto"/>
          <w:kern w:val="0"/>
        </w:rPr>
        <w:t>。</w:t>
      </w:r>
    </w:p>
    <w:p w14:paraId="13C21FA2">
      <w:pPr>
        <w:tabs>
          <w:tab w:val="center" w:pos="4475"/>
        </w:tabs>
        <w:spacing w:line="560" w:lineRule="exact"/>
        <w:ind w:firstLine="645"/>
        <w:rPr>
          <w:rFonts w:hint="eastAsia" w:ascii="黑体" w:eastAsia="黑体"/>
          <w:color w:val="auto"/>
          <w:szCs w:val="32"/>
          <w:lang w:eastAsia="zh-CN"/>
        </w:rPr>
      </w:pPr>
      <w:r>
        <w:rPr>
          <w:rFonts w:hint="eastAsia" w:ascii="仿宋_GB2312"/>
          <w:color w:val="auto"/>
          <w:lang w:eastAsia="zh-CN"/>
        </w:rPr>
        <w:t>（二）</w:t>
      </w:r>
      <w:r>
        <w:rPr>
          <w:rFonts w:hint="eastAsia" w:ascii="仿宋_GB2312"/>
          <w:color w:val="auto"/>
        </w:rPr>
        <w:t>公务用车购置及运行费</w:t>
      </w:r>
      <w:r>
        <w:rPr>
          <w:rFonts w:hint="eastAsia" w:ascii="仿宋_GB2312" w:hAnsi="宋体"/>
          <w:color w:val="auto"/>
          <w:szCs w:val="32"/>
        </w:rPr>
        <w:t>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0</w:t>
      </w:r>
      <w:r>
        <w:rPr>
          <w:rFonts w:hint="eastAsia" w:ascii="仿宋_GB2312" w:hAnsi="宋体"/>
          <w:color w:val="auto"/>
          <w:szCs w:val="32"/>
        </w:rPr>
        <w:t>万元，</w:t>
      </w:r>
      <w:r>
        <w:rPr>
          <w:rFonts w:hint="eastAsia" w:ascii="仿宋_GB2312" w:hAnsi="宋体"/>
          <w:color w:val="auto"/>
          <w:szCs w:val="32"/>
          <w:lang w:eastAsia="zh-CN"/>
        </w:rPr>
        <w:t>与</w:t>
      </w:r>
      <w:r>
        <w:rPr>
          <w:rFonts w:hint="eastAsia" w:ascii="仿宋_GB2312" w:hAnsi="宋体"/>
          <w:color w:val="auto"/>
          <w:szCs w:val="32"/>
        </w:rPr>
        <w:t>上年</w:t>
      </w:r>
      <w:r>
        <w:rPr>
          <w:rFonts w:hint="eastAsia" w:ascii="仿宋_GB2312" w:hAnsi="宋体"/>
          <w:color w:val="auto"/>
          <w:szCs w:val="32"/>
          <w:lang w:eastAsia="zh-CN"/>
        </w:rPr>
        <w:t>持平</w:t>
      </w:r>
      <w:r>
        <w:rPr>
          <w:rFonts w:hint="eastAsia" w:ascii="仿宋_GB2312" w:hAnsi="Arial" w:cs="Arial"/>
          <w:color w:val="auto"/>
          <w:kern w:val="0"/>
        </w:rPr>
        <w:t>。</w:t>
      </w:r>
    </w:p>
    <w:p w14:paraId="4772B8B8">
      <w:pPr>
        <w:tabs>
          <w:tab w:val="center" w:pos="4475"/>
        </w:tabs>
        <w:spacing w:line="560" w:lineRule="exact"/>
        <w:ind w:firstLine="645"/>
        <w:rPr>
          <w:rFonts w:hint="eastAsia" w:ascii="仿宋_GB2312" w:hAnsi="Arial" w:cs="Arial"/>
          <w:color w:val="auto"/>
          <w:kern w:val="0"/>
        </w:rPr>
      </w:pPr>
      <w:r>
        <w:rPr>
          <w:rFonts w:hint="eastAsia" w:ascii="仿宋_GB2312"/>
          <w:color w:val="auto"/>
          <w:lang w:eastAsia="zh-CN"/>
        </w:rPr>
        <w:t>（三）</w:t>
      </w:r>
      <w:r>
        <w:rPr>
          <w:rFonts w:hint="eastAsia" w:ascii="仿宋_GB2312"/>
          <w:color w:val="auto"/>
        </w:rPr>
        <w:t>公务接待费</w:t>
      </w:r>
      <w:r>
        <w:rPr>
          <w:rFonts w:hint="eastAsia" w:ascii="仿宋_GB2312" w:hAnsi="宋体"/>
          <w:color w:val="auto"/>
          <w:szCs w:val="32"/>
        </w:rPr>
        <w:t>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0.24</w:t>
      </w:r>
      <w:r>
        <w:rPr>
          <w:rFonts w:hint="eastAsia" w:ascii="仿宋_GB2312" w:hAnsi="宋体"/>
          <w:color w:val="auto"/>
          <w:szCs w:val="32"/>
        </w:rPr>
        <w:t>万元，比上年减少</w:t>
      </w:r>
      <w:r>
        <w:rPr>
          <w:rFonts w:hint="eastAsia" w:ascii="仿宋_GB2312" w:hAnsi="宋体"/>
          <w:color w:val="auto"/>
          <w:szCs w:val="32"/>
          <w:lang w:val="en-US" w:eastAsia="zh-CN"/>
        </w:rPr>
        <w:t>0.06</w:t>
      </w:r>
      <w:r>
        <w:rPr>
          <w:rFonts w:hint="eastAsia" w:ascii="仿宋_GB2312" w:hAnsi="宋体"/>
          <w:color w:val="auto"/>
          <w:szCs w:val="32"/>
        </w:rPr>
        <w:t>万元，下降</w:t>
      </w:r>
      <w:r>
        <w:rPr>
          <w:rFonts w:hint="eastAsia" w:ascii="仿宋_GB2312" w:hAnsi="宋体"/>
          <w:color w:val="auto"/>
          <w:szCs w:val="32"/>
          <w:lang w:val="en-US" w:eastAsia="zh-CN"/>
        </w:rPr>
        <w:t>20</w:t>
      </w:r>
      <w:r>
        <w:rPr>
          <w:rFonts w:hint="eastAsia" w:ascii="仿宋_GB2312" w:hAnsi="宋体"/>
          <w:color w:val="auto"/>
          <w:szCs w:val="32"/>
        </w:rPr>
        <w:t>%，</w:t>
      </w:r>
      <w:r>
        <w:rPr>
          <w:rFonts w:hint="eastAsia" w:ascii="仿宋_GB2312" w:hAnsi="Arial" w:cs="Arial"/>
          <w:color w:val="auto"/>
          <w:kern w:val="0"/>
        </w:rPr>
        <w:t>减少的主要原因是</w:t>
      </w:r>
      <w:r>
        <w:rPr>
          <w:rFonts w:hint="eastAsia" w:ascii="仿宋_GB2312"/>
          <w:color w:val="auto"/>
          <w:sz w:val="32"/>
          <w:szCs w:val="32"/>
          <w:lang w:val="en-US" w:eastAsia="zh-CN"/>
        </w:rPr>
        <w:t>压缩三公经费预算支出</w:t>
      </w:r>
      <w:r>
        <w:rPr>
          <w:rFonts w:hint="eastAsia" w:ascii="仿宋_GB2312" w:hAnsi="Arial" w:cs="Arial"/>
          <w:color w:val="auto"/>
          <w:kern w:val="0"/>
        </w:rPr>
        <w:t>。</w:t>
      </w:r>
    </w:p>
    <w:p w14:paraId="13B95747">
      <w:pPr>
        <w:tabs>
          <w:tab w:val="center" w:pos="4475"/>
        </w:tabs>
        <w:spacing w:line="560" w:lineRule="exact"/>
        <w:ind w:firstLine="645"/>
        <w:rPr>
          <w:rFonts w:hint="eastAsia" w:ascii="楷体_GB2312" w:hAnsi="楷体_GB2312" w:eastAsia="楷体_GB2312" w:cs="楷体_GB2312"/>
          <w:color w:val="auto"/>
          <w:szCs w:val="32"/>
        </w:rPr>
      </w:pPr>
      <w:r>
        <w:rPr>
          <w:rFonts w:hint="eastAsia" w:ascii="黑体" w:eastAsia="黑体"/>
          <w:color w:val="auto"/>
          <w:szCs w:val="32"/>
          <w:lang w:eastAsia="zh-CN"/>
        </w:rPr>
        <w:t>七、</w:t>
      </w:r>
      <w:r>
        <w:rPr>
          <w:rFonts w:hint="eastAsia" w:ascii="黑体" w:hAnsi="黑体" w:eastAsia="黑体" w:cs="黑体"/>
          <w:color w:val="auto"/>
          <w:szCs w:val="32"/>
        </w:rPr>
        <w:t>机关运行经费安排情况说明</w:t>
      </w:r>
    </w:p>
    <w:p w14:paraId="2A856E88">
      <w:pPr>
        <w:tabs>
          <w:tab w:val="center" w:pos="4475"/>
        </w:tabs>
        <w:spacing w:line="560" w:lineRule="exact"/>
        <w:ind w:firstLine="645"/>
        <w:rPr>
          <w:rFonts w:hint="eastAsia" w:ascii="仿宋_GB2312" w:hAnsi="宋体"/>
          <w:b/>
          <w:bCs/>
          <w:color w:val="auto"/>
          <w:szCs w:val="32"/>
          <w:highlight w:val="none"/>
          <w:u w:val="single"/>
        </w:rPr>
      </w:pPr>
      <w:r>
        <w:rPr>
          <w:rFonts w:hint="eastAsia" w:ascii="仿宋_GB2312" w:hAnsi="宋体" w:cs="Times New Roman"/>
          <w:color w:val="auto"/>
          <w:szCs w:val="32"/>
          <w:highlight w:val="none"/>
          <w:lang w:eastAsia="zh-CN"/>
        </w:rPr>
        <w:t>我单位事业单位运行经费主要包括</w:t>
      </w:r>
      <w:r>
        <w:rPr>
          <w:rFonts w:hint="eastAsia" w:ascii="仿宋_GB2312" w:eastAsia="仿宋_GB2312"/>
          <w:color w:val="auto"/>
          <w:sz w:val="32"/>
          <w:szCs w:val="32"/>
          <w:highlight w:val="none"/>
        </w:rPr>
        <w:t>办公费、印刷费、水电费、邮电费、邮电费、差旅费、维修（护）费、会议费、培训费、公务接待费、公务用车运行维护费及其他商品和服务支出</w:t>
      </w:r>
      <w:r>
        <w:rPr>
          <w:rFonts w:hint="eastAsia" w:ascii="仿宋_GB2312" w:hAnsi="宋体" w:cs="Times New Roman"/>
          <w:color w:val="auto"/>
          <w:szCs w:val="32"/>
          <w:highlight w:val="none"/>
          <w:lang w:val="en-US" w:eastAsia="zh-CN"/>
        </w:rPr>
        <w:t>。</w:t>
      </w:r>
      <w:r>
        <w:rPr>
          <w:rFonts w:hint="eastAsia" w:ascii="仿宋_GB2312" w:hAnsi="宋体" w:cs="Times New Roman"/>
          <w:color w:val="auto"/>
          <w:szCs w:val="32"/>
          <w:highlight w:val="none"/>
          <w:lang w:eastAsia="zh-CN"/>
        </w:rPr>
        <w:t>我单位</w:t>
      </w:r>
      <w:r>
        <w:rPr>
          <w:rFonts w:hint="eastAsia" w:ascii="仿宋_GB2312" w:hAnsi="宋体" w:cs="Times New Roman"/>
          <w:color w:val="auto"/>
          <w:szCs w:val="32"/>
          <w:highlight w:val="none"/>
          <w:lang w:val="en-US" w:eastAsia="zh-CN"/>
        </w:rPr>
        <w:t>2025年</w:t>
      </w:r>
      <w:r>
        <w:rPr>
          <w:rFonts w:hint="eastAsia" w:ascii="仿宋_GB2312" w:hAnsi="宋体" w:cs="Times New Roman"/>
          <w:color w:val="auto"/>
          <w:szCs w:val="32"/>
          <w:highlight w:val="none"/>
          <w:lang w:eastAsia="zh-CN"/>
        </w:rPr>
        <w:t>事业单位</w:t>
      </w:r>
      <w:r>
        <w:rPr>
          <w:rFonts w:hint="eastAsia" w:ascii="仿宋_GB2312" w:hAnsi="宋体" w:cs="Times New Roman"/>
          <w:color w:val="auto"/>
          <w:szCs w:val="32"/>
          <w:highlight w:val="none"/>
          <w:lang w:val="en-US" w:eastAsia="zh-CN"/>
        </w:rPr>
        <w:t>运行经费预算14.03万元，较上年减少0.17</w:t>
      </w:r>
      <w:r>
        <w:rPr>
          <w:rFonts w:hint="eastAsia" w:ascii="仿宋_GB2312"/>
          <w:color w:val="auto"/>
          <w:sz w:val="32"/>
          <w:szCs w:val="32"/>
          <w:lang w:val="en" w:eastAsia="zh-CN"/>
        </w:rPr>
        <w:t>万元，</w:t>
      </w:r>
      <w:r>
        <w:rPr>
          <w:rFonts w:hint="eastAsia" w:ascii="仿宋_GB2312"/>
          <w:color w:val="auto"/>
          <w:sz w:val="32"/>
          <w:szCs w:val="32"/>
          <w:lang w:eastAsia="zh-CN"/>
        </w:rPr>
        <w:t>下降</w:t>
      </w:r>
      <w:r>
        <w:rPr>
          <w:rFonts w:hint="eastAsia" w:ascii="仿宋_GB2312"/>
          <w:color w:val="auto"/>
          <w:sz w:val="32"/>
          <w:szCs w:val="32"/>
          <w:lang w:val="en-US" w:eastAsia="zh-CN"/>
        </w:rPr>
        <w:t>1.20%，减少的主要原因是压缩预算支出。</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4710EE92">
      <w:pPr>
        <w:tabs>
          <w:tab w:val="center" w:pos="4475"/>
        </w:tabs>
        <w:spacing w:line="560" w:lineRule="exact"/>
        <w:ind w:firstLine="645"/>
        <w:rPr>
          <w:rFonts w:hint="eastAsia" w:ascii="仿宋_GB2312" w:hAnsi="宋体" w:eastAsia="仿宋_GB2312"/>
          <w:szCs w:val="32"/>
          <w:lang w:eastAsia="zh-CN"/>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w:t>
      </w:r>
      <w:r>
        <w:rPr>
          <w:rFonts w:hint="eastAsia" w:ascii="仿宋_GB2312" w:hAnsi="宋体"/>
          <w:szCs w:val="32"/>
          <w:lang w:eastAsia="zh-CN"/>
        </w:rPr>
        <w:t>无</w:t>
      </w:r>
      <w:r>
        <w:rPr>
          <w:rFonts w:hint="eastAsia" w:ascii="仿宋_GB2312" w:hAnsi="宋体"/>
          <w:szCs w:val="32"/>
        </w:rPr>
        <w:t>政府采购预算</w:t>
      </w:r>
      <w:r>
        <w:rPr>
          <w:rFonts w:hint="eastAsia" w:ascii="仿宋_GB2312" w:hAnsi="宋体"/>
          <w:szCs w:val="32"/>
          <w:lang w:eastAsia="zh-CN"/>
        </w:rPr>
        <w:t>。</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5D32A234">
      <w:pPr>
        <w:tabs>
          <w:tab w:val="center" w:pos="4475"/>
        </w:tabs>
        <w:spacing w:line="560" w:lineRule="exact"/>
        <w:ind w:firstLine="645"/>
        <w:rPr>
          <w:rFonts w:hint="eastAsia" w:ascii="黑体" w:hAnsi="Arial" w:eastAsia="仿宋_GB2312" w:cs="Arial"/>
          <w:b w:val="0"/>
          <w:bCs w:val="0"/>
          <w:kern w:val="0"/>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年无国有资产占用相关情况</w:t>
      </w:r>
      <w:r>
        <w:rPr>
          <w:rFonts w:hint="eastAsia" w:ascii="仿宋_GB2312" w:hAnsi="宋体"/>
          <w:b w:val="0"/>
          <w:bCs w:val="0"/>
          <w:szCs w:val="32"/>
          <w:highlight w:val="none"/>
          <w:u w:val="none"/>
          <w:lang w:eastAsia="zh-CN"/>
        </w:rPr>
        <w:t>。</w:t>
      </w:r>
      <w:bookmarkStart w:id="0" w:name="_GoBack"/>
      <w:bookmarkEnd w:id="0"/>
    </w:p>
    <w:p w14:paraId="348E10FD">
      <w:pPr>
        <w:tabs>
          <w:tab w:val="center" w:pos="4475"/>
        </w:tabs>
        <w:spacing w:line="560" w:lineRule="exact"/>
        <w:ind w:firstLine="645"/>
        <w:rPr>
          <w:rFonts w:hint="eastAsia" w:ascii="楷体_GB2312" w:hAnsi="楷体_GB2312" w:eastAsia="楷体_GB2312" w:cs="楷体_GB2312"/>
          <w:color w:val="auto"/>
          <w:szCs w:val="32"/>
        </w:rPr>
      </w:pPr>
      <w:r>
        <w:rPr>
          <w:rFonts w:hint="eastAsia" w:ascii="黑体" w:hAnsi="黑体" w:eastAsia="黑体" w:cs="黑体"/>
          <w:color w:val="auto"/>
          <w:szCs w:val="32"/>
          <w:lang w:eastAsia="zh-CN"/>
        </w:rPr>
        <w:t>十、</w:t>
      </w:r>
      <w:r>
        <w:rPr>
          <w:rFonts w:hint="eastAsia" w:ascii="黑体" w:hAnsi="黑体" w:eastAsia="黑体" w:cs="黑体"/>
          <w:color w:val="auto"/>
          <w:szCs w:val="32"/>
        </w:rPr>
        <w:t>预算绩效目标情况说明</w:t>
      </w:r>
    </w:p>
    <w:p w14:paraId="63240158">
      <w:pPr>
        <w:tabs>
          <w:tab w:val="center" w:pos="4475"/>
        </w:tabs>
        <w:spacing w:line="560" w:lineRule="exact"/>
        <w:ind w:firstLine="645"/>
        <w:rPr>
          <w:rFonts w:hint="default" w:ascii="仿宋_GB2312" w:hAnsi="宋体" w:eastAsia="仿宋_GB2312" w:cs="Times New Roman"/>
          <w:color w:val="auto"/>
          <w:szCs w:val="32"/>
          <w:highlight w:val="none"/>
          <w:lang w:val="en-US" w:eastAsia="zh-CN"/>
        </w:rPr>
      </w:pPr>
      <w:r>
        <w:rPr>
          <w:rFonts w:hint="eastAsia" w:ascii="仿宋_GB2312" w:hAnsi="宋体" w:cs="Times New Roman"/>
          <w:color w:val="auto"/>
          <w:szCs w:val="32"/>
          <w:highlight w:val="none"/>
          <w:lang w:val="en-US" w:eastAsia="zh-CN"/>
        </w:rPr>
        <w:t>2025年我单位无项目预算绩效。</w:t>
      </w:r>
    </w:p>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6FF41157">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2D26A13F">
      <w:pPr>
        <w:ind w:firstLine="862" w:firstLineChars="196"/>
        <w:rPr>
          <w:rFonts w:ascii="仿宋_GB2312" w:hAnsi="宋体" w:eastAsia="仿宋_GB2312"/>
          <w:bCs/>
          <w:sz w:val="44"/>
          <w:szCs w:val="44"/>
          <w:highlight w:val="none"/>
        </w:rPr>
      </w:pPr>
    </w:p>
    <w:p w14:paraId="5BA2122E">
      <w:pPr>
        <w:adjustRightInd w:val="0"/>
        <w:snapToGrid w:val="0"/>
        <w:spacing w:line="560" w:lineRule="exact"/>
        <w:ind w:right="-333" w:rightChars="-104" w:firstLine="640" w:firstLineChars="200"/>
        <w:rPr>
          <w:rFonts w:hint="eastAsia" w:ascii="黑体" w:hAnsi="宋体" w:eastAsia="黑体"/>
          <w:szCs w:val="32"/>
          <w:lang w:eastAsia="zh-CN"/>
        </w:rPr>
      </w:pPr>
    </w:p>
    <w:p w14:paraId="2C055A29">
      <w:pPr>
        <w:adjustRightInd w:val="0"/>
        <w:snapToGrid w:val="0"/>
        <w:spacing w:line="560" w:lineRule="exact"/>
        <w:ind w:right="-333" w:rightChars="-104" w:firstLine="640" w:firstLineChars="200"/>
        <w:rPr>
          <w:rFonts w:hint="eastAsia" w:ascii="黑体" w:hAnsi="宋体" w:eastAsia="黑体"/>
          <w:szCs w:val="32"/>
          <w:lang w:eastAsia="zh-CN"/>
        </w:rPr>
      </w:pPr>
    </w:p>
    <w:p w14:paraId="3A58C29E">
      <w:pPr>
        <w:adjustRightInd w:val="0"/>
        <w:snapToGrid w:val="0"/>
        <w:spacing w:line="560" w:lineRule="exact"/>
        <w:ind w:right="-333" w:rightChars="-104" w:firstLine="640" w:firstLineChars="200"/>
        <w:rPr>
          <w:rFonts w:hint="eastAsia" w:ascii="黑体" w:hAnsi="宋体" w:eastAsia="黑体"/>
          <w:szCs w:val="32"/>
          <w:lang w:eastAsia="zh-CN"/>
        </w:rPr>
      </w:pPr>
    </w:p>
    <w:p w14:paraId="79BF135E">
      <w:pPr>
        <w:adjustRightInd w:val="0"/>
        <w:snapToGrid w:val="0"/>
        <w:spacing w:line="560" w:lineRule="exact"/>
        <w:ind w:right="-333" w:rightChars="-104" w:firstLine="640" w:firstLineChars="200"/>
        <w:rPr>
          <w:rFonts w:hint="eastAsia" w:ascii="黑体" w:hAnsi="宋体" w:eastAsia="黑体"/>
          <w:szCs w:val="32"/>
          <w:lang w:eastAsia="zh-CN"/>
        </w:rPr>
      </w:pPr>
    </w:p>
    <w:p w14:paraId="3089A330">
      <w:pPr>
        <w:adjustRightInd w:val="0"/>
        <w:snapToGrid w:val="0"/>
        <w:spacing w:line="560" w:lineRule="exact"/>
        <w:ind w:right="-333" w:rightChars="-104" w:firstLine="640" w:firstLineChars="200"/>
        <w:rPr>
          <w:rFonts w:hint="eastAsia" w:ascii="黑体" w:hAnsi="宋体" w:eastAsia="黑体"/>
          <w:szCs w:val="32"/>
          <w:lang w:eastAsia="zh-CN"/>
        </w:rPr>
      </w:pPr>
    </w:p>
    <w:p w14:paraId="711DB517">
      <w:pPr>
        <w:adjustRightInd w:val="0"/>
        <w:snapToGrid w:val="0"/>
        <w:spacing w:line="560" w:lineRule="exact"/>
        <w:ind w:right="-333" w:rightChars="-104" w:firstLine="640" w:firstLineChars="200"/>
        <w:rPr>
          <w:rFonts w:hint="eastAsia" w:ascii="黑体" w:hAnsi="宋体" w:eastAsia="黑体"/>
          <w:szCs w:val="32"/>
          <w:lang w:eastAsia="zh-CN"/>
        </w:rPr>
      </w:pPr>
    </w:p>
    <w:p w14:paraId="69FC664A">
      <w:pPr>
        <w:adjustRightInd w:val="0"/>
        <w:snapToGrid w:val="0"/>
        <w:spacing w:line="560" w:lineRule="exact"/>
        <w:ind w:right="-333" w:rightChars="-104" w:firstLine="640" w:firstLineChars="200"/>
        <w:rPr>
          <w:rFonts w:hint="eastAsia" w:ascii="黑体" w:hAnsi="宋体" w:eastAsia="黑体"/>
          <w:szCs w:val="32"/>
          <w:lang w:eastAsia="zh-CN"/>
        </w:rPr>
      </w:pPr>
    </w:p>
    <w:p w14:paraId="4A714BE5">
      <w:pPr>
        <w:adjustRightInd w:val="0"/>
        <w:snapToGrid w:val="0"/>
        <w:spacing w:line="560" w:lineRule="exact"/>
        <w:ind w:right="-333" w:rightChars="-104" w:firstLine="640" w:firstLineChars="200"/>
        <w:rPr>
          <w:rFonts w:hint="eastAsia" w:ascii="黑体" w:hAnsi="宋体" w:eastAsia="黑体"/>
          <w:szCs w:val="32"/>
          <w:lang w:eastAsia="zh-CN"/>
        </w:rPr>
      </w:pPr>
    </w:p>
    <w:p w14:paraId="4024BCE4">
      <w:pPr>
        <w:adjustRightInd w:val="0"/>
        <w:snapToGrid w:val="0"/>
        <w:spacing w:line="560" w:lineRule="exact"/>
        <w:ind w:right="-333" w:rightChars="-104" w:firstLine="640" w:firstLineChars="200"/>
        <w:rPr>
          <w:rFonts w:hint="eastAsia" w:ascii="黑体" w:hAnsi="宋体" w:eastAsia="黑体"/>
          <w:szCs w:val="32"/>
          <w:lang w:eastAsia="zh-CN"/>
        </w:rPr>
      </w:pPr>
    </w:p>
    <w:p w14:paraId="3E69901B">
      <w:pPr>
        <w:adjustRightInd w:val="0"/>
        <w:snapToGrid w:val="0"/>
        <w:spacing w:line="560" w:lineRule="exact"/>
        <w:ind w:right="-333" w:rightChars="-104" w:firstLine="640" w:firstLineChars="200"/>
        <w:rPr>
          <w:rFonts w:hint="eastAsia" w:ascii="黑体" w:hAnsi="宋体" w:eastAsia="黑体"/>
          <w:szCs w:val="32"/>
          <w:lang w:eastAsia="zh-CN"/>
        </w:rPr>
      </w:pPr>
    </w:p>
    <w:p w14:paraId="111F154D">
      <w:pPr>
        <w:adjustRightInd w:val="0"/>
        <w:snapToGrid w:val="0"/>
        <w:spacing w:line="560" w:lineRule="exact"/>
        <w:ind w:right="-333" w:rightChars="-104" w:firstLine="640" w:firstLineChars="200"/>
        <w:rPr>
          <w:rFonts w:hint="eastAsia" w:ascii="黑体" w:hAnsi="宋体" w:eastAsia="黑体"/>
          <w:szCs w:val="32"/>
          <w:lang w:eastAsia="zh-CN"/>
        </w:rPr>
      </w:pPr>
    </w:p>
    <w:p w14:paraId="361418C3">
      <w:pPr>
        <w:adjustRightInd w:val="0"/>
        <w:snapToGrid w:val="0"/>
        <w:spacing w:line="560" w:lineRule="exact"/>
        <w:ind w:right="-333" w:rightChars="-104" w:firstLine="640" w:firstLineChars="200"/>
        <w:rPr>
          <w:rFonts w:hint="eastAsia" w:ascii="黑体" w:hAnsi="宋体" w:eastAsia="黑体"/>
          <w:szCs w:val="32"/>
          <w:lang w:eastAsia="zh-CN"/>
        </w:r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第四部分：柳州市柳江区城乡规划服务中心2025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D7808"/>
    <w:rsid w:val="21690C6D"/>
    <w:rsid w:val="2F0E7201"/>
    <w:rsid w:val="36190BE4"/>
    <w:rsid w:val="392A132F"/>
    <w:rsid w:val="4E3B534E"/>
    <w:rsid w:val="57F73E33"/>
    <w:rsid w:val="61790893"/>
    <w:rsid w:val="664F7D6B"/>
    <w:rsid w:val="6A3E1DEA"/>
    <w:rsid w:val="6DAE2E3A"/>
    <w:rsid w:val="796129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4207</Words>
  <Characters>4458</Characters>
  <Lines>0</Lines>
  <Paragraphs>0</Paragraphs>
  <TotalTime>3</TotalTime>
  <ScaleCrop>false</ScaleCrop>
  <LinksUpToDate>false</LinksUpToDate>
  <CharactersWithSpaces>4505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WPS_1617072581</cp:lastModifiedBy>
  <dcterms:modified xsi:type="dcterms:W3CDTF">2025-02-13T01:50:00Z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eyJoZGlkIjoiMmVkZWY5MTQ3MWVkMGVjYzcyN2RhNGQ5Njg5MGUyNmYiLCJ1c2VySWQiOiIxMjAxNTk2MTQzIn0=</vt:lpwstr>
  </property>
  <property fmtid="{D5CDD505-2E9C-101B-9397-08002B2CF9AE}" pid="4" name="ICV">
    <vt:lpwstr>E723BE59CE2C4E01A4D68AF4D8692EE9_13</vt:lpwstr>
  </property>
</Properties>
</file>