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adjustRightInd w:val="0"/>
        <w:snapToGrid w:val="0"/>
        <w:spacing w:line="560" w:lineRule="exact"/>
        <w:ind w:right="-333" w:rightChars="-104" w:firstLine="880" w:firstLineChars="200"/>
        <w:rPr>
          <w:rFonts w:hint="eastAsia" w:ascii="黑体" w:hAnsi="宋体" w:eastAsia="黑体"/>
          <w:bCs/>
          <w:szCs w:val="32"/>
        </w:rPr>
      </w:pPr>
      <w:r>
        <w:rPr>
          <w:rFonts w:hint="eastAsia" w:ascii="黑体" w:hAnsi="宋体" w:eastAsia="黑体"/>
          <w:bCs/>
          <w:sz w:val="44"/>
          <w:szCs w:val="44"/>
          <w:highlight w:val="none"/>
          <w:lang w:val="en-US" w:eastAsia="zh-CN"/>
        </w:rPr>
        <w:t>柳州市柳江区市场监管综合行政执法大队2025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bCs/>
          <w:sz w:val="32"/>
          <w:szCs w:val="32"/>
          <w:highlight w:val="none"/>
          <w:lang w:val="en-US" w:eastAsia="zh-CN"/>
        </w:rPr>
        <w:t>柳州市柳江区市场监管综合行政执法大队</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bCs/>
          <w:sz w:val="32"/>
          <w:szCs w:val="32"/>
          <w:highlight w:val="none"/>
          <w:lang w:val="en-US" w:eastAsia="zh-CN"/>
        </w:rPr>
        <w:t>柳州市柳江区市场监管综合行政执法大队</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1DC9A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贯彻执行市场监管综合行政执法方面的法律、法规规章和政策。负责市场监督管理综合行政执法队伍建设，承担区市场监管综合行政执法业务指导、组织协调工作。</w:t>
      </w:r>
    </w:p>
    <w:p w14:paraId="70D99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（二）承担柳江区市场监管综合行政执法工作，负责查处侵犯知识产权、制售假冒伪劣商品的违法案件。</w:t>
      </w:r>
    </w:p>
    <w:p w14:paraId="7CE75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（三）负责反走私打击工作，负责查处影响较大和跨区域的大案要案。查处上级主管部门交办的重大违法案件，负责跨部门联合执法。</w:t>
      </w:r>
    </w:p>
    <w:p w14:paraId="45216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（四）负责查处违反市场主体登记相关法律法规的行为；负责查处无照经营以及与市场监督管理部门职能相关的无证生产经营等方面违法案件。</w:t>
      </w:r>
    </w:p>
    <w:p w14:paraId="011D1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（五）负责查处食品(含特殊食品)、盐业领域的违法案件。</w:t>
      </w:r>
    </w:p>
    <w:p w14:paraId="52E9F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（六）负责查处药品、医疗器械、化妆品领域的违法案件。</w:t>
      </w:r>
    </w:p>
    <w:p w14:paraId="2A64C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（七）负责查处产品质量、生产许可、计量、标准化、认证认可、特种设备的违法案件。</w:t>
      </w:r>
    </w:p>
    <w:p w14:paraId="1D456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（八）负责查处价格垄断、价格欺诈、价格歧视、低价倾销、哄抬物价、重复收费、自立项目收费、超标准收费等不正当价格行为的违法案件。</w:t>
      </w:r>
    </w:p>
    <w:p w14:paraId="19E07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（九）负责查处不正当竞争、侵害消费者权益、直销、传销、违法广告等破坏市场经济秩序的违法案件。</w:t>
      </w:r>
    </w:p>
    <w:p w14:paraId="374A4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负责查处酒类流通、商业特许经营、成品油市场、零售商促销、零售供应商公平交易、单用途商业预付卡、拍卖、典当、报废汽车回收、二手车流通、洗染业、美容美发业、家电维修服务业、旧电器电子产品收购、家庭服务机构、再生资源回收和对外劳务合作经营资格等方面的违法行为。</w:t>
      </w:r>
    </w:p>
    <w:p w14:paraId="334270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（十一）负责行政处罚案件数据统计、分析与管理工作。</w:t>
      </w:r>
    </w:p>
    <w:p w14:paraId="4B15F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（十二）承担市场监管专项治理和社会综合治理等相关工作。</w:t>
      </w:r>
    </w:p>
    <w:p w14:paraId="6489F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（十三）参与区市场监督管理局根据上级要求开展的专项整治行政执法工作；承办举报处置工作。</w:t>
      </w:r>
    </w:p>
    <w:p w14:paraId="6ABE8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（十四）负责推行行政执法公示、执法全过程记录制度，完善执法程序，规范办案行为，提高办案效率，按规定统一执法程序、文书、服装、标志和执法办案信息管理系统。</w:t>
      </w:r>
    </w:p>
    <w:p w14:paraId="6703D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（十五）完成区委、区人民政府及主管部门交办的其他任务。</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6A327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 xml:space="preserve"> </w:t>
      </w:r>
      <w:r>
        <w:rPr>
          <w:rFonts w:hint="eastAsia" w:cs="Times New Roman"/>
          <w:sz w:val="32"/>
          <w:szCs w:val="32"/>
          <w:lang w:eastAsia="zh-CN"/>
        </w:rPr>
        <w:t>柳州市柳江</w:t>
      </w:r>
      <w:r>
        <w:rPr>
          <w:rFonts w:hint="default" w:ascii="Times New Roman" w:hAnsi="Times New Roman" w:eastAsia="仿宋_GB2312" w:cs="Times New Roman"/>
          <w:color w:val="000000" w:themeColor="text1"/>
          <w:sz w:val="32"/>
          <w:szCs w:val="32"/>
          <w14:textFill>
            <w14:solidFill>
              <w14:schemeClr w14:val="tx1"/>
            </w14:solidFill>
          </w14:textFill>
        </w:rPr>
        <w:t>区市场监管综合行政执法大队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事业</w:t>
      </w:r>
      <w:r>
        <w:rPr>
          <w:rFonts w:hint="default" w:ascii="Times New Roman" w:hAnsi="Times New Roman" w:eastAsia="仿宋_GB2312" w:cs="Times New Roman"/>
          <w:color w:val="000000" w:themeColor="text1"/>
          <w:sz w:val="32"/>
          <w:szCs w:val="32"/>
          <w14:textFill>
            <w14:solidFill>
              <w14:schemeClr w14:val="tx1"/>
            </w14:solidFill>
          </w14:textFill>
        </w:rPr>
        <w:t>编制66名，设大队长1名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（正科长级）</w:t>
      </w:r>
      <w:r>
        <w:rPr>
          <w:rFonts w:hint="default" w:ascii="Times New Roman" w:hAnsi="Times New Roman" w:eastAsia="仿宋_GB2312" w:cs="Times New Roman"/>
          <w:color w:val="000000" w:themeColor="text1"/>
          <w:sz w:val="32"/>
          <w:szCs w:val="32"/>
          <w14:textFill>
            <w14:solidFill>
              <w14:schemeClr w14:val="tx1"/>
            </w14:solidFill>
          </w14:textFill>
        </w:rPr>
        <w:t>，副大队长3名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（副科长级）</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7DB54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区市场监管综合行政执法大队设下列内设机构：</w:t>
      </w:r>
    </w:p>
    <w:p w14:paraId="316F4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内勤中队。负责协调和督办大队日常工作，负责制订大队内部管理的有关制度和工作计划，承担文秘、会务、信息、档案、机要、保密等工作，负责市场监管综合行政执法队伍建设和作风建设，负责组织开展相关法律法规的宣传工作，负责编报大队的预决算，票据管理和日常财务工作。</w:t>
      </w:r>
    </w:p>
    <w:p w14:paraId="3EEAB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综合执法中队。负责市场监管综合行政执法信息化建设工作，负责案件线索登记、流转、以及协调线索管理有关问题，统筹案源管理，跟踪、汇报、上报、督查案件进展情况，负责组织、指导、协调市场监管领域的案件的查办，承担综合行政执法案件的统计分析工作，负责执法装备和罚没物品的管理工作，组织开展市场监管综合行政执法队伍的教育培训;负责行政处罚案件的审核；负责市场监管系统案件信息管理系统的管理工作；组织行政处罚听证工作，负责行政复议、行政应诉和行政赔偿工作，组织落实行政处罚案卷评查等工作。</w:t>
      </w:r>
    </w:p>
    <w:p w14:paraId="4B986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市场监管综合行政执法大队设下列派出机构：区市场监管综合行政执法大队设立11个派出机构，分别为拉堡中队、新城中队、柳堡中队、穿山中队、进德中队、成团中队、三都中队、里高中队、土博中队、百朋中队、新兴中队，11个基层市场监督管理所加挂“柳州市柳江区市场监管综合行政执法大队XX中队”牌子，不定机构级别，设中队长1名，由各基层市场监督管理所所长兼任，负责辖区宣传、贯彻、实施市场监管相关法律、法规、规章；依法依规开展市场监管领域相关日常监督管理、检查、专项整治等任务；依法开展行政执法工作，行使行政处罚权。</w:t>
      </w:r>
    </w:p>
    <w:p w14:paraId="3B9BB9E6">
      <w:pPr>
        <w:tabs>
          <w:tab w:val="center" w:pos="4475"/>
        </w:tabs>
        <w:spacing w:line="560" w:lineRule="exact"/>
        <w:rPr>
          <w:rFonts w:hint="eastAsia" w:ascii="黑体" w:eastAsia="黑体"/>
          <w:szCs w:val="32"/>
        </w:rPr>
      </w:pP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bCs/>
          <w:sz w:val="32"/>
          <w:szCs w:val="32"/>
          <w:highlight w:val="none"/>
          <w:lang w:val="en-US" w:eastAsia="zh-CN"/>
        </w:rPr>
        <w:t>柳州市柳江区市场监管综合行政执法大队</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default" w:ascii="黑体" w:eastAsia="黑体"/>
          <w:szCs w:val="32"/>
          <w:lang w:val="en-US"/>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807.37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807.37</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val="en-US" w:eastAsia="zh-CN"/>
        </w:rPr>
        <w:t>我单位为2025年新增单位，无上年对比数据。</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647DD531">
      <w:pPr>
        <w:pStyle w:val="7"/>
        <w:numPr>
          <w:ilvl w:val="0"/>
          <w:numId w:val="0"/>
        </w:numPr>
        <w:ind w:firstLine="640" w:firstLineChars="200"/>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807.37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val="en-US" w:eastAsia="zh-CN"/>
        </w:rPr>
        <w:t>我单位为2025年新增单位，无上年对比数据。单位收入主要包括：</w:t>
      </w:r>
    </w:p>
    <w:p w14:paraId="7F20BFFB">
      <w:pPr>
        <w:numPr>
          <w:ilvl w:val="0"/>
          <w:numId w:val="0"/>
        </w:numPr>
        <w:tabs>
          <w:tab w:val="center" w:pos="4475"/>
        </w:tabs>
        <w:spacing w:line="560" w:lineRule="exact"/>
        <w:ind w:left="320" w:leftChars="0"/>
        <w:rPr>
          <w:rFonts w:hint="eastAsia" w:ascii="仿宋_GB2312" w:hAnsi="宋体"/>
          <w:szCs w:val="32"/>
          <w:highlight w:val="none"/>
          <w:lang w:val="en-US" w:eastAsia="zh-CN"/>
        </w:rPr>
      </w:pPr>
      <w:r>
        <w:rPr>
          <w:rFonts w:hint="eastAsia" w:ascii="仿宋_GB2312" w:hAnsi="宋体"/>
          <w:szCs w:val="32"/>
          <w:highlight w:val="none"/>
          <w:lang w:val="en-US" w:eastAsia="zh-CN"/>
        </w:rPr>
        <w:t>一般公共预算拨款807.37万元</w:t>
      </w:r>
      <w:r>
        <w:rPr>
          <w:rFonts w:hint="eastAsia" w:ascii="仿宋_GB2312" w:hAnsi="宋体"/>
          <w:szCs w:val="32"/>
          <w:lang w:val="en-US" w:eastAsia="zh-CN"/>
        </w:rPr>
        <w:t>，占总收入的100%</w:t>
      </w:r>
      <w:r>
        <w:rPr>
          <w:rFonts w:hint="eastAsia" w:ascii="仿宋_GB2312" w:hAnsi="宋体"/>
          <w:szCs w:val="32"/>
          <w:highlight w:val="none"/>
          <w:lang w:val="en-US" w:eastAsia="zh-CN"/>
        </w:rPr>
        <w:t>；</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337EDC65">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eastAsia="仿宋_GB2312"/>
          <w:sz w:val="32"/>
          <w:szCs w:val="32"/>
        </w:rPr>
        <w:t xml:space="preserve"> </w:t>
      </w:r>
      <w:r>
        <w:rPr>
          <w:rFonts w:hint="eastAsia" w:ascii="仿宋_GB2312"/>
          <w:sz w:val="32"/>
          <w:szCs w:val="32"/>
          <w:lang w:val="en-US" w:eastAsia="zh-CN"/>
        </w:rPr>
        <w:t>807.37</w:t>
      </w:r>
      <w:r>
        <w:rPr>
          <w:rFonts w:hint="eastAsia" w:ascii="仿宋_GB2312" w:eastAsia="仿宋_GB2312"/>
          <w:sz w:val="32"/>
          <w:szCs w:val="32"/>
        </w:rPr>
        <w:t>万元</w:t>
      </w:r>
      <w:r>
        <w:rPr>
          <w:rFonts w:hint="eastAsia" w:ascii="仿宋_GB2312"/>
          <w:sz w:val="32"/>
          <w:szCs w:val="32"/>
          <w:lang w:eastAsia="zh-CN"/>
        </w:rPr>
        <w:t>，</w:t>
      </w:r>
      <w:r>
        <w:rPr>
          <w:rFonts w:hint="eastAsia" w:ascii="仿宋_GB2312"/>
          <w:sz w:val="32"/>
          <w:szCs w:val="32"/>
          <w:lang w:val="en-US" w:eastAsia="zh-CN"/>
        </w:rPr>
        <w:t>我单位为2025年新增单位，无上年对比数据。单位支出主要包括：</w:t>
      </w:r>
    </w:p>
    <w:p w14:paraId="25CC9CA8">
      <w:pPr>
        <w:numPr>
          <w:ilvl w:val="0"/>
          <w:numId w:val="1"/>
        </w:numPr>
        <w:tabs>
          <w:tab w:val="center" w:pos="4475"/>
        </w:tabs>
        <w:spacing w:line="560" w:lineRule="exact"/>
        <w:ind w:left="-325" w:leftChars="0" w:firstLine="645" w:firstLineChars="0"/>
        <w:rPr>
          <w:rFonts w:hint="eastAsia" w:ascii="仿宋_GB2312" w:hAnsi="宋体"/>
          <w:szCs w:val="32"/>
          <w:highlight w:val="none"/>
          <w:lang w:val="en-US" w:eastAsia="zh-CN"/>
        </w:rPr>
      </w:pPr>
      <w:r>
        <w:rPr>
          <w:rFonts w:hint="eastAsia" w:ascii="仿宋_GB2312" w:hAnsi="宋体"/>
          <w:szCs w:val="32"/>
          <w:lang w:val="en-US" w:eastAsia="zh-CN"/>
        </w:rPr>
        <w:t>一般公共服务支出598.97万元，占总支出的74.19%；</w:t>
      </w:r>
    </w:p>
    <w:p w14:paraId="15A8A0AE">
      <w:pPr>
        <w:numPr>
          <w:ilvl w:val="0"/>
          <w:numId w:val="1"/>
        </w:numPr>
        <w:tabs>
          <w:tab w:val="center" w:pos="4475"/>
        </w:tabs>
        <w:spacing w:line="560" w:lineRule="exact"/>
        <w:ind w:left="-325" w:leftChars="0" w:firstLine="645" w:firstLineChars="0"/>
        <w:rPr>
          <w:rFonts w:hint="eastAsia" w:ascii="仿宋_GB2312" w:hAnsi="宋体"/>
          <w:szCs w:val="32"/>
          <w:highlight w:val="none"/>
          <w:lang w:val="en-US" w:eastAsia="zh-CN"/>
        </w:rPr>
      </w:pPr>
      <w:r>
        <w:rPr>
          <w:rFonts w:hint="eastAsia" w:ascii="仿宋_GB2312" w:hAnsi="宋体"/>
          <w:szCs w:val="32"/>
          <w:highlight w:val="none"/>
          <w:lang w:val="en-US" w:eastAsia="zh-CN"/>
        </w:rPr>
        <w:t>社会保障和就业支出120.54万元</w:t>
      </w:r>
      <w:r>
        <w:rPr>
          <w:rFonts w:hint="eastAsia" w:ascii="仿宋_GB2312" w:hAnsi="宋体"/>
          <w:szCs w:val="32"/>
          <w:lang w:val="en-US" w:eastAsia="zh-CN"/>
        </w:rPr>
        <w:t>，占总支出的14.93%</w:t>
      </w:r>
      <w:r>
        <w:rPr>
          <w:rFonts w:hint="eastAsia" w:ascii="仿宋_GB2312" w:hAnsi="宋体"/>
          <w:szCs w:val="32"/>
          <w:highlight w:val="none"/>
          <w:lang w:val="en-US" w:eastAsia="zh-CN"/>
        </w:rPr>
        <w:t>；</w:t>
      </w:r>
    </w:p>
    <w:p w14:paraId="2E1ECF12">
      <w:pPr>
        <w:numPr>
          <w:ilvl w:val="0"/>
          <w:numId w:val="1"/>
        </w:numPr>
        <w:tabs>
          <w:tab w:val="center" w:pos="4475"/>
        </w:tabs>
        <w:spacing w:line="560" w:lineRule="exact"/>
        <w:ind w:left="-325" w:leftChars="0" w:firstLine="645" w:firstLineChars="0"/>
        <w:rPr>
          <w:rFonts w:hint="eastAsia" w:ascii="仿宋_GB2312" w:hAnsi="宋体"/>
          <w:szCs w:val="32"/>
          <w:highlight w:val="none"/>
          <w:lang w:val="en-US" w:eastAsia="zh-CN"/>
        </w:rPr>
      </w:pPr>
      <w:r>
        <w:rPr>
          <w:rFonts w:hint="eastAsia" w:ascii="仿宋_GB2312" w:hAnsi="宋体"/>
          <w:szCs w:val="32"/>
          <w:highlight w:val="none"/>
          <w:lang w:val="en-US" w:eastAsia="zh-CN"/>
        </w:rPr>
        <w:t>卫生健康支出34.61万元</w:t>
      </w:r>
      <w:r>
        <w:rPr>
          <w:rFonts w:hint="eastAsia" w:ascii="仿宋_GB2312" w:hAnsi="宋体"/>
          <w:szCs w:val="32"/>
          <w:lang w:val="en-US" w:eastAsia="zh-CN"/>
        </w:rPr>
        <w:t>，占总支出的4.28%</w:t>
      </w:r>
      <w:r>
        <w:rPr>
          <w:rFonts w:hint="eastAsia" w:ascii="仿宋_GB2312" w:hAnsi="宋体"/>
          <w:szCs w:val="32"/>
          <w:highlight w:val="none"/>
          <w:lang w:val="en-US" w:eastAsia="zh-CN"/>
        </w:rPr>
        <w:t>；</w:t>
      </w:r>
    </w:p>
    <w:p w14:paraId="6588BB38">
      <w:pPr>
        <w:numPr>
          <w:ilvl w:val="0"/>
          <w:numId w:val="0"/>
        </w:numPr>
        <w:tabs>
          <w:tab w:val="center" w:pos="4475"/>
        </w:tabs>
        <w:spacing w:line="560" w:lineRule="exact"/>
        <w:ind w:left="320" w:leftChars="0"/>
        <w:rPr>
          <w:rFonts w:hint="default" w:ascii="仿宋_GB2312" w:hAnsi="宋体"/>
          <w:szCs w:val="32"/>
          <w:highlight w:val="none"/>
          <w:lang w:val="en-US" w:eastAsia="zh-CN"/>
        </w:rPr>
      </w:pPr>
      <w:r>
        <w:rPr>
          <w:rFonts w:hint="eastAsia" w:ascii="仿宋_GB2312" w:hAnsi="宋体"/>
          <w:szCs w:val="32"/>
          <w:highlight w:val="none"/>
          <w:lang w:val="en-US" w:eastAsia="zh-CN"/>
        </w:rPr>
        <w:t>（四）住房保障支出53.25万元</w:t>
      </w:r>
      <w:r>
        <w:rPr>
          <w:rFonts w:hint="eastAsia" w:ascii="仿宋_GB2312" w:hAnsi="宋体"/>
          <w:szCs w:val="32"/>
          <w:lang w:val="en-US" w:eastAsia="zh-CN"/>
        </w:rPr>
        <w:t>，占总支出的6.6%。</w:t>
      </w:r>
      <w:bookmarkStart w:id="0" w:name="_GoBack"/>
      <w:bookmarkEnd w:id="0"/>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29C4D973">
      <w:pPr>
        <w:tabs>
          <w:tab w:val="center" w:pos="4475"/>
        </w:tabs>
        <w:spacing w:line="560" w:lineRule="exact"/>
        <w:ind w:firstLine="645"/>
        <w:rPr>
          <w:rFonts w:hint="eastAsia" w:ascii="仿宋_GB2312" w:eastAsia="仿宋_GB2312"/>
          <w:b w:val="0"/>
          <w:bCs w:val="0"/>
          <w:strike w:val="0"/>
          <w:dstrike w:val="0"/>
          <w:szCs w:val="32"/>
          <w:u w:val="none"/>
          <w:lang w:eastAsia="zh-CN"/>
        </w:rPr>
      </w:pPr>
      <w:r>
        <w:rPr>
          <w:rFonts w:hint="eastAsia" w:ascii="仿宋_GB2312" w:hAnsi="宋体"/>
          <w:b w:val="0"/>
          <w:bCs w:val="0"/>
          <w:strike w:val="0"/>
          <w:dstrike w:val="0"/>
          <w:szCs w:val="32"/>
          <w:highlight w:val="none"/>
          <w:u w:val="none"/>
        </w:rPr>
        <w:t>我</w:t>
      </w:r>
      <w:r>
        <w:rPr>
          <w:rFonts w:hint="eastAsia" w:ascii="仿宋_GB2312" w:hAnsi="宋体"/>
          <w:b w:val="0"/>
          <w:bCs w:val="0"/>
          <w:strike w:val="0"/>
          <w:dstrike w:val="0"/>
          <w:szCs w:val="32"/>
          <w:highlight w:val="none"/>
          <w:u w:val="none"/>
          <w:lang w:eastAsia="zh-CN"/>
        </w:rPr>
        <w:t>单位</w:t>
      </w:r>
      <w:r>
        <w:rPr>
          <w:rFonts w:hint="eastAsia" w:ascii="仿宋_GB2312" w:hAnsi="宋体"/>
          <w:b w:val="0"/>
          <w:bCs w:val="0"/>
          <w:strike w:val="0"/>
          <w:dstrike w:val="0"/>
          <w:szCs w:val="32"/>
          <w:highlight w:val="none"/>
          <w:u w:val="none"/>
        </w:rPr>
        <w:t>202</w:t>
      </w:r>
      <w:r>
        <w:rPr>
          <w:rFonts w:hint="eastAsia" w:ascii="仿宋_GB2312" w:hAnsi="宋体"/>
          <w:b w:val="0"/>
          <w:bCs w:val="0"/>
          <w:strike w:val="0"/>
          <w:dstrike w:val="0"/>
          <w:szCs w:val="32"/>
          <w:highlight w:val="none"/>
          <w:u w:val="none"/>
          <w:lang w:val="en-US" w:eastAsia="zh-CN"/>
        </w:rPr>
        <w:t>5</w:t>
      </w:r>
      <w:r>
        <w:rPr>
          <w:rFonts w:hint="eastAsia" w:ascii="仿宋_GB2312" w:hAnsi="宋体"/>
          <w:b w:val="0"/>
          <w:bCs w:val="0"/>
          <w:strike w:val="0"/>
          <w:dstrike w:val="0"/>
          <w:szCs w:val="32"/>
          <w:highlight w:val="none"/>
          <w:u w:val="none"/>
        </w:rPr>
        <w:t>年无政府性基金预算</w:t>
      </w:r>
      <w:r>
        <w:rPr>
          <w:rFonts w:hint="eastAsia" w:ascii="仿宋_GB2312" w:hAnsi="宋体"/>
          <w:b w:val="0"/>
          <w:bCs w:val="0"/>
          <w:strike w:val="0"/>
          <w:dstrike w:val="0"/>
          <w:szCs w:val="32"/>
          <w:highlight w:val="none"/>
          <w:u w:val="none"/>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40218EB3">
      <w:pPr>
        <w:tabs>
          <w:tab w:val="center" w:pos="4475"/>
        </w:tabs>
        <w:spacing w:line="560" w:lineRule="exact"/>
        <w:ind w:firstLine="645"/>
        <w:rPr>
          <w:rFonts w:hint="eastAsia" w:ascii="仿宋_GB2312" w:eastAsia="仿宋_GB2312"/>
          <w:szCs w:val="32"/>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r>
        <w:rPr>
          <w:rFonts w:hint="eastAsia" w:ascii="仿宋_GB2312" w:hAnsi="宋体"/>
          <w:b w:val="0"/>
          <w:bCs w:val="0"/>
          <w:szCs w:val="32"/>
          <w:highlight w:val="none"/>
          <w:u w:val="none"/>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1.15</w:t>
      </w:r>
      <w:r>
        <w:rPr>
          <w:rFonts w:hint="eastAsia" w:ascii="仿宋_GB2312"/>
          <w:bCs/>
        </w:rPr>
        <w:t>万元，</w:t>
      </w:r>
      <w:r>
        <w:rPr>
          <w:rFonts w:hint="eastAsia" w:ascii="仿宋_GB2312"/>
          <w:sz w:val="32"/>
          <w:szCs w:val="32"/>
          <w:lang w:val="en-US" w:eastAsia="zh-CN"/>
        </w:rPr>
        <w:t>我单位为2025年新增单位，无上年对比数据</w:t>
      </w:r>
      <w:r>
        <w:rPr>
          <w:rFonts w:hint="eastAsia" w:ascii="仿宋_GB2312"/>
          <w:bCs/>
        </w:rPr>
        <w:t>，具体如下：</w:t>
      </w:r>
    </w:p>
    <w:p w14:paraId="3817793E">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sz w:val="32"/>
          <w:szCs w:val="32"/>
          <w:lang w:val="en-US" w:eastAsia="zh-CN"/>
        </w:rPr>
        <w:t>我单位为2025年新增单位，无上年对比数据</w:t>
      </w:r>
      <w:r>
        <w:rPr>
          <w:rFonts w:hint="eastAsia" w:ascii="仿宋_GB2312" w:hAnsi="Arial" w:cs="Arial"/>
          <w:kern w:val="0"/>
        </w:rPr>
        <w:t>。</w:t>
      </w:r>
    </w:p>
    <w:p w14:paraId="24928716">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sz w:val="32"/>
          <w:szCs w:val="32"/>
          <w:lang w:val="en-US" w:eastAsia="zh-CN"/>
        </w:rPr>
        <w:t>我单位为2025年新增单位，无上年对比数据</w:t>
      </w:r>
      <w:r>
        <w:rPr>
          <w:rFonts w:hint="eastAsia" w:ascii="仿宋_GB2312" w:hAnsi="宋体"/>
          <w:szCs w:val="32"/>
          <w:lang w:eastAsia="zh-CN"/>
        </w:rPr>
        <w:t>，</w:t>
      </w:r>
      <w:r>
        <w:rPr>
          <w:rFonts w:hint="eastAsia" w:ascii="仿宋_GB2312" w:hAnsi="宋体"/>
          <w:szCs w:val="32"/>
        </w:rPr>
        <w:t>其中：</w:t>
      </w:r>
    </w:p>
    <w:p w14:paraId="45EA07CD">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sz w:val="32"/>
          <w:szCs w:val="32"/>
          <w:lang w:val="en-US" w:eastAsia="zh-CN"/>
        </w:rPr>
        <w:t>我单位为2025年新增单位，无上年对比数据</w:t>
      </w:r>
      <w:r>
        <w:rPr>
          <w:rFonts w:hint="eastAsia" w:ascii="仿宋_GB2312" w:hAnsi="Arial" w:cs="Arial"/>
          <w:kern w:val="0"/>
        </w:rPr>
        <w:t>；</w:t>
      </w:r>
    </w:p>
    <w:p w14:paraId="49930F1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sz w:val="32"/>
          <w:szCs w:val="32"/>
          <w:lang w:val="en-US" w:eastAsia="zh-CN"/>
        </w:rPr>
        <w:t>我单位为2025年新增单位，无上年对比数据</w:t>
      </w:r>
      <w:r>
        <w:rPr>
          <w:rFonts w:hint="eastAsia" w:ascii="仿宋_GB2312" w:hAnsi="Arial" w:cs="Arial"/>
          <w:kern w:val="0"/>
        </w:rPr>
        <w:t>。</w:t>
      </w:r>
    </w:p>
    <w:p w14:paraId="4772B8B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1.15</w:t>
      </w:r>
      <w:r>
        <w:rPr>
          <w:rFonts w:hint="eastAsia" w:ascii="仿宋_GB2312" w:hAnsi="宋体"/>
          <w:szCs w:val="32"/>
        </w:rPr>
        <w:t>万元，</w:t>
      </w:r>
      <w:r>
        <w:rPr>
          <w:rFonts w:hint="eastAsia" w:ascii="仿宋_GB2312"/>
          <w:sz w:val="32"/>
          <w:szCs w:val="32"/>
          <w:lang w:val="en-US" w:eastAsia="zh-CN"/>
        </w:rPr>
        <w:t>我单位为2025年新增单位，无上年对比数据</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运行经费主要包括办</w:t>
      </w:r>
      <w:r>
        <w:rPr>
          <w:rFonts w:hint="eastAsia" w:ascii="仿宋_GB2312" w:eastAsia="仿宋_GB2312"/>
          <w:sz w:val="32"/>
          <w:szCs w:val="32"/>
          <w:highlight w:val="none"/>
        </w:rPr>
        <w:t>公费、印刷费、水费、电费、邮电费、差旅费、维修（护）费、会议费、培训费、公务接待费、</w:t>
      </w:r>
      <w:r>
        <w:rPr>
          <w:rFonts w:hint="eastAsia" w:ascii="仿宋_GB2312"/>
          <w:sz w:val="32"/>
          <w:szCs w:val="32"/>
          <w:highlight w:val="none"/>
          <w:lang w:eastAsia="zh-CN"/>
        </w:rPr>
        <w:t>福利费、</w:t>
      </w:r>
      <w:r>
        <w:rPr>
          <w:rFonts w:hint="eastAsia" w:ascii="仿宋_GB2312" w:eastAsia="仿宋_GB2312"/>
          <w:sz w:val="32"/>
          <w:szCs w:val="32"/>
          <w:highlight w:val="none"/>
        </w:rPr>
        <w:t>公务用车运行维护费及其他商品和服务支出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2025年机关运行经费预算87.06万元，</w:t>
      </w:r>
      <w:r>
        <w:rPr>
          <w:rFonts w:hint="eastAsia" w:ascii="仿宋_GB2312"/>
          <w:sz w:val="32"/>
          <w:szCs w:val="32"/>
          <w:lang w:val="en-US" w:eastAsia="zh-CN"/>
        </w:rPr>
        <w:t>我单位为2025年新增单位，无上年对比数据。</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11.76</w:t>
      </w:r>
      <w:r>
        <w:rPr>
          <w:rFonts w:hint="eastAsia" w:ascii="仿宋_GB2312" w:hAnsi="宋体"/>
          <w:szCs w:val="32"/>
        </w:rPr>
        <w:t>万元。其中：货物类采购</w:t>
      </w:r>
      <w:r>
        <w:rPr>
          <w:rFonts w:hint="eastAsia" w:ascii="仿宋_GB2312" w:hAnsi="宋体"/>
          <w:szCs w:val="32"/>
          <w:lang w:val="en-US" w:eastAsia="zh-CN"/>
        </w:rPr>
        <w:t>11.76</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3CAAC0B6">
      <w:pPr>
        <w:tabs>
          <w:tab w:val="center" w:pos="4475"/>
        </w:tabs>
        <w:spacing w:line="560" w:lineRule="exact"/>
        <w:ind w:firstLine="645"/>
        <w:rPr>
          <w:rFonts w:hint="eastAsia" w:ascii="仿宋_GB2312" w:hAnsi="宋体" w:eastAsia="仿宋_GB2312"/>
          <w:b w:val="0"/>
          <w:bCs w:val="0"/>
          <w:szCs w:val="32"/>
          <w:highlight w:val="none"/>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年无国有资产占用相关情况</w:t>
      </w:r>
      <w:r>
        <w:rPr>
          <w:rFonts w:hint="eastAsia" w:ascii="仿宋_GB2312" w:hAnsi="宋体"/>
          <w:b w:val="0"/>
          <w:bCs w:val="0"/>
          <w:szCs w:val="32"/>
          <w:highlight w:val="none"/>
          <w:u w:val="none"/>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w:t>
      </w:r>
      <w:r>
        <w:rPr>
          <w:rFonts w:hint="eastAsia" w:ascii="仿宋_GB2312" w:cs="仿宋_GB2312"/>
          <w:b w:val="0"/>
          <w:bCs w:val="0"/>
          <w:caps w:val="0"/>
          <w:color w:val="auto"/>
          <w:kern w:val="2"/>
          <w:sz w:val="32"/>
          <w:szCs w:val="32"/>
          <w:vertAlign w:val="baseline"/>
          <w:lang w:val="en-US" w:eastAsia="zh-CN" w:bidi="ar"/>
        </w:rPr>
        <w:t>无</w:t>
      </w:r>
      <w:r>
        <w:rPr>
          <w:rFonts w:hint="eastAsia" w:ascii="仿宋_GB2312" w:hAnsi="Times New Roman" w:eastAsia="仿宋_GB2312" w:cs="仿宋_GB2312"/>
          <w:b w:val="0"/>
          <w:bCs w:val="0"/>
          <w:caps w:val="0"/>
          <w:color w:val="auto"/>
          <w:kern w:val="2"/>
          <w:sz w:val="32"/>
          <w:szCs w:val="32"/>
          <w:vertAlign w:val="baseline"/>
          <w:lang w:val="en-US" w:eastAsia="zh-CN" w:bidi="ar"/>
        </w:rPr>
        <w:t>项目</w:t>
      </w:r>
      <w:r>
        <w:rPr>
          <w:rFonts w:hint="eastAsia" w:ascii="仿宋_GB2312" w:cs="仿宋_GB2312"/>
          <w:b w:val="0"/>
          <w:bCs w:val="0"/>
          <w:caps w:val="0"/>
          <w:color w:val="auto"/>
          <w:kern w:val="2"/>
          <w:sz w:val="32"/>
          <w:szCs w:val="32"/>
          <w:vertAlign w:val="baseline"/>
          <w:lang w:val="en-US" w:eastAsia="zh-CN" w:bidi="ar"/>
        </w:rPr>
        <w:t>支出预算绩效。</w:t>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1F4C871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7694752">
      <w:pPr>
        <w:spacing w:line="500" w:lineRule="exact"/>
        <w:ind w:firstLine="645"/>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bCs/>
          <w:sz w:val="32"/>
          <w:szCs w:val="32"/>
          <w:highlight w:val="none"/>
          <w:lang w:val="en-US" w:eastAsia="zh-CN"/>
        </w:rPr>
        <w:t>柳州市柳江区市场监管综合行政执法大队</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4844ABF0">
      <w:pPr>
        <w:spacing w:before="312" w:beforeLines="100" w:after="312" w:afterLines="100" w:line="360" w:lineRule="exact"/>
        <w:ind w:firstLine="640" w:firstLineChars="200"/>
        <w:rPr>
          <w:rFonts w:hint="default" w:ascii="仿宋_GB2312" w:hAnsi="宋体" w:eastAsia="仿宋_GB2312"/>
          <w:bCs/>
          <w:sz w:val="44"/>
          <w:szCs w:val="44"/>
          <w:highlight w:val="none"/>
          <w:lang w:val="en-US"/>
        </w:rPr>
      </w:pPr>
      <w:r>
        <w:rPr>
          <w:rFonts w:hint="eastAsia" w:ascii="仿宋_GB2312" w:eastAsia="仿宋_GB2312"/>
          <w:bCs/>
          <w:sz w:val="32"/>
          <w:szCs w:val="32"/>
          <w:highlight w:val="none"/>
          <w:lang w:eastAsia="zh-CN"/>
        </w:rPr>
        <w:t>（详见附表</w:t>
      </w:r>
      <w:r>
        <w:rPr>
          <w:rFonts w:hint="eastAsia" w:ascii="仿宋_GB2312"/>
          <w:bCs/>
          <w:sz w:val="32"/>
          <w:szCs w:val="32"/>
          <w:highlight w:val="non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411F6"/>
    <w:multiLevelType w:val="singleLevel"/>
    <w:tmpl w:val="5F6411F6"/>
    <w:lvl w:ilvl="0" w:tentative="0">
      <w:start w:val="1"/>
      <w:numFmt w:val="chineseCounting"/>
      <w:suff w:val="nothing"/>
      <w:lvlText w:val="（%1）"/>
      <w:lvlJc w:val="left"/>
      <w:pPr>
        <w:ind w:left="-3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83F87"/>
    <w:rsid w:val="03541CED"/>
    <w:rsid w:val="04AA2E15"/>
    <w:rsid w:val="072A65C1"/>
    <w:rsid w:val="07C63517"/>
    <w:rsid w:val="08000298"/>
    <w:rsid w:val="13934A81"/>
    <w:rsid w:val="15DD7808"/>
    <w:rsid w:val="18484AA8"/>
    <w:rsid w:val="1A4E5290"/>
    <w:rsid w:val="206D3C0F"/>
    <w:rsid w:val="21690C6D"/>
    <w:rsid w:val="2231243E"/>
    <w:rsid w:val="24E72071"/>
    <w:rsid w:val="251F14F7"/>
    <w:rsid w:val="25F268FA"/>
    <w:rsid w:val="2CE619C1"/>
    <w:rsid w:val="2DE122F0"/>
    <w:rsid w:val="2F0E7201"/>
    <w:rsid w:val="313847F0"/>
    <w:rsid w:val="36190BE4"/>
    <w:rsid w:val="37CC0950"/>
    <w:rsid w:val="392A132F"/>
    <w:rsid w:val="3A075245"/>
    <w:rsid w:val="405B7873"/>
    <w:rsid w:val="46A42944"/>
    <w:rsid w:val="4A317669"/>
    <w:rsid w:val="4AD55B01"/>
    <w:rsid w:val="4E3B534E"/>
    <w:rsid w:val="4EEF009D"/>
    <w:rsid w:val="4F886774"/>
    <w:rsid w:val="529E1C09"/>
    <w:rsid w:val="556D100F"/>
    <w:rsid w:val="56B85264"/>
    <w:rsid w:val="5B763A26"/>
    <w:rsid w:val="5FB05672"/>
    <w:rsid w:val="5FFD5D7D"/>
    <w:rsid w:val="61790893"/>
    <w:rsid w:val="645307E1"/>
    <w:rsid w:val="6A3E1DEA"/>
    <w:rsid w:val="6DAE2E3A"/>
    <w:rsid w:val="7055614C"/>
    <w:rsid w:val="717B788E"/>
    <w:rsid w:val="755A2BAE"/>
    <w:rsid w:val="779435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2"/>
    <w:next w:val="8"/>
    <w:qFormat/>
    <w:uiPriority w:val="0"/>
    <w:pPr>
      <w:ind w:firstLine="420" w:firstLineChars="100"/>
    </w:pPr>
    <w:rPr>
      <w:rFonts w:ascii="Times New Roman" w:hAnsi="Times New Roman" w:eastAsia="宋体" w:cs="Times New Roman"/>
    </w:rPr>
  </w:style>
  <w:style w:type="paragraph" w:styleId="8">
    <w:name w:val="Body Text First Indent 2"/>
    <w:basedOn w:val="3"/>
    <w:next w:val="7"/>
    <w:qFormat/>
    <w:uiPriority w:val="0"/>
    <w:pPr>
      <w:ind w:firstLine="420" w:firstLineChars="200"/>
    </w:pPr>
    <w:rPr>
      <w:rFonts w:ascii="Calibri" w:hAnsi="Calibri" w:eastAsia="仿宋_GB2312" w:cs="Times New Roman"/>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5231</Words>
  <Characters>5413</Characters>
  <Lines>0</Lines>
  <Paragraphs>0</Paragraphs>
  <TotalTime>6</TotalTime>
  <ScaleCrop>false</ScaleCrop>
  <LinksUpToDate>false</LinksUpToDate>
  <CharactersWithSpaces>5455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2025-02-10T01:51:58Z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eyJoZGlkIjoiOTQ3MGM2ZmQ3MzExYjJmZTNlNjQzNTc2YTUxNzM5MDEifQ==</vt:lpwstr>
  </property>
  <property fmtid="{D5CDD505-2E9C-101B-9397-08002B2CF9AE}" pid="4" name="ICV">
    <vt:lpwstr>E723BE59CE2C4E01A4D68AF4D8692EE9_13</vt:lpwstr>
  </property>
</Properties>
</file>