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rPr>
        <w:t>柳江</w:t>
      </w:r>
      <w:r>
        <w:rPr>
          <w:rFonts w:hint="eastAsia" w:ascii="黑体" w:hAnsi="宋体" w:eastAsia="黑体"/>
          <w:bCs/>
          <w:sz w:val="44"/>
          <w:szCs w:val="44"/>
          <w:highlight w:val="none"/>
          <w:lang w:val="en-US" w:eastAsia="zh-CN"/>
        </w:rPr>
        <w:t>区北弓水库管理所2025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柳江区北弓水库管理所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val="en-US" w:eastAsia="zh-CN"/>
        </w:rPr>
        <w:t>柳江区北弓水库管理所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0550F9B">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w:t>
      </w:r>
      <w:r>
        <w:rPr>
          <w:rFonts w:hint="eastAsia" w:ascii="仿宋_GB2312" w:hAnsi="仿宋_GB2312" w:eastAsia="仿宋_GB2312" w:cs="仿宋_GB2312"/>
          <w:sz w:val="32"/>
          <w:szCs w:val="32"/>
        </w:rPr>
        <w:t>一）负责水库大坝的安全监控与排查、拦截洪水，调洪、水文数据的收集和拍报。</w:t>
      </w:r>
    </w:p>
    <w:p w14:paraId="0D248110">
      <w:pPr>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（二）负责灌区水利工程的维护管理和配水。</w:t>
      </w:r>
    </w:p>
    <w:p w14:paraId="46F12A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（三）组织防汛抗旱的具体实施工作。</w:t>
      </w:r>
    </w:p>
    <w:p w14:paraId="5A701FE2">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黑体" w:eastAsia="仿宋_GB2312"/>
          <w:color w:val="000000"/>
          <w:sz w:val="32"/>
          <w:szCs w:val="32"/>
        </w:rPr>
        <w:t>负责节水科灌技术推广指导工作</w:t>
      </w:r>
      <w:r>
        <w:rPr>
          <w:rFonts w:hint="eastAsia" w:ascii="仿宋_GB2312" w:hAnsi="仿宋_GB2312" w:eastAsia="仿宋_GB2312" w:cs="仿宋_GB2312"/>
          <w:color w:val="000000"/>
          <w:sz w:val="32"/>
          <w:szCs w:val="32"/>
        </w:rPr>
        <w:t>。</w:t>
      </w:r>
    </w:p>
    <w:p w14:paraId="7B4C3977">
      <w:pPr>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（五）</w:t>
      </w:r>
      <w:r>
        <w:rPr>
          <w:rFonts w:hint="eastAsia" w:ascii="仿宋_GB2312" w:hAnsi="仿宋_GB2312" w:eastAsia="仿宋_GB2312" w:cs="仿宋_GB2312"/>
          <w:color w:val="000000"/>
          <w:kern w:val="0"/>
          <w:sz w:val="32"/>
          <w:szCs w:val="32"/>
        </w:rPr>
        <w:t>协调解决农村人畜饮水困难工作。</w:t>
      </w:r>
    </w:p>
    <w:p w14:paraId="412E1780">
      <w:pPr>
        <w:spacing w:line="52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（六）承办上级指派的其他工作任务。</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51FC46F9">
      <w:pPr>
        <w:autoSpaceDE w:val="0"/>
        <w:autoSpaceDN w:val="0"/>
        <w:adjustRightInd w:val="0"/>
        <w:spacing w:line="600" w:lineRule="exact"/>
        <w:ind w:firstLine="640" w:firstLineChars="20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柳州市柳江区</w:t>
      </w:r>
      <w:r>
        <w:rPr>
          <w:rFonts w:hint="eastAsia" w:ascii="仿宋_GB2312" w:hAnsi="仿宋_GB2312" w:eastAsia="仿宋_GB2312" w:cs="仿宋_GB2312"/>
          <w:color w:val="000000"/>
          <w:kern w:val="0"/>
          <w:sz w:val="32"/>
          <w:szCs w:val="32"/>
        </w:rPr>
        <w:t>北弓水库管理所</w:t>
      </w:r>
      <w:r>
        <w:rPr>
          <w:rFonts w:hint="eastAsia" w:ascii="仿宋_GB2312" w:hAnsi="仿宋_GB2312" w:eastAsia="仿宋_GB2312" w:cs="仿宋_GB2312"/>
          <w:color w:val="000000"/>
          <w:kern w:val="0"/>
          <w:sz w:val="32"/>
          <w:szCs w:val="32"/>
          <w:lang w:val="zh-CN"/>
        </w:rPr>
        <w:t>是柳州市柳江区水利局管理的全额拨款事业单位，列入公益一类。</w:t>
      </w:r>
    </w:p>
    <w:p w14:paraId="5E407634">
      <w:pPr>
        <w:spacing w:line="460" w:lineRule="exact"/>
        <w:ind w:firstLine="640" w:firstLineChars="200"/>
        <w:rPr>
          <w:rFonts w:hint="eastAsia" w:ascii="黑体" w:eastAsia="黑体"/>
          <w:sz w:val="32"/>
          <w:szCs w:val="32"/>
        </w:rPr>
      </w:pPr>
      <w:r>
        <w:rPr>
          <w:rFonts w:hint="eastAsia" w:ascii="仿宋_GB2312" w:hAnsi="仿宋_GB2312" w:eastAsia="仿宋_GB2312" w:cs="仿宋_GB2312"/>
          <w:color w:val="000000"/>
          <w:kern w:val="0"/>
          <w:sz w:val="32"/>
          <w:szCs w:val="32"/>
          <w:lang w:val="zh-CN"/>
        </w:rPr>
        <w:t>柳州市柳江区</w:t>
      </w:r>
      <w:r>
        <w:rPr>
          <w:rFonts w:hint="eastAsia" w:ascii="仿宋_GB2312" w:hAnsi="仿宋_GB2312" w:eastAsia="仿宋_GB2312" w:cs="仿宋_GB2312"/>
          <w:color w:val="000000"/>
          <w:kern w:val="0"/>
          <w:sz w:val="32"/>
          <w:szCs w:val="32"/>
        </w:rPr>
        <w:t>北弓水库管</w:t>
      </w:r>
      <w:r>
        <w:rPr>
          <w:rFonts w:hint="eastAsia" w:ascii="仿宋_GB2312" w:hAnsi="仿宋_GB2312" w:eastAsia="仿宋_GB2312" w:cs="仿宋_GB2312"/>
          <w:kern w:val="0"/>
          <w:sz w:val="32"/>
          <w:szCs w:val="32"/>
        </w:rPr>
        <w:t>理所为</w:t>
      </w:r>
      <w:r>
        <w:rPr>
          <w:rFonts w:hint="eastAsia" w:ascii="仿宋_GB2312" w:hAnsi="仿宋_GB2312" w:eastAsia="仿宋_GB2312" w:cs="仿宋_GB2312"/>
          <w:kern w:val="0"/>
          <w:sz w:val="32"/>
          <w:szCs w:val="32"/>
          <w:lang w:val="zh-CN"/>
        </w:rPr>
        <w:t>全额拨款事业单位，编制</w:t>
      </w:r>
      <w:r>
        <w:rPr>
          <w:rFonts w:hint="eastAsia" w:ascii="仿宋_GB2312" w:hAnsi="仿宋_GB2312" w:eastAsia="仿宋_GB2312" w:cs="仿宋_GB2312"/>
          <w:kern w:val="0"/>
          <w:sz w:val="32"/>
          <w:szCs w:val="32"/>
        </w:rPr>
        <w:t>15</w:t>
      </w:r>
      <w:r>
        <w:rPr>
          <w:rFonts w:hint="eastAsia" w:ascii="仿宋_GB2312" w:hAnsi="仿宋_GB2312" w:eastAsia="仿宋_GB2312" w:cs="仿宋_GB2312"/>
          <w:kern w:val="0"/>
          <w:sz w:val="32"/>
          <w:szCs w:val="32"/>
          <w:lang w:val="zh-CN"/>
        </w:rPr>
        <w:t>名，设</w:t>
      </w:r>
      <w:r>
        <w:rPr>
          <w:rFonts w:hint="eastAsia" w:ascii="仿宋_GB2312" w:hAnsi="仿宋_GB2312" w:eastAsia="仿宋_GB2312" w:cs="仿宋_GB2312"/>
          <w:kern w:val="0"/>
          <w:sz w:val="32"/>
          <w:szCs w:val="32"/>
        </w:rPr>
        <w:t>所长</w:t>
      </w:r>
      <w:r>
        <w:rPr>
          <w:rFonts w:hint="eastAsia" w:ascii="仿宋_GB2312" w:hAnsi="仿宋_GB2312" w:eastAsia="仿宋_GB2312" w:cs="仿宋_GB2312"/>
          <w:kern w:val="0"/>
          <w:sz w:val="32"/>
          <w:szCs w:val="32"/>
          <w:lang w:val="zh-CN"/>
        </w:rPr>
        <w:t>1名。</w:t>
      </w:r>
    </w:p>
    <w:p w14:paraId="6731D82F">
      <w:pPr>
        <w:tabs>
          <w:tab w:val="center" w:pos="4475"/>
        </w:tabs>
        <w:spacing w:line="560" w:lineRule="exact"/>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柳江区</w:t>
      </w:r>
      <w:r>
        <w:rPr>
          <w:rFonts w:hint="eastAsia" w:ascii="黑体" w:hAnsi="宋体" w:eastAsia="黑体"/>
          <w:szCs w:val="32"/>
          <w:lang w:val="en-US" w:eastAsia="zh-CN"/>
        </w:rPr>
        <w:t>北弓水库管理所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4D6F6669">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240.84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240.84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11.7</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4.63%，主要原因是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4.63%，主要原因是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default" w:ascii="黑体" w:eastAsia="黑体"/>
          <w:szCs w:val="32"/>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240.84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11.7</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4.63%，主要原因是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。单位收入主要包括：一般公共预算收入240.84万元，占总收入100%。</w:t>
      </w:r>
    </w:p>
    <w:p w14:paraId="6D0350B1">
      <w:pPr>
        <w:tabs>
          <w:tab w:val="center" w:pos="4475"/>
        </w:tabs>
        <w:spacing w:line="560" w:lineRule="exact"/>
        <w:ind w:firstLine="645"/>
        <w:rPr>
          <w:rFonts w:hint="eastAsia" w:ascii="黑体" w:eastAsia="黑体"/>
          <w:szCs w:val="32"/>
        </w:rPr>
      </w:pP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240.84</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240.84</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4.63 %，主要原因是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卫生健康支出、农林水支出、住房保障支出，其中社会保障和就业支出45.11万元、占总支出18.73%，卫生健康支出10.47万元、占总支出4.35%，农林水支出169.32万元、占总支出70.3%，住房保障支出15.94万元、占总支出6.62%</w:t>
      </w:r>
      <w:r>
        <w:rPr>
          <w:rFonts w:hint="eastAsia" w:ascii="仿宋_GB2312" w:hAnsi="宋体"/>
          <w:szCs w:val="32"/>
          <w:highlight w:val="none"/>
          <w:lang w:val="en-US" w:eastAsia="zh-CN"/>
        </w:rPr>
        <w:t>。</w:t>
      </w:r>
    </w:p>
    <w:p w14:paraId="0BEEF37C">
      <w:pPr>
        <w:tabs>
          <w:tab w:val="center" w:pos="4475"/>
        </w:tabs>
        <w:spacing w:line="560" w:lineRule="exact"/>
        <w:ind w:firstLine="645"/>
        <w:rPr>
          <w:rFonts w:hint="eastAsia" w:ascii="仿宋_GB2312" w:hAnsi="宋体"/>
          <w:szCs w:val="32"/>
          <w:highlight w:val="none"/>
          <w:lang w:val="en-US" w:eastAsia="zh-CN"/>
        </w:rPr>
      </w:pP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6C0BEEF1">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2025年无政府性基金预算。</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10A292F3">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69666D78">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1.02</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减少3.26</w:t>
      </w:r>
      <w:r>
        <w:rPr>
          <w:rFonts w:hint="eastAsia" w:ascii="仿宋_GB2312"/>
          <w:bCs/>
        </w:rPr>
        <w:t>万元，</w:t>
      </w:r>
      <w:r>
        <w:rPr>
          <w:rFonts w:hint="eastAsia" w:ascii="仿宋_GB2312"/>
          <w:bCs/>
          <w:lang w:val="en-US" w:eastAsia="zh-CN"/>
        </w:rPr>
        <w:t>减少76.17</w:t>
      </w:r>
      <w:r>
        <w:rPr>
          <w:rFonts w:hint="eastAsia" w:ascii="仿宋_GB2312"/>
          <w:bCs/>
        </w:rPr>
        <w:t>%，具体如下：</w:t>
      </w:r>
    </w:p>
    <w:p w14:paraId="3F101737">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014A2D8D">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万元，比上年减少</w:t>
      </w:r>
      <w:r>
        <w:rPr>
          <w:rFonts w:hint="eastAsia" w:ascii="仿宋_GB2312" w:hAnsi="宋体"/>
          <w:szCs w:val="32"/>
          <w:lang w:val="en-US" w:eastAsia="zh-CN"/>
        </w:rPr>
        <w:t>3</w:t>
      </w:r>
      <w:r>
        <w:rPr>
          <w:rFonts w:hint="eastAsia" w:ascii="仿宋_GB2312" w:hAnsi="宋体"/>
          <w:szCs w:val="32"/>
        </w:rPr>
        <w:t>万元，下降</w:t>
      </w:r>
      <w:r>
        <w:rPr>
          <w:rFonts w:hint="eastAsia" w:ascii="仿宋_GB2312" w:hAnsi="宋体"/>
          <w:szCs w:val="32"/>
          <w:lang w:val="en-US" w:eastAsia="zh-CN"/>
        </w:rPr>
        <w:t>100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16683EC9">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上年持平</w:t>
      </w:r>
      <w:r>
        <w:rPr>
          <w:rFonts w:hint="eastAsia" w:ascii="仿宋_GB2312" w:hAnsi="Arial" w:cs="Arial"/>
          <w:kern w:val="0"/>
        </w:rPr>
        <w:t>；</w:t>
      </w:r>
    </w:p>
    <w:p w14:paraId="784C666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万元，比上年减少</w:t>
      </w:r>
      <w:r>
        <w:rPr>
          <w:rFonts w:hint="eastAsia" w:ascii="仿宋_GB2312" w:hAnsi="宋体"/>
          <w:szCs w:val="32"/>
          <w:lang w:val="en-US" w:eastAsia="zh-CN"/>
        </w:rPr>
        <w:t>3</w:t>
      </w:r>
      <w:r>
        <w:rPr>
          <w:rFonts w:hint="eastAsia" w:ascii="仿宋_GB2312" w:hAnsi="宋体"/>
          <w:szCs w:val="32"/>
        </w:rPr>
        <w:t>万元，下降</w:t>
      </w:r>
      <w:r>
        <w:rPr>
          <w:rFonts w:hint="eastAsia" w:ascii="仿宋_GB2312" w:hAnsi="宋体"/>
          <w:szCs w:val="32"/>
          <w:lang w:val="en-US" w:eastAsia="zh-CN"/>
        </w:rPr>
        <w:t>100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不使用公务车</w:t>
      </w:r>
      <w:r>
        <w:rPr>
          <w:rFonts w:hint="eastAsia" w:ascii="仿宋_GB2312" w:hAnsi="Arial" w:cs="Arial"/>
          <w:kern w:val="0"/>
        </w:rPr>
        <w:t>。</w:t>
      </w:r>
    </w:p>
    <w:p w14:paraId="70B74636">
      <w:pPr>
        <w:tabs>
          <w:tab w:val="center" w:pos="4475"/>
        </w:tabs>
        <w:spacing w:line="560" w:lineRule="exact"/>
        <w:ind w:firstLine="645"/>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0.36</w:t>
      </w:r>
      <w:r>
        <w:rPr>
          <w:rFonts w:hint="eastAsia" w:ascii="仿宋_GB2312" w:hAnsi="宋体"/>
          <w:szCs w:val="32"/>
        </w:rPr>
        <w:t>万元，比上年减少</w:t>
      </w:r>
      <w:r>
        <w:rPr>
          <w:rFonts w:hint="eastAsia" w:ascii="仿宋_GB2312" w:hAnsi="宋体"/>
          <w:szCs w:val="32"/>
          <w:lang w:val="en-US" w:eastAsia="zh-CN"/>
        </w:rPr>
        <w:t>0.09</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规范公务接待标准和范围，减少不必要的接待活动，严格控制接待费用支出</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58F32030">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办公费、印刷费、水电费、</w:t>
      </w:r>
      <w:r>
        <w:rPr>
          <w:rFonts w:hint="eastAsia" w:ascii="仿宋_GB2312"/>
          <w:sz w:val="32"/>
          <w:szCs w:val="32"/>
          <w:highlight w:val="none"/>
          <w:lang w:val="en-US" w:eastAsia="zh-CN"/>
        </w:rPr>
        <w:t>邮电费、</w:t>
      </w:r>
      <w:r>
        <w:rPr>
          <w:rFonts w:hint="eastAsia" w:ascii="仿宋_GB2312" w:eastAsia="仿宋_GB2312"/>
          <w:sz w:val="32"/>
          <w:szCs w:val="32"/>
          <w:highlight w:val="none"/>
        </w:rPr>
        <w:t>差旅费、维修（护）费、会议费、培训费、公务接待费、工会经费</w:t>
      </w:r>
      <w:r>
        <w:rPr>
          <w:rFonts w:hint="eastAsia" w:ascii="仿宋_GB2312"/>
          <w:sz w:val="32"/>
          <w:szCs w:val="32"/>
          <w:highlight w:val="none"/>
          <w:lang w:eastAsia="zh-CN"/>
        </w:rPr>
        <w:t>、</w:t>
      </w:r>
      <w:r>
        <w:rPr>
          <w:rFonts w:hint="eastAsia" w:ascii="仿宋_GB2312"/>
          <w:sz w:val="32"/>
          <w:szCs w:val="32"/>
          <w:highlight w:val="none"/>
          <w:lang w:val="en-US" w:eastAsia="zh-CN"/>
        </w:rPr>
        <w:t>福利费、其他商品和服务支出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运行经费预算24.6万元，较上年减少9.38</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61.63%，减少的主要原因是缩减不必要的支出。</w:t>
      </w:r>
      <w:bookmarkStart w:id="0" w:name="_GoBack"/>
      <w:bookmarkEnd w:id="0"/>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268D291A">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2.93</w:t>
      </w:r>
      <w:r>
        <w:rPr>
          <w:rFonts w:hint="eastAsia" w:ascii="仿宋_GB2312" w:hAnsi="宋体"/>
          <w:szCs w:val="32"/>
        </w:rPr>
        <w:t>万元。其中：货物类采购</w:t>
      </w:r>
      <w:r>
        <w:rPr>
          <w:rFonts w:hint="eastAsia" w:ascii="仿宋_GB2312" w:hAnsi="宋体"/>
          <w:szCs w:val="32"/>
          <w:lang w:val="en-US" w:eastAsia="zh-CN"/>
        </w:rPr>
        <w:t>2.48</w:t>
      </w:r>
      <w:r>
        <w:rPr>
          <w:rFonts w:hint="eastAsia" w:ascii="仿宋_GB2312" w:hAnsi="宋体"/>
          <w:szCs w:val="32"/>
        </w:rPr>
        <w:t>万元、工程类采购万元、服务类采购</w:t>
      </w:r>
      <w:r>
        <w:rPr>
          <w:rFonts w:hint="eastAsia" w:ascii="仿宋_GB2312" w:hAnsi="宋体"/>
          <w:szCs w:val="32"/>
          <w:lang w:val="en-US" w:eastAsia="zh-CN"/>
        </w:rPr>
        <w:t>0.45</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4ECF4CBC">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lang w:val="en-US" w:eastAsia="zh-CN"/>
        </w:rPr>
        <w:t>我单位2025年无国有资产占用情况。</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20BE9D65">
      <w:pPr>
        <w:numPr>
          <w:ilvl w:val="0"/>
          <w:numId w:val="0"/>
        </w:numPr>
        <w:tabs>
          <w:tab w:val="center" w:pos="4475"/>
        </w:tabs>
        <w:spacing w:line="560" w:lineRule="exact"/>
        <w:ind w:firstLine="640" w:firstLineChars="200"/>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柳州市柳江区</w:t>
      </w:r>
      <w:r>
        <w:rPr>
          <w:rFonts w:hint="eastAsia" w:ascii="楷体_GB2312" w:hAnsi="楷体_GB2312" w:eastAsia="楷体_GB2312" w:cs="楷体_GB2312"/>
          <w:szCs w:val="32"/>
          <w:lang w:val="en-US" w:eastAsia="zh-CN"/>
        </w:rPr>
        <w:t>北弓水库管理所</w:t>
      </w:r>
      <w:r>
        <w:rPr>
          <w:rFonts w:hint="eastAsia" w:ascii="楷体_GB2312" w:hAnsi="楷体_GB2312" w:eastAsia="楷体_GB2312" w:cs="楷体_GB2312"/>
          <w:szCs w:val="32"/>
          <w:lang w:eastAsia="zh-CN"/>
        </w:rPr>
        <w:t>为部门整体支出绩效目标。</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柳州市柳江区北弓水库管理所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21690C6D"/>
    <w:rsid w:val="2F0E7201"/>
    <w:rsid w:val="36190BE4"/>
    <w:rsid w:val="392A132F"/>
    <w:rsid w:val="4E3B534E"/>
    <w:rsid w:val="57A23E92"/>
    <w:rsid w:val="5B484B9C"/>
    <w:rsid w:val="5F4252F7"/>
    <w:rsid w:val="61790893"/>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1328</Words>
  <Characters>1481</Characters>
  <Lines>0</Lines>
  <Paragraphs>0</Paragraphs>
  <TotalTime>11</TotalTime>
  <ScaleCrop>false</ScaleCrop>
  <LinksUpToDate>false</LinksUpToDate>
  <CharactersWithSpaces>1482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汤璇妮</cp:lastModifiedBy>
  <dcterms:modified xsi:type="dcterms:W3CDTF">2025-02-10T00:51:45Z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eyJoZGlkIjoiZTdiNWIxZDVkZjgxMDExZTJmMzJjNGJhNmNiNzU3YWIiLCJ1c2VySWQiOiI1ODU0ODYzMjEifQ==</vt:lpwstr>
  </property>
  <property fmtid="{D5CDD505-2E9C-101B-9397-08002B2CF9AE}" pid="4" name="ICV">
    <vt:lpwstr>E723BE59CE2C4E01A4D68AF4D8692EE9_13</vt:lpwstr>
  </property>
</Properties>
</file>