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rPr>
        <w:t>柳江区水利工程运行服务中心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柳江区水利工程运行服务中心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柳江区水利工程运行服务中心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19FF26F2">
      <w:pPr>
        <w:spacing w:line="560" w:lineRule="exact"/>
        <w:ind w:firstLine="640" w:firstLineChars="200"/>
        <w:rPr>
          <w:rFonts w:ascii="仿宋_GB2312" w:hAnsi="黑体" w:eastAsia="仿宋_GB2312"/>
          <w:color w:val="000000"/>
          <w:sz w:val="32"/>
          <w:szCs w:val="32"/>
        </w:rPr>
      </w:pPr>
      <w:r>
        <w:rPr>
          <w:rFonts w:hint="eastAsia" w:ascii="仿宋_GB2312" w:hAnsi="仿宋_GB2312" w:eastAsia="仿宋_GB2312" w:cs="仿宋_GB2312"/>
          <w:sz w:val="32"/>
          <w:szCs w:val="32"/>
        </w:rPr>
        <w:t>（一）</w:t>
      </w:r>
      <w:r>
        <w:rPr>
          <w:rFonts w:hint="eastAsia" w:ascii="仿宋_GB2312" w:hAnsi="黑体" w:eastAsia="仿宋_GB2312"/>
          <w:color w:val="000000"/>
          <w:sz w:val="32"/>
          <w:szCs w:val="32"/>
        </w:rPr>
        <w:t>宣传、贯彻、执行水利工程建设管理、运行管理及河道管理的方针、政策、法规。</w:t>
      </w:r>
    </w:p>
    <w:p w14:paraId="36623891">
      <w:pPr>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color w:val="000000"/>
          <w:sz w:val="32"/>
          <w:szCs w:val="32"/>
        </w:rPr>
        <w:t>（二）</w:t>
      </w:r>
      <w:r>
        <w:rPr>
          <w:rFonts w:hint="eastAsia" w:ascii="仿宋_GB2312" w:hAnsi="黑体" w:eastAsia="仿宋_GB2312"/>
          <w:sz w:val="32"/>
          <w:szCs w:val="32"/>
        </w:rPr>
        <w:t>承担水库大坝安全监测资料整编、大坝安全年度报告编制技术指导，中型水库水文资料整编分析，水库、水闸、堤防、河道基本资料整编等工作。</w:t>
      </w:r>
    </w:p>
    <w:p w14:paraId="765332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（三）协助区水利局开展</w:t>
      </w:r>
      <w:r>
        <w:rPr>
          <w:rFonts w:hint="eastAsia" w:ascii="仿宋_GB2312" w:hAnsi="黑体" w:eastAsia="仿宋_GB2312"/>
          <w:sz w:val="32"/>
          <w:szCs w:val="32"/>
        </w:rPr>
        <w:t>河道行洪安全调查、水域岸线管理保护调查、河道管理范围内建设项目事中事后监督、河道建设规划计划评价和水利风景区相关工作。</w:t>
      </w:r>
    </w:p>
    <w:p w14:paraId="0DB55F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（四）承担全区水库大坝（水闸）注册登记具体工作。</w:t>
      </w:r>
    </w:p>
    <w:p w14:paraId="145F7C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（五）拟定全区农村饮水安全工程总体规划、建设管理、运行管理、编制全区农村供水工程应急预案。</w:t>
      </w:r>
    </w:p>
    <w:p w14:paraId="432939E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（六）负责全区水库大坝及堤防白蚁防治工作。</w:t>
      </w:r>
    </w:p>
    <w:p w14:paraId="717F8EF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黑体" w:eastAsia="仿宋_GB2312"/>
          <w:sz w:val="32"/>
          <w:szCs w:val="32"/>
        </w:rPr>
        <w:t>承担</w:t>
      </w:r>
      <w:r>
        <w:rPr>
          <w:rFonts w:hint="eastAsia" w:ascii="仿宋_GB2312" w:hAnsi="仿宋_GB2312" w:eastAsia="仿宋_GB2312" w:cs="仿宋_GB2312"/>
          <w:sz w:val="32"/>
          <w:szCs w:val="32"/>
        </w:rPr>
        <w:t>水库降等报废和功能改变论证、新建水库防洪影响评价等技术指导工作。</w:t>
      </w:r>
    </w:p>
    <w:p w14:paraId="5AC4D5C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（八）</w:t>
      </w:r>
      <w:r>
        <w:rPr>
          <w:rFonts w:hint="eastAsia" w:ascii="仿宋_GB2312" w:hAnsi="仿宋_GB2312" w:eastAsia="仿宋_GB2312" w:cs="仿宋_GB2312"/>
          <w:sz w:val="32"/>
          <w:szCs w:val="32"/>
        </w:rPr>
        <w:t>协助区水利局</w:t>
      </w:r>
      <w:r>
        <w:rPr>
          <w:rFonts w:hint="eastAsia" w:ascii="仿宋_GB2312" w:hAnsi="黑体" w:eastAsia="仿宋_GB2312"/>
          <w:sz w:val="32"/>
          <w:szCs w:val="32"/>
        </w:rPr>
        <w:t>开展</w:t>
      </w:r>
      <w:r>
        <w:rPr>
          <w:rFonts w:hint="eastAsia" w:ascii="仿宋_GB2312" w:hAnsi="仿宋_GB2312" w:eastAsia="仿宋_GB2312" w:cs="仿宋_GB2312"/>
          <w:sz w:val="32"/>
          <w:szCs w:val="32"/>
        </w:rPr>
        <w:t>全区水利工程安全运行管理工作，</w:t>
      </w:r>
      <w:r>
        <w:rPr>
          <w:rFonts w:hint="eastAsia" w:ascii="仿宋_GB2312" w:hAnsi="黑体" w:eastAsia="仿宋_GB2312"/>
          <w:sz w:val="32"/>
          <w:szCs w:val="32"/>
        </w:rPr>
        <w:t>参与</w:t>
      </w:r>
      <w:r>
        <w:rPr>
          <w:rFonts w:hint="eastAsia" w:ascii="仿宋_GB2312" w:hAnsi="仿宋_GB2312" w:eastAsia="仿宋_GB2312" w:cs="仿宋_GB2312"/>
          <w:sz w:val="32"/>
          <w:szCs w:val="32"/>
        </w:rPr>
        <w:t>水库、堤防汛前、汛中、汛末安全检查和水库防汛值班工作。</w:t>
      </w:r>
    </w:p>
    <w:p w14:paraId="3A9EBB4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黑体" w:eastAsia="仿宋_GB2312"/>
          <w:sz w:val="32"/>
          <w:szCs w:val="32"/>
        </w:rPr>
        <w:t>承担公益性水利工程管理单位安全生产标准化和能力建设、运行管理、标准化管理、工程划界、安全监测、应急抢险等技术指导工作，参与水库大坝安全突发事件应急排查处置、事故调查以及相关重大专题调研工作。</w:t>
      </w:r>
    </w:p>
    <w:p w14:paraId="7465BE69">
      <w:pPr>
        <w:spacing w:line="520" w:lineRule="exact"/>
        <w:ind w:firstLine="640" w:firstLineChars="200"/>
        <w:rPr>
          <w:rFonts w:ascii="仿宋_GB2312" w:hAnsi="黑体" w:eastAsia="仿宋_GB2312"/>
          <w:sz w:val="32"/>
          <w:szCs w:val="32"/>
        </w:rPr>
      </w:pPr>
      <w:r>
        <w:rPr>
          <w:rFonts w:hint="eastAsia" w:ascii="仿宋_GB2312" w:hAnsi="仿宋_GB2312" w:eastAsia="仿宋_GB2312" w:cs="仿宋_GB2312"/>
          <w:sz w:val="32"/>
          <w:szCs w:val="32"/>
        </w:rPr>
        <w:t>（十）</w:t>
      </w:r>
      <w:r>
        <w:rPr>
          <w:rFonts w:hint="eastAsia" w:ascii="仿宋_GB2312" w:hAnsi="黑体" w:eastAsia="仿宋_GB2312"/>
          <w:sz w:val="32"/>
          <w:szCs w:val="32"/>
        </w:rPr>
        <w:t>协助开展国营水管单位改革、深化小型水利工程管理体制改革有关工作。</w:t>
      </w:r>
    </w:p>
    <w:p w14:paraId="7EA37A7C">
      <w:pPr>
        <w:spacing w:line="52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（十一）协助开展水利工程和河道管理信息化工作。</w:t>
      </w:r>
    </w:p>
    <w:p w14:paraId="367C60A3">
      <w:pPr>
        <w:spacing w:line="560" w:lineRule="exact"/>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（十二）</w:t>
      </w:r>
      <w:r>
        <w:rPr>
          <w:rFonts w:hint="eastAsia" w:ascii="仿宋_GB2312" w:hAnsi="仿宋_GB2312" w:eastAsia="仿宋_GB2312" w:cs="仿宋_GB2312"/>
          <w:sz w:val="32"/>
          <w:szCs w:val="32"/>
        </w:rPr>
        <w:t>完成</w:t>
      </w:r>
      <w:r>
        <w:rPr>
          <w:rFonts w:hint="eastAsia" w:ascii="仿宋_GB2312" w:hAnsi="仿宋_GB2312" w:eastAsia="仿宋_GB2312" w:cs="仿宋_GB2312"/>
          <w:kern w:val="0"/>
          <w:sz w:val="32"/>
          <w:szCs w:val="32"/>
          <w:lang w:val="zh-CN"/>
        </w:rPr>
        <w:t>完成区委、区人民政府、</w:t>
      </w:r>
      <w:r>
        <w:rPr>
          <w:rFonts w:hint="eastAsia" w:ascii="仿宋_GB2312" w:hAnsi="仿宋_GB2312" w:eastAsia="仿宋_GB2312" w:cs="仿宋_GB2312"/>
          <w:sz w:val="32"/>
          <w:szCs w:val="32"/>
        </w:rPr>
        <w:t>区水利局交办的其他工作。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04F68268">
      <w:pPr>
        <w:spacing w:line="560" w:lineRule="exact"/>
        <w:ind w:firstLine="640" w:firstLineChars="200"/>
        <w:rPr>
          <w:rFonts w:hint="eastAsia" w:ascii="仿宋_GB2312" w:hAnsi="宋体"/>
          <w:szCs w:val="32"/>
        </w:rPr>
      </w:pPr>
      <w:r>
        <w:rPr>
          <w:rFonts w:hint="eastAsia" w:ascii="仿宋_GB2312" w:hAnsi="宋体"/>
          <w:szCs w:val="32"/>
        </w:rPr>
        <w:t>区水利工程运行服务中心系全额拨款事业编制2</w:t>
      </w:r>
      <w:r>
        <w:rPr>
          <w:rFonts w:hint="eastAsia" w:ascii="仿宋_GB2312" w:hAnsi="宋体"/>
          <w:szCs w:val="32"/>
          <w:lang w:val="en-US" w:eastAsia="zh-CN"/>
        </w:rPr>
        <w:t>5</w:t>
      </w:r>
      <w:r>
        <w:rPr>
          <w:rFonts w:hint="eastAsia" w:ascii="仿宋_GB2312" w:hAnsi="宋体"/>
          <w:szCs w:val="32"/>
        </w:rPr>
        <w:t>名。设主任1名，党支部书记1名，副主任1名。</w:t>
      </w:r>
    </w:p>
    <w:p w14:paraId="4B726552">
      <w:pPr>
        <w:tabs>
          <w:tab w:val="center" w:pos="4475"/>
        </w:tabs>
        <w:spacing w:line="560" w:lineRule="exact"/>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柳江区水利工程运行服务中心202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438.79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438.79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55.4 </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11.21%，主要原因是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11.21 %，主要原因是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default" w:ascii="黑体" w:eastAsia="黑体"/>
          <w:szCs w:val="32"/>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438.79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55.4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11.21%，主要原因是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。单位收入主要包括：一般公共预算收入438.79万元，占总收入100%。</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438.79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55.4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55.4%，主要原因是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卫生健康支出、农林水支出、住房保障支出，其中社会保障和就业支出66.25万元、占总支出15.1%，卫生健康支出19.04万元、占总支出4.34%，农林水支出320.3万元、占总支出73%，住房保障支出33.21万元、占总支出7.57%</w:t>
      </w: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6C0BEEF1">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2025年无政府性基金预算</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DB35B05">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1.63</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减少0.58</w:t>
      </w:r>
      <w:r>
        <w:rPr>
          <w:rFonts w:hint="eastAsia" w:ascii="仿宋_GB2312"/>
          <w:bCs/>
        </w:rPr>
        <w:t>万元，</w:t>
      </w:r>
      <w:r>
        <w:rPr>
          <w:rFonts w:hint="eastAsia" w:ascii="仿宋_GB2312"/>
          <w:bCs/>
          <w:lang w:val="en-US" w:eastAsia="zh-CN"/>
        </w:rPr>
        <w:t>减少26.24</w:t>
      </w:r>
      <w:r>
        <w:rPr>
          <w:rFonts w:hint="eastAsia" w:ascii="仿宋_GB2312"/>
          <w:bCs/>
        </w:rPr>
        <w:t>%，具体如下：</w:t>
      </w:r>
    </w:p>
    <w:p w14:paraId="3F101737">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496FCF34">
      <w:pPr>
        <w:tabs>
          <w:tab w:val="center" w:pos="4475"/>
        </w:tabs>
        <w:spacing w:line="560" w:lineRule="exact"/>
        <w:ind w:firstLine="645"/>
        <w:rPr>
          <w:rFonts w:hint="eastAsia" w:ascii="仿宋_GB2312"/>
          <w:bCs/>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70B74636">
      <w:pPr>
        <w:tabs>
          <w:tab w:val="center" w:pos="4475"/>
        </w:tabs>
        <w:spacing w:line="560" w:lineRule="exact"/>
        <w:ind w:firstLine="645"/>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0.58</w:t>
      </w:r>
      <w:r>
        <w:rPr>
          <w:rFonts w:hint="eastAsia" w:ascii="仿宋_GB2312" w:hAnsi="宋体"/>
          <w:szCs w:val="32"/>
        </w:rPr>
        <w:t>万元，比上年减少</w:t>
      </w:r>
      <w:r>
        <w:rPr>
          <w:rFonts w:hint="eastAsia" w:ascii="仿宋_GB2312" w:hAnsi="宋体"/>
          <w:szCs w:val="32"/>
          <w:lang w:val="en-US" w:eastAsia="zh-CN"/>
        </w:rPr>
        <w:t>0.2</w:t>
      </w:r>
      <w:r>
        <w:rPr>
          <w:rFonts w:hint="eastAsia" w:ascii="仿宋_GB2312" w:hAnsi="宋体"/>
          <w:szCs w:val="32"/>
        </w:rPr>
        <w:t>万元，下降</w:t>
      </w:r>
      <w:r>
        <w:rPr>
          <w:rFonts w:hint="eastAsia" w:ascii="仿宋_GB2312" w:hAnsi="宋体"/>
          <w:szCs w:val="32"/>
          <w:lang w:val="en-US" w:eastAsia="zh-CN"/>
        </w:rPr>
        <w:t>2.56</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规范公务接待标准和范围，减少不必要的接待活动，严格控制接待费用支出</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办公费、印刷费、水电费、</w:t>
      </w:r>
      <w:r>
        <w:rPr>
          <w:rFonts w:hint="eastAsia" w:ascii="仿宋_GB2312"/>
          <w:sz w:val="32"/>
          <w:szCs w:val="32"/>
          <w:highlight w:val="none"/>
          <w:lang w:val="en-US" w:eastAsia="zh-CN"/>
        </w:rPr>
        <w:t>邮电费、</w:t>
      </w:r>
      <w:r>
        <w:rPr>
          <w:rFonts w:hint="eastAsia" w:ascii="仿宋_GB2312" w:eastAsia="仿宋_GB2312"/>
          <w:sz w:val="32"/>
          <w:szCs w:val="32"/>
          <w:highlight w:val="none"/>
        </w:rPr>
        <w:t>差旅费、维修（护）费、会议费、培训费、公务接待费、工会经费</w:t>
      </w:r>
      <w:r>
        <w:rPr>
          <w:rFonts w:hint="eastAsia" w:ascii="仿宋_GB2312"/>
          <w:sz w:val="32"/>
          <w:szCs w:val="32"/>
          <w:highlight w:val="none"/>
          <w:lang w:eastAsia="zh-CN"/>
        </w:rPr>
        <w:t>、</w:t>
      </w:r>
      <w:r>
        <w:rPr>
          <w:rFonts w:hint="eastAsia" w:ascii="仿宋_GB2312"/>
          <w:sz w:val="32"/>
          <w:szCs w:val="32"/>
          <w:highlight w:val="none"/>
          <w:lang w:val="en-US" w:eastAsia="zh-CN"/>
        </w:rPr>
        <w:t>福利费、其他交通费用、其他商品和服务支出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运行经费预算70.15万元，较上年减少19.73</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39.13</w:t>
      </w:r>
      <w:bookmarkStart w:id="0" w:name="_GoBack"/>
      <w:bookmarkEnd w:id="0"/>
      <w:r>
        <w:rPr>
          <w:rFonts w:hint="eastAsia" w:ascii="仿宋_GB2312"/>
          <w:sz w:val="32"/>
          <w:szCs w:val="32"/>
          <w:lang w:val="en-US" w:eastAsia="zh-CN"/>
        </w:rPr>
        <w:t>%，减少的主要原因是缩减不必要的支出。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3.96</w:t>
      </w:r>
      <w:r>
        <w:rPr>
          <w:rFonts w:hint="eastAsia" w:ascii="仿宋_GB2312" w:hAnsi="宋体"/>
          <w:szCs w:val="32"/>
        </w:rPr>
        <w:t>万元。其中：货物类采购</w:t>
      </w:r>
      <w:r>
        <w:rPr>
          <w:rFonts w:hint="eastAsia" w:ascii="仿宋_GB2312" w:hAnsi="宋体"/>
          <w:szCs w:val="32"/>
          <w:lang w:val="en-US" w:eastAsia="zh-CN"/>
        </w:rPr>
        <w:t>3.24</w:t>
      </w:r>
      <w:r>
        <w:rPr>
          <w:rFonts w:hint="eastAsia" w:ascii="仿宋_GB2312" w:hAnsi="宋体"/>
          <w:szCs w:val="32"/>
        </w:rPr>
        <w:t>万元、工程类采购</w:t>
      </w:r>
      <w:r>
        <w:rPr>
          <w:rFonts w:hint="eastAsia" w:ascii="仿宋_GB2312" w:hAnsi="宋体"/>
          <w:szCs w:val="32"/>
          <w:lang w:val="en-US" w:eastAsia="zh-CN"/>
        </w:rPr>
        <w:t>0.72</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1B7CB1CD">
      <w:pPr>
        <w:numPr>
          <w:ilvl w:val="0"/>
          <w:numId w:val="0"/>
        </w:numPr>
        <w:tabs>
          <w:tab w:val="center" w:pos="4475"/>
        </w:tabs>
        <w:spacing w:line="560" w:lineRule="exact"/>
        <w:ind w:firstLine="640" w:firstLineChars="200"/>
        <w:rPr>
          <w:rFonts w:hint="default" w:ascii="黑体" w:hAnsi="黑体" w:eastAsia="仿宋_GB2312" w:cs="黑体"/>
          <w:kern w:val="0"/>
          <w:lang w:val="en-US" w:eastAsia="zh-CN"/>
        </w:rPr>
      </w:pPr>
      <w:r>
        <w:rPr>
          <w:rFonts w:hint="eastAsia" w:ascii="仿宋_GB2312" w:hAnsi="宋体"/>
          <w:szCs w:val="32"/>
          <w:lang w:val="en-US" w:eastAsia="zh-CN"/>
        </w:rPr>
        <w:t>我单位2025年无国有资产占用情况。</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20BE9D65">
      <w:pPr>
        <w:numPr>
          <w:ilvl w:val="0"/>
          <w:numId w:val="0"/>
        </w:numPr>
        <w:tabs>
          <w:tab w:val="center" w:pos="4475"/>
        </w:tabs>
        <w:spacing w:line="560" w:lineRule="exact"/>
        <w:ind w:firstLine="640" w:firstLineChars="200"/>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柳州市柳江区水利工程运行服务中心为部门整体支出绩效目标。</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361418C3">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柳江区水利工程运行服务中心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1DA1"/>
    <w:rsid w:val="15DD7808"/>
    <w:rsid w:val="1FE228A4"/>
    <w:rsid w:val="21690C6D"/>
    <w:rsid w:val="22986EF6"/>
    <w:rsid w:val="2A7F207E"/>
    <w:rsid w:val="2F0E7201"/>
    <w:rsid w:val="323963CE"/>
    <w:rsid w:val="36190BE4"/>
    <w:rsid w:val="38F66DC7"/>
    <w:rsid w:val="392A132F"/>
    <w:rsid w:val="3C3C45FB"/>
    <w:rsid w:val="4DF424C0"/>
    <w:rsid w:val="4E3B534E"/>
    <w:rsid w:val="58202A14"/>
    <w:rsid w:val="61790893"/>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4522</Words>
  <Characters>4715</Characters>
  <Lines>0</Lines>
  <Paragraphs>0</Paragraphs>
  <TotalTime>0</TotalTime>
  <ScaleCrop>false</ScaleCrop>
  <LinksUpToDate>false</LinksUpToDate>
  <CharactersWithSpaces>4758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汤璇妮</cp:lastModifiedBy>
  <dcterms:modified xsi:type="dcterms:W3CDTF">2025-02-10T01:06:31Z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eyJoZGlkIjoiZTdiNWIxZDVkZjgxMDExZTJmMzJjNGJhNmNiNzU3YWIiLCJ1c2VySWQiOiI1ODU0ODYzMjEifQ==</vt:lpwstr>
  </property>
  <property fmtid="{D5CDD505-2E9C-101B-9397-08002B2CF9AE}" pid="4" name="ICV">
    <vt:lpwstr>E723BE59CE2C4E01A4D68AF4D8692EE9_13</vt:lpwstr>
  </property>
</Properties>
</file>