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rPr>
        <w:t>柳江区水土保持工作站</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柳江区水土保持工作站</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柳江区水土保持工作站</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1A45D09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（一）拟订全区水土保持规划并组织实施。</w:t>
      </w:r>
    </w:p>
    <w:p w14:paraId="42EDB61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全区水土流失的综合防治</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，指导有关水土保持建设项目的实施。</w:t>
      </w:r>
    </w:p>
    <w:p w14:paraId="274B399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做好全区水土流失的监测工作。</w:t>
      </w:r>
    </w:p>
    <w:p w14:paraId="68B93C2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管理和指导“荒山、荒丘、荒沟、荒滩”的水土流失治理工作。</w:t>
      </w:r>
    </w:p>
    <w:p w14:paraId="06E0FD3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（五）负责组织全区开发建设项目的水土保持方案技术审查。</w:t>
      </w:r>
    </w:p>
    <w:p w14:paraId="5F7B503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）协助区水利局做好全区开发生产建设项目水土保持监督管理工作。</w:t>
      </w:r>
    </w:p>
    <w:p w14:paraId="4E53101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）协助区</w:t>
      </w:r>
      <w:r>
        <w:rPr>
          <w:rFonts w:hint="eastAsia" w:ascii="仿宋_GB2312" w:hAnsi="仿宋_GB2312" w:eastAsia="仿宋_GB2312" w:cs="仿宋_GB2312"/>
          <w:sz w:val="32"/>
          <w:szCs w:val="32"/>
          <w:lang w:eastAsia="zh-CN"/>
        </w:rPr>
        <w:t>税务局</w:t>
      </w:r>
      <w:r>
        <w:rPr>
          <w:rFonts w:hint="eastAsia" w:ascii="仿宋_GB2312" w:hAnsi="仿宋_GB2312" w:eastAsia="仿宋_GB2312" w:cs="仿宋_GB2312"/>
          <w:sz w:val="32"/>
          <w:szCs w:val="32"/>
        </w:rPr>
        <w:t>做好全区水土保持补偿费的征收工作。</w:t>
      </w:r>
    </w:p>
    <w:p w14:paraId="7749FA7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kern w:val="0"/>
          <w:sz w:val="32"/>
          <w:szCs w:val="32"/>
          <w:lang w:val="zh-CN"/>
        </w:rPr>
        <w:t>完成完成区委、区人民政府、区水利局交办的其他工作。</w:t>
      </w:r>
    </w:p>
    <w:p w14:paraId="0D8B7665">
      <w:pPr>
        <w:spacing w:line="560" w:lineRule="exact"/>
        <w:ind w:firstLine="640" w:firstLineChars="200"/>
        <w:rPr>
          <w:rFonts w:hint="eastAsia" w:ascii="黑体" w:hAnsi="宋体" w:eastAsia="黑体"/>
          <w:szCs w:val="32"/>
        </w:rPr>
      </w:pP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FC63854">
      <w:pPr>
        <w:autoSpaceDE w:val="0"/>
        <w:autoSpaceDN w:val="0"/>
        <w:adjustRightInd w:val="0"/>
        <w:spacing w:line="600" w:lineRule="exact"/>
        <w:ind w:firstLine="640" w:firstLineChars="200"/>
        <w:rPr>
          <w:rFonts w:hint="eastAsia" w:ascii="仿宋_GB2312" w:hAnsi="仿宋_GB2312" w:eastAsia="仿宋_GB2312" w:cs="仿宋_GB2312"/>
          <w:color w:val="FF0000"/>
          <w:kern w:val="0"/>
          <w:sz w:val="32"/>
          <w:szCs w:val="32"/>
          <w:lang w:val="zh-CN"/>
        </w:rPr>
      </w:pPr>
      <w:r>
        <w:rPr>
          <w:rFonts w:hint="eastAsia" w:ascii="仿宋_GB2312" w:hAnsi="仿宋_GB2312" w:eastAsia="仿宋_GB2312" w:cs="仿宋_GB2312"/>
          <w:kern w:val="0"/>
          <w:sz w:val="32"/>
          <w:szCs w:val="32"/>
          <w:lang w:val="zh-CN"/>
        </w:rPr>
        <w:t>柳州市柳江区</w:t>
      </w:r>
      <w:r>
        <w:rPr>
          <w:rFonts w:hint="eastAsia" w:ascii="仿宋_GB2312" w:hAnsi="仿宋_GB2312" w:eastAsia="仿宋_GB2312" w:cs="仿宋_GB2312"/>
          <w:kern w:val="0"/>
          <w:sz w:val="32"/>
          <w:szCs w:val="32"/>
        </w:rPr>
        <w:t>水土保持</w:t>
      </w:r>
      <w:r>
        <w:rPr>
          <w:rFonts w:hint="eastAsia" w:ascii="仿宋_GB2312" w:hAnsi="仿宋_GB2312" w:eastAsia="仿宋_GB2312" w:cs="仿宋_GB2312"/>
          <w:kern w:val="0"/>
          <w:sz w:val="32"/>
          <w:szCs w:val="32"/>
          <w:lang w:val="zh-CN"/>
        </w:rPr>
        <w:t>工作站（以下简称区</w:t>
      </w:r>
      <w:r>
        <w:rPr>
          <w:rFonts w:hint="eastAsia" w:ascii="仿宋_GB2312" w:hAnsi="仿宋_GB2312" w:eastAsia="仿宋_GB2312" w:cs="仿宋_GB2312"/>
          <w:kern w:val="0"/>
          <w:sz w:val="32"/>
          <w:szCs w:val="32"/>
        </w:rPr>
        <w:t>水土保持</w:t>
      </w:r>
      <w:r>
        <w:rPr>
          <w:rFonts w:hint="eastAsia" w:ascii="仿宋_GB2312" w:hAnsi="仿宋_GB2312" w:eastAsia="仿宋_GB2312" w:cs="仿宋_GB2312"/>
          <w:kern w:val="0"/>
          <w:sz w:val="32"/>
          <w:szCs w:val="32"/>
          <w:lang w:val="zh-CN"/>
        </w:rPr>
        <w:t>工作站）是柳州市柳江区水利局管理的全额拨款事业单位，列入公益一类。</w:t>
      </w:r>
    </w:p>
    <w:p w14:paraId="45A6B443">
      <w:pPr>
        <w:numPr>
          <w:ilvl w:val="0"/>
          <w:numId w:val="0"/>
        </w:numPr>
        <w:spacing w:line="460" w:lineRule="exact"/>
        <w:ind w:firstLine="640" w:firstLineChars="200"/>
        <w:rPr>
          <w:rFonts w:hint="eastAsia" w:ascii="黑体" w:eastAsia="黑体"/>
          <w:sz w:val="32"/>
          <w:szCs w:val="32"/>
          <w:highlight w:val="none"/>
        </w:rPr>
      </w:pPr>
      <w:r>
        <w:rPr>
          <w:rFonts w:hint="eastAsia" w:ascii="仿宋_GB2312" w:hAnsi="仿宋_GB2312" w:eastAsia="仿宋_GB2312" w:cs="仿宋_GB2312"/>
          <w:kern w:val="0"/>
          <w:sz w:val="32"/>
          <w:szCs w:val="32"/>
          <w:lang w:val="zh-CN"/>
        </w:rPr>
        <w:t>区</w:t>
      </w:r>
      <w:r>
        <w:rPr>
          <w:rFonts w:hint="eastAsia" w:ascii="仿宋_GB2312" w:hAnsi="仿宋_GB2312" w:eastAsia="仿宋_GB2312" w:cs="仿宋_GB2312"/>
          <w:kern w:val="0"/>
          <w:sz w:val="32"/>
          <w:szCs w:val="32"/>
        </w:rPr>
        <w:t>水土保持</w:t>
      </w:r>
      <w:r>
        <w:rPr>
          <w:rFonts w:hint="eastAsia" w:ascii="仿宋_GB2312" w:hAnsi="仿宋_GB2312" w:eastAsia="仿宋_GB2312" w:cs="仿宋_GB2312"/>
          <w:kern w:val="0"/>
          <w:sz w:val="32"/>
          <w:szCs w:val="32"/>
          <w:lang w:val="zh-CN"/>
        </w:rPr>
        <w:t>办公室</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val="zh-CN"/>
        </w:rPr>
        <w:t>全额拨款事业单位，编制</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kern w:val="0"/>
          <w:sz w:val="32"/>
          <w:szCs w:val="32"/>
          <w:lang w:val="zh-CN"/>
        </w:rPr>
        <w:t>名，设</w:t>
      </w:r>
      <w:r>
        <w:rPr>
          <w:rFonts w:hint="eastAsia" w:ascii="仿宋_GB2312" w:hAnsi="仿宋_GB2312" w:eastAsia="仿宋_GB2312" w:cs="仿宋_GB2312"/>
          <w:kern w:val="0"/>
          <w:sz w:val="32"/>
          <w:szCs w:val="32"/>
          <w:lang w:val="zh-CN" w:eastAsia="zh-CN"/>
        </w:rPr>
        <w:t>站长</w:t>
      </w:r>
      <w:r>
        <w:rPr>
          <w:rFonts w:hint="eastAsia" w:ascii="仿宋_GB2312" w:hAnsi="仿宋_GB2312" w:eastAsia="仿宋_GB2312" w:cs="仿宋_GB2312"/>
          <w:kern w:val="0"/>
          <w:sz w:val="32"/>
          <w:szCs w:val="32"/>
          <w:lang w:val="zh-CN"/>
        </w:rPr>
        <w:t>1名，副站长</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名。</w:t>
      </w:r>
    </w:p>
    <w:p w14:paraId="40133D99">
      <w:pPr>
        <w:tabs>
          <w:tab w:val="center" w:pos="4475"/>
        </w:tabs>
        <w:spacing w:line="560" w:lineRule="exact"/>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柳江区</w:t>
      </w:r>
      <w:r>
        <w:rPr>
          <w:rFonts w:hint="eastAsia" w:ascii="黑体" w:hAnsi="宋体" w:eastAsia="黑体"/>
          <w:szCs w:val="32"/>
          <w:lang w:eastAsia="zh-CN"/>
        </w:rPr>
        <w:t>水土保持工作站</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117.35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117.35</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4.48 </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3.68 %，主要原因是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3.68%，主要原因是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2F94F0DC">
      <w:pPr>
        <w:tabs>
          <w:tab w:val="center" w:pos="4475"/>
        </w:tabs>
        <w:spacing w:line="560" w:lineRule="exact"/>
        <w:ind w:firstLine="645"/>
        <w:rPr>
          <w:rFonts w:hint="default" w:ascii="黑体" w:eastAsia="黑体"/>
          <w:szCs w:val="32"/>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117.35</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4.48</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3.68%，主要原因是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。单位收入主要包括：一般公共预算收入117.35万元，占总收入100%。</w:t>
      </w:r>
    </w:p>
    <w:p w14:paraId="08A0F076">
      <w:pPr>
        <w:tabs>
          <w:tab w:val="center" w:pos="4475"/>
        </w:tabs>
        <w:spacing w:line="560" w:lineRule="exact"/>
        <w:ind w:firstLine="645"/>
        <w:rPr>
          <w:rFonts w:hint="eastAsia" w:ascii="黑体" w:eastAsia="黑体"/>
          <w:szCs w:val="32"/>
        </w:rPr>
      </w:pP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28B5A283">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117.35</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4.48</w:t>
      </w:r>
      <w:r>
        <w:rPr>
          <w:rFonts w:hint="eastAsia" w:ascii="仿宋_GB2312"/>
          <w:sz w:val="32"/>
          <w:szCs w:val="32"/>
          <w:lang w:val="en" w:eastAsia="zh-CN"/>
        </w:rPr>
        <w:t>万元，</w:t>
      </w:r>
      <w:r>
        <w:rPr>
          <w:rFonts w:hint="eastAsia" w:ascii="仿宋_GB2312"/>
          <w:sz w:val="32"/>
          <w:szCs w:val="32"/>
          <w:lang w:eastAsia="zh-CN"/>
        </w:rPr>
        <w:t>增减少</w:t>
      </w:r>
      <w:r>
        <w:rPr>
          <w:rFonts w:hint="eastAsia" w:ascii="仿宋_GB2312"/>
          <w:sz w:val="32"/>
          <w:szCs w:val="32"/>
          <w:lang w:val="en-US" w:eastAsia="zh-CN"/>
        </w:rPr>
        <w:t>3.68%，主要原因是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卫生健康支出、农林水支出、住房保障支出，其中社会保障和就业支出19.79万元、占总支出16.86%，卫生健康支出5.03万元、占总支出4.29%，农林水支出83.84万元、占总支出71.44%，住房保障支出8.69万元、占总支出7.41%</w:t>
      </w:r>
      <w:r>
        <w:rPr>
          <w:rFonts w:hint="eastAsia" w:ascii="仿宋_GB2312" w:hAnsi="宋体"/>
          <w:szCs w:val="32"/>
          <w:highlight w:val="none"/>
          <w:lang w:val="en-US" w:eastAsia="zh-CN"/>
        </w:rPr>
        <w:t>。</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2025年无政府性基金预算</w:t>
      </w:r>
      <w:r>
        <w:rPr>
          <w:rFonts w:hint="eastAsia" w:ascii="仿宋_GB2312"/>
          <w:szCs w:val="32"/>
          <w:lang w:eastAsia="zh-CN"/>
        </w:rPr>
        <w:t>。</w:t>
      </w:r>
    </w:p>
    <w:p w14:paraId="2E3E6098">
      <w:pPr>
        <w:numPr>
          <w:ilvl w:val="0"/>
          <w:numId w:val="1"/>
        </w:num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DB35B05">
      <w:pPr>
        <w:numPr>
          <w:ilvl w:val="0"/>
          <w:numId w:val="0"/>
        </w:numPr>
        <w:tabs>
          <w:tab w:val="center" w:pos="4475"/>
        </w:tabs>
        <w:spacing w:line="560" w:lineRule="exact"/>
        <w:ind w:firstLine="640" w:firstLineChars="200"/>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3D407D49">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0.41</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减少0.1</w:t>
      </w:r>
      <w:r>
        <w:rPr>
          <w:rFonts w:hint="eastAsia" w:ascii="仿宋_GB2312"/>
          <w:bCs/>
        </w:rPr>
        <w:t>万元，</w:t>
      </w:r>
      <w:r>
        <w:rPr>
          <w:rFonts w:hint="eastAsia" w:ascii="仿宋_GB2312"/>
          <w:bCs/>
          <w:lang w:val="en-US" w:eastAsia="zh-CN"/>
        </w:rPr>
        <w:t>减少19.61</w:t>
      </w:r>
      <w:r>
        <w:rPr>
          <w:rFonts w:hint="eastAsia" w:ascii="仿宋_GB2312"/>
          <w:bCs/>
        </w:rPr>
        <w:t>%，具体如下：</w:t>
      </w:r>
    </w:p>
    <w:p w14:paraId="3F101737">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3FBDDADB">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496FCF34">
      <w:pPr>
        <w:tabs>
          <w:tab w:val="center" w:pos="4475"/>
        </w:tabs>
        <w:spacing w:line="560" w:lineRule="exact"/>
        <w:ind w:firstLine="645"/>
        <w:rPr>
          <w:rFonts w:hint="eastAsia" w:ascii="仿宋_GB2312"/>
          <w:bCs/>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70B74636">
      <w:pPr>
        <w:tabs>
          <w:tab w:val="center" w:pos="4475"/>
        </w:tabs>
        <w:spacing w:line="560" w:lineRule="exact"/>
        <w:ind w:firstLine="645"/>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0.14</w:t>
      </w:r>
      <w:r>
        <w:rPr>
          <w:rFonts w:hint="eastAsia" w:ascii="仿宋_GB2312" w:hAnsi="宋体"/>
          <w:szCs w:val="32"/>
        </w:rPr>
        <w:t>万元，比上年减少</w:t>
      </w:r>
      <w:r>
        <w:rPr>
          <w:rFonts w:hint="eastAsia" w:ascii="仿宋_GB2312" w:hAnsi="宋体"/>
          <w:szCs w:val="32"/>
          <w:lang w:val="en-US" w:eastAsia="zh-CN"/>
        </w:rPr>
        <w:t>0.04</w:t>
      </w:r>
      <w:r>
        <w:rPr>
          <w:rFonts w:hint="eastAsia" w:ascii="仿宋_GB2312" w:hAnsi="宋体"/>
          <w:szCs w:val="32"/>
        </w:rPr>
        <w:t>万元，下降</w:t>
      </w:r>
      <w:r>
        <w:rPr>
          <w:rFonts w:hint="eastAsia" w:ascii="仿宋_GB2312" w:hAnsi="宋体"/>
          <w:szCs w:val="32"/>
          <w:lang w:val="en-US" w:eastAsia="zh-CN"/>
        </w:rPr>
        <w:t>22.22</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规范公务接待标准和范围，减少不必要的接待活动，严格控制接待费用支出</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48DAD6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办公费、印刷费、水电费、</w:t>
      </w:r>
      <w:r>
        <w:rPr>
          <w:rFonts w:hint="eastAsia" w:ascii="仿宋_GB2312"/>
          <w:sz w:val="32"/>
          <w:szCs w:val="32"/>
          <w:highlight w:val="none"/>
          <w:lang w:val="en-US" w:eastAsia="zh-CN"/>
        </w:rPr>
        <w:t>邮电费、</w:t>
      </w:r>
      <w:r>
        <w:rPr>
          <w:rFonts w:hint="eastAsia" w:ascii="仿宋_GB2312" w:eastAsia="仿宋_GB2312"/>
          <w:sz w:val="32"/>
          <w:szCs w:val="32"/>
          <w:highlight w:val="none"/>
        </w:rPr>
        <w:t>差旅费、维修（护）费、会议费、培训费、公务接待费、工会经费</w:t>
      </w:r>
      <w:r>
        <w:rPr>
          <w:rFonts w:hint="eastAsia" w:ascii="仿宋_GB2312"/>
          <w:sz w:val="32"/>
          <w:szCs w:val="32"/>
          <w:highlight w:val="none"/>
          <w:lang w:eastAsia="zh-CN"/>
        </w:rPr>
        <w:t>、</w:t>
      </w:r>
      <w:r>
        <w:rPr>
          <w:rFonts w:hint="eastAsia" w:ascii="仿宋_GB2312"/>
          <w:sz w:val="32"/>
          <w:szCs w:val="32"/>
          <w:highlight w:val="none"/>
          <w:lang w:val="en-US" w:eastAsia="zh-CN"/>
        </w:rPr>
        <w:t>福利费、其他交通费用、其他商品和服务支出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运行经费预算17.93万元，较上年减少6.14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52.08%，减少的主要原因是缩减不必要的支出。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w:t>
      </w:r>
      <w:bookmarkStart w:id="0" w:name="_GoBack"/>
      <w:bookmarkEnd w:id="0"/>
      <w:r>
        <w:rPr>
          <w:rFonts w:hint="eastAsia" w:ascii="黑体" w:hAnsi="黑体" w:eastAsia="黑体" w:cs="黑体"/>
          <w:kern w:val="0"/>
        </w:rPr>
        <w:t>排情况说明</w:t>
      </w:r>
    </w:p>
    <w:p w14:paraId="6E732D2A">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1.65</w:t>
      </w:r>
      <w:r>
        <w:rPr>
          <w:rFonts w:hint="eastAsia" w:ascii="仿宋_GB2312" w:hAnsi="宋体"/>
          <w:szCs w:val="32"/>
        </w:rPr>
        <w:t>万元。其中：货物类采购</w:t>
      </w:r>
      <w:r>
        <w:rPr>
          <w:rFonts w:hint="eastAsia" w:ascii="仿宋_GB2312" w:hAnsi="宋体"/>
          <w:szCs w:val="32"/>
          <w:lang w:val="en-US" w:eastAsia="zh-CN"/>
        </w:rPr>
        <w:t>1.47</w:t>
      </w:r>
      <w:r>
        <w:rPr>
          <w:rFonts w:hint="eastAsia" w:ascii="仿宋_GB2312" w:hAnsi="宋体"/>
          <w:szCs w:val="32"/>
        </w:rPr>
        <w:t>万元、工程类采购</w:t>
      </w:r>
      <w:r>
        <w:rPr>
          <w:rFonts w:hint="eastAsia" w:ascii="仿宋_GB2312" w:hAnsi="宋体"/>
          <w:szCs w:val="32"/>
          <w:lang w:val="en-US" w:eastAsia="zh-CN"/>
        </w:rPr>
        <w:t>0.18</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622BEFFA">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lang w:val="en-US" w:eastAsia="zh-CN"/>
        </w:rPr>
        <w:t>我单位2025年无国有资产占用情况。</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3D05D65">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柳州市柳江区</w:t>
      </w:r>
      <w:r>
        <w:rPr>
          <w:rFonts w:hint="eastAsia" w:ascii="楷体_GB2312" w:hAnsi="楷体_GB2312" w:eastAsia="楷体_GB2312" w:cs="楷体_GB2312"/>
          <w:szCs w:val="32"/>
          <w:lang w:val="en-US" w:eastAsia="zh-CN"/>
        </w:rPr>
        <w:t>水土保持工作站</w:t>
      </w:r>
      <w:r>
        <w:rPr>
          <w:rFonts w:hint="eastAsia" w:ascii="楷体_GB2312" w:hAnsi="楷体_GB2312" w:eastAsia="楷体_GB2312" w:cs="楷体_GB2312"/>
          <w:szCs w:val="32"/>
          <w:lang w:eastAsia="zh-CN"/>
        </w:rPr>
        <w:t>为部门整体支出绩效目标。</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3089A330">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柳州市柳江区水土保持工作站</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4C465"/>
    <w:multiLevelType w:val="singleLevel"/>
    <w:tmpl w:val="77B4C46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21690C6D"/>
    <w:rsid w:val="2F0E7201"/>
    <w:rsid w:val="36190BE4"/>
    <w:rsid w:val="392A132F"/>
    <w:rsid w:val="438047F9"/>
    <w:rsid w:val="482A7AA5"/>
    <w:rsid w:val="4E3B534E"/>
    <w:rsid w:val="5018547A"/>
    <w:rsid w:val="52143B70"/>
    <w:rsid w:val="61790893"/>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4233</Words>
  <Characters>4424</Characters>
  <Lines>0</Lines>
  <Paragraphs>0</Paragraphs>
  <TotalTime>1</TotalTime>
  <ScaleCrop>false</ScaleCrop>
  <LinksUpToDate>false</LinksUpToDate>
  <CharactersWithSpaces>4467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汤璇妮</cp:lastModifiedBy>
  <dcterms:modified xsi:type="dcterms:W3CDTF">2025-02-10T01:09:36Z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eyJoZGlkIjoiZTdiNWIxZDVkZjgxMDExZTJmMzJjNGJhNmNiNzU3YWIiLCJ1c2VySWQiOiI1ODU0ODYzMjEifQ==</vt:lpwstr>
  </property>
  <property fmtid="{D5CDD505-2E9C-101B-9397-08002B2CF9AE}" pid="4" name="ICV">
    <vt:lpwstr>E723BE59CE2C4E01A4D68AF4D8692EE9_13</vt:lpwstr>
  </property>
</Properties>
</file>