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898BC">
      <w:pPr>
        <w:jc w:val="center"/>
        <w:rPr>
          <w:rFonts w:ascii="黑体" w:hAnsi="宋体" w:eastAsia="黑体"/>
          <w:bCs/>
          <w:szCs w:val="32"/>
        </w:rPr>
      </w:pPr>
      <w:r>
        <w:rPr>
          <w:rFonts w:hint="eastAsia" w:ascii="黑体" w:hAnsi="宋体" w:eastAsia="黑体"/>
          <w:bCs/>
          <w:sz w:val="44"/>
          <w:szCs w:val="44"/>
        </w:rPr>
        <w:t>柳州市柳江区人民医院2025年单位预算及“三公”经费预算公开说明</w:t>
      </w:r>
    </w:p>
    <w:p w14:paraId="07336007">
      <w:pPr>
        <w:adjustRightInd w:val="0"/>
        <w:snapToGrid w:val="0"/>
        <w:spacing w:line="560" w:lineRule="exact"/>
        <w:ind w:right="-332" w:rightChars="-104" w:firstLine="640" w:firstLineChars="200"/>
        <w:rPr>
          <w:rFonts w:hint="eastAsia" w:ascii="黑体" w:hAnsi="宋体" w:eastAsia="黑体"/>
          <w:bCs/>
          <w:szCs w:val="32"/>
        </w:rPr>
      </w:pPr>
    </w:p>
    <w:p w14:paraId="5E1DC617">
      <w:pPr>
        <w:keepNext w:val="0"/>
        <w:keepLines w:val="0"/>
        <w:pageBreakBefore w:val="0"/>
        <w:widowControl w:val="0"/>
        <w:kinsoku/>
        <w:wordWrap/>
        <w:overflowPunct/>
        <w:topLinePunct w:val="0"/>
        <w:autoSpaceDE/>
        <w:autoSpaceDN/>
        <w:bidi w:val="0"/>
        <w:adjustRightInd w:val="0"/>
        <w:snapToGrid w:val="0"/>
        <w:spacing w:line="640" w:lineRule="exact"/>
        <w:ind w:right="-332" w:rightChars="-104" w:firstLine="640" w:firstLineChars="200"/>
        <w:textAlignment w:val="auto"/>
        <w:rPr>
          <w:rFonts w:ascii="黑体" w:hAnsi="宋体" w:eastAsia="黑体"/>
          <w:bCs/>
          <w:szCs w:val="32"/>
        </w:rPr>
      </w:pPr>
      <w:r>
        <w:rPr>
          <w:rFonts w:hint="eastAsia" w:ascii="黑体" w:hAnsi="宋体" w:eastAsia="黑体"/>
          <w:bCs/>
          <w:szCs w:val="32"/>
        </w:rPr>
        <w:t>第一部分：单位概况</w:t>
      </w:r>
    </w:p>
    <w:p w14:paraId="5639221B">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ascii="宋体" w:hAnsi="宋体" w:eastAsia="宋体" w:cs="宋体"/>
          <w:szCs w:val="32"/>
        </w:rPr>
      </w:pPr>
      <w:r>
        <w:rPr>
          <w:rFonts w:hint="eastAsia" w:ascii="宋体" w:hAnsi="宋体" w:eastAsia="宋体" w:cs="宋体"/>
          <w:szCs w:val="32"/>
        </w:rPr>
        <w:t>一、主要职责</w:t>
      </w:r>
    </w:p>
    <w:p w14:paraId="1DFB2CA9">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ascii="黑体" w:hAnsi="宋体" w:eastAsia="黑体"/>
          <w:bCs/>
          <w:szCs w:val="32"/>
        </w:rPr>
      </w:pPr>
      <w:r>
        <w:rPr>
          <w:rFonts w:hint="eastAsia" w:ascii="宋体" w:hAnsi="宋体" w:eastAsia="宋体" w:cs="宋体"/>
          <w:szCs w:val="32"/>
        </w:rPr>
        <w:t>二、机构设置</w:t>
      </w:r>
    </w:p>
    <w:p w14:paraId="03EBB8A8">
      <w:pPr>
        <w:keepNext w:val="0"/>
        <w:keepLines w:val="0"/>
        <w:pageBreakBefore w:val="0"/>
        <w:widowControl w:val="0"/>
        <w:kinsoku/>
        <w:wordWrap/>
        <w:overflowPunct/>
        <w:topLinePunct w:val="0"/>
        <w:autoSpaceDE/>
        <w:autoSpaceDN/>
        <w:bidi w:val="0"/>
        <w:adjustRightInd w:val="0"/>
        <w:snapToGrid w:val="0"/>
        <w:spacing w:line="640" w:lineRule="exact"/>
        <w:ind w:right="-332" w:rightChars="-104" w:firstLine="640" w:firstLineChars="200"/>
        <w:textAlignment w:val="auto"/>
        <w:rPr>
          <w:rFonts w:ascii="黑体" w:hAnsi="宋体" w:eastAsia="黑体"/>
          <w:bCs/>
          <w:szCs w:val="32"/>
        </w:rPr>
      </w:pPr>
      <w:r>
        <w:rPr>
          <w:rFonts w:hint="eastAsia" w:ascii="黑体" w:eastAsia="黑体"/>
          <w:szCs w:val="32"/>
        </w:rPr>
        <w:t>第二部分：</w:t>
      </w:r>
      <w:r>
        <w:rPr>
          <w:rFonts w:hint="eastAsia" w:ascii="黑体" w:hAnsi="宋体" w:eastAsia="黑体"/>
          <w:szCs w:val="32"/>
        </w:rPr>
        <w:t>柳州市柳江区人民医院2025年</w:t>
      </w:r>
      <w:r>
        <w:rPr>
          <w:rFonts w:hint="eastAsia" w:ascii="黑体" w:eastAsia="黑体"/>
          <w:szCs w:val="32"/>
        </w:rPr>
        <w:t>单位预算情况说明</w:t>
      </w:r>
    </w:p>
    <w:p w14:paraId="4C5D0858">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ascii="宋体" w:hAnsi="宋体" w:eastAsia="宋体" w:cs="宋体"/>
          <w:szCs w:val="32"/>
        </w:rPr>
      </w:pPr>
      <w:r>
        <w:rPr>
          <w:rFonts w:hint="eastAsia" w:ascii="宋体" w:hAnsi="宋体" w:eastAsia="宋体" w:cs="宋体"/>
          <w:szCs w:val="32"/>
        </w:rPr>
        <w:t>一、单位预算收支增减变化情况说明</w:t>
      </w:r>
    </w:p>
    <w:p w14:paraId="004D7E27">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ascii="宋体" w:hAnsi="宋体" w:eastAsia="宋体" w:cs="宋体"/>
          <w:szCs w:val="32"/>
        </w:rPr>
      </w:pPr>
      <w:r>
        <w:rPr>
          <w:rFonts w:hint="eastAsia" w:ascii="宋体" w:hAnsi="宋体" w:eastAsia="宋体" w:cs="宋体"/>
          <w:szCs w:val="32"/>
        </w:rPr>
        <w:t>二、单位预算收入总体情况说明</w:t>
      </w:r>
    </w:p>
    <w:p w14:paraId="1CFB2882">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ascii="宋体" w:hAnsi="宋体" w:eastAsia="宋体" w:cs="宋体"/>
          <w:szCs w:val="32"/>
        </w:rPr>
      </w:pPr>
      <w:r>
        <w:rPr>
          <w:rFonts w:hint="eastAsia" w:ascii="宋体" w:hAnsi="宋体" w:eastAsia="宋体" w:cs="宋体"/>
          <w:szCs w:val="32"/>
        </w:rPr>
        <w:t>三、单位预算支出总体情况说明</w:t>
      </w:r>
    </w:p>
    <w:p w14:paraId="1B35D852">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ascii="宋体" w:hAnsi="宋体" w:eastAsia="宋体" w:cs="宋体"/>
          <w:szCs w:val="32"/>
        </w:rPr>
      </w:pPr>
      <w:r>
        <w:rPr>
          <w:rFonts w:hint="eastAsia" w:ascii="宋体" w:hAnsi="宋体" w:eastAsia="宋体" w:cs="宋体"/>
          <w:szCs w:val="32"/>
        </w:rPr>
        <w:t>四、政府性基金预算支出情况说明</w:t>
      </w:r>
    </w:p>
    <w:p w14:paraId="648B8B7B">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ascii="宋体" w:hAnsi="宋体" w:eastAsia="宋体" w:cs="宋体"/>
          <w:szCs w:val="32"/>
        </w:rPr>
      </w:pPr>
      <w:r>
        <w:rPr>
          <w:rFonts w:hint="eastAsia" w:ascii="宋体" w:hAnsi="宋体" w:eastAsia="宋体" w:cs="宋体"/>
          <w:szCs w:val="32"/>
        </w:rPr>
        <w:t>五、国有资本经营预算支出情况说明</w:t>
      </w:r>
    </w:p>
    <w:p w14:paraId="7FBE610C">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ascii="宋体" w:hAnsi="宋体" w:eastAsia="宋体" w:cs="宋体"/>
          <w:szCs w:val="32"/>
        </w:rPr>
      </w:pPr>
      <w:r>
        <w:rPr>
          <w:rFonts w:hint="eastAsia" w:ascii="宋体" w:hAnsi="宋体" w:eastAsia="宋体" w:cs="宋体"/>
          <w:szCs w:val="32"/>
        </w:rPr>
        <w:t>六、一般公共预算“三公”经费支出情况说明</w:t>
      </w:r>
    </w:p>
    <w:p w14:paraId="6080FFFA">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ascii="宋体" w:hAnsi="宋体" w:eastAsia="宋体" w:cs="宋体"/>
          <w:szCs w:val="32"/>
        </w:rPr>
      </w:pPr>
      <w:r>
        <w:rPr>
          <w:rFonts w:hint="eastAsia" w:ascii="宋体" w:hAnsi="宋体" w:eastAsia="宋体" w:cs="宋体"/>
          <w:szCs w:val="32"/>
        </w:rPr>
        <w:t>七、机关运行经费安排情况说明</w:t>
      </w:r>
    </w:p>
    <w:p w14:paraId="07F9DAE4">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ascii="宋体" w:hAnsi="宋体" w:eastAsia="宋体" w:cs="宋体"/>
          <w:szCs w:val="32"/>
        </w:rPr>
      </w:pPr>
      <w:r>
        <w:rPr>
          <w:rFonts w:hint="eastAsia" w:ascii="宋体" w:hAnsi="宋体" w:eastAsia="宋体" w:cs="宋体"/>
          <w:szCs w:val="32"/>
        </w:rPr>
        <w:t>八、政府采购预算安排情况说明</w:t>
      </w:r>
    </w:p>
    <w:p w14:paraId="75FC5596">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ascii="宋体" w:hAnsi="宋体" w:eastAsia="宋体" w:cs="宋体"/>
          <w:szCs w:val="32"/>
          <w:highlight w:val="yellow"/>
        </w:rPr>
      </w:pPr>
      <w:r>
        <w:rPr>
          <w:rFonts w:hint="eastAsia" w:ascii="宋体" w:hAnsi="宋体" w:eastAsia="宋体" w:cs="宋体"/>
          <w:szCs w:val="32"/>
        </w:rPr>
        <w:t>九、国有资产占用情况说明</w:t>
      </w:r>
    </w:p>
    <w:p w14:paraId="0E93ABFB">
      <w:pPr>
        <w:keepNext w:val="0"/>
        <w:keepLines w:val="0"/>
        <w:pageBreakBefore w:val="0"/>
        <w:widowControl w:val="0"/>
        <w:tabs>
          <w:tab w:val="center" w:pos="4475"/>
        </w:tabs>
        <w:kinsoku/>
        <w:wordWrap/>
        <w:overflowPunct/>
        <w:topLinePunct w:val="0"/>
        <w:autoSpaceDE/>
        <w:autoSpaceDN/>
        <w:bidi w:val="0"/>
        <w:spacing w:line="640" w:lineRule="exact"/>
        <w:ind w:firstLine="646"/>
        <w:textAlignment w:val="auto"/>
        <w:rPr>
          <w:rFonts w:ascii="宋体" w:hAnsi="宋体" w:eastAsia="宋体" w:cs="宋体"/>
          <w:szCs w:val="32"/>
        </w:rPr>
      </w:pPr>
      <w:r>
        <w:rPr>
          <w:rFonts w:hint="eastAsia" w:ascii="宋体" w:hAnsi="宋体" w:eastAsia="宋体" w:cs="宋体"/>
          <w:szCs w:val="32"/>
        </w:rPr>
        <w:t>十、预算绩效目标情况说明</w:t>
      </w:r>
    </w:p>
    <w:p w14:paraId="1BB2C69E">
      <w:pPr>
        <w:keepNext w:val="0"/>
        <w:keepLines w:val="0"/>
        <w:pageBreakBefore w:val="0"/>
        <w:widowControl w:val="0"/>
        <w:kinsoku/>
        <w:wordWrap/>
        <w:overflowPunct/>
        <w:topLinePunct w:val="0"/>
        <w:autoSpaceDE/>
        <w:autoSpaceDN/>
        <w:bidi w:val="0"/>
        <w:adjustRightInd w:val="0"/>
        <w:snapToGrid w:val="0"/>
        <w:spacing w:line="640" w:lineRule="exact"/>
        <w:ind w:right="-332" w:rightChars="-104" w:firstLine="640" w:firstLineChars="200"/>
        <w:textAlignment w:val="auto"/>
        <w:rPr>
          <w:rFonts w:ascii="黑体" w:hAnsi="宋体" w:eastAsia="黑体"/>
          <w:bCs/>
          <w:szCs w:val="32"/>
        </w:rPr>
      </w:pPr>
      <w:r>
        <w:rPr>
          <w:rFonts w:hint="eastAsia" w:ascii="黑体" w:eastAsia="黑体"/>
          <w:szCs w:val="32"/>
        </w:rPr>
        <w:t>第三部分：名词解释</w:t>
      </w:r>
    </w:p>
    <w:p w14:paraId="2B41C703">
      <w:pPr>
        <w:keepNext w:val="0"/>
        <w:keepLines w:val="0"/>
        <w:pageBreakBefore w:val="0"/>
        <w:widowControl w:val="0"/>
        <w:kinsoku/>
        <w:wordWrap/>
        <w:overflowPunct/>
        <w:topLinePunct w:val="0"/>
        <w:autoSpaceDE/>
        <w:autoSpaceDN/>
        <w:bidi w:val="0"/>
        <w:adjustRightInd w:val="0"/>
        <w:snapToGrid w:val="0"/>
        <w:spacing w:line="640" w:lineRule="exact"/>
        <w:ind w:right="-332" w:rightChars="-104" w:firstLine="640" w:firstLineChars="200"/>
        <w:textAlignment w:val="auto"/>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柳州市柳江区人民医院2025年</w:t>
      </w:r>
      <w:r>
        <w:rPr>
          <w:rFonts w:hint="eastAsia" w:ascii="黑体" w:eastAsia="黑体"/>
          <w:szCs w:val="32"/>
        </w:rPr>
        <w:t>单位预算报表</w:t>
      </w:r>
    </w:p>
    <w:p w14:paraId="56F0370D">
      <w:pPr>
        <w:adjustRightInd w:val="0"/>
        <w:snapToGrid w:val="0"/>
        <w:spacing w:line="560" w:lineRule="exact"/>
        <w:ind w:right="-332" w:rightChars="-104" w:firstLine="640" w:firstLineChars="200"/>
        <w:rPr>
          <w:rFonts w:hint="eastAsia" w:ascii="黑体" w:hAnsi="宋体" w:eastAsia="黑体"/>
          <w:bCs/>
          <w:szCs w:val="32"/>
        </w:rPr>
      </w:pPr>
    </w:p>
    <w:p w14:paraId="250578D2">
      <w:pPr>
        <w:adjustRightInd w:val="0"/>
        <w:snapToGrid w:val="0"/>
        <w:spacing w:line="560" w:lineRule="exact"/>
        <w:ind w:right="-332" w:rightChars="-104"/>
        <w:rPr>
          <w:rFonts w:hint="eastAsia" w:ascii="黑体" w:hAnsi="宋体" w:eastAsia="黑体"/>
          <w:bCs/>
          <w:szCs w:val="32"/>
        </w:rPr>
      </w:pPr>
    </w:p>
    <w:p w14:paraId="357B74DA">
      <w:pPr>
        <w:adjustRightInd w:val="0"/>
        <w:snapToGrid w:val="0"/>
        <w:spacing w:line="560" w:lineRule="exact"/>
        <w:ind w:right="-332" w:rightChars="-104" w:firstLine="640" w:firstLineChars="200"/>
        <w:rPr>
          <w:rFonts w:ascii="黑体" w:hAnsi="宋体" w:eastAsia="黑体"/>
          <w:bCs/>
          <w:szCs w:val="32"/>
        </w:rPr>
      </w:pPr>
      <w:r>
        <w:rPr>
          <w:rFonts w:hint="eastAsia" w:ascii="黑体" w:hAnsi="宋体" w:eastAsia="黑体"/>
          <w:bCs/>
          <w:szCs w:val="32"/>
        </w:rPr>
        <w:t>第一部分：单位概况</w:t>
      </w:r>
    </w:p>
    <w:p w14:paraId="4C5B238B">
      <w:pPr>
        <w:adjustRightInd w:val="0"/>
        <w:snapToGrid w:val="0"/>
        <w:spacing w:line="560" w:lineRule="exact"/>
        <w:ind w:right="-332"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6299EA3A">
      <w:pPr>
        <w:snapToGrid w:val="0"/>
        <w:spacing w:line="500" w:lineRule="exact"/>
        <w:ind w:firstLine="640" w:firstLineChars="200"/>
        <w:rPr>
          <w:rFonts w:ascii="宋体" w:hAnsi="宋体" w:eastAsia="宋体" w:cs="仿宋_GB2312"/>
          <w:szCs w:val="32"/>
        </w:rPr>
      </w:pPr>
      <w:r>
        <w:rPr>
          <w:rFonts w:hint="eastAsia" w:ascii="宋体" w:hAnsi="宋体" w:eastAsia="宋体" w:cs="仿宋_GB2312"/>
          <w:szCs w:val="32"/>
        </w:rPr>
        <w:t>（一）贯彻落实新时期我国卫生与健康工作方针，坚持公益性，保障人民群众健康，推动医院各方面事业健康发展。</w:t>
      </w:r>
    </w:p>
    <w:p w14:paraId="6BB6DD09">
      <w:pPr>
        <w:snapToGrid w:val="0"/>
        <w:spacing w:line="500" w:lineRule="exact"/>
        <w:ind w:firstLine="640" w:firstLineChars="200"/>
        <w:rPr>
          <w:rFonts w:ascii="宋体" w:hAnsi="宋体" w:eastAsia="宋体" w:cs="仿宋_GB2312"/>
          <w:szCs w:val="32"/>
        </w:rPr>
      </w:pPr>
      <w:r>
        <w:rPr>
          <w:rFonts w:hint="eastAsia" w:ascii="宋体" w:hAnsi="宋体" w:eastAsia="宋体" w:cs="仿宋_GB2312"/>
          <w:szCs w:val="32"/>
        </w:rPr>
        <w:t>（二）为人民群众提供医疗保健、疾病预防、健康教育等医疗和一定的公共卫生服务。</w:t>
      </w:r>
    </w:p>
    <w:p w14:paraId="446DCC12">
      <w:pPr>
        <w:snapToGrid w:val="0"/>
        <w:spacing w:line="500" w:lineRule="exact"/>
        <w:ind w:firstLine="640" w:firstLineChars="200"/>
        <w:rPr>
          <w:rFonts w:ascii="宋体" w:hAnsi="宋体" w:eastAsia="宋体" w:cs="仿宋_GB2312"/>
          <w:szCs w:val="32"/>
        </w:rPr>
      </w:pPr>
      <w:r>
        <w:rPr>
          <w:rFonts w:hint="eastAsia" w:ascii="宋体" w:hAnsi="宋体" w:eastAsia="宋体" w:cs="仿宋_GB2312"/>
          <w:szCs w:val="32"/>
        </w:rPr>
        <w:t>（三）承担高等医学院校临床教学、住院医师规范化培训、助理全科医生规范化培养，以及毕业后继续医学教育，促进医学人才能力和水平的提升。</w:t>
      </w:r>
    </w:p>
    <w:p w14:paraId="5369C92D">
      <w:pPr>
        <w:snapToGrid w:val="0"/>
        <w:spacing w:line="500" w:lineRule="exact"/>
        <w:ind w:firstLine="640" w:firstLineChars="200"/>
        <w:rPr>
          <w:rFonts w:ascii="宋体" w:hAnsi="宋体" w:eastAsia="宋体" w:cs="仿宋_GB2312"/>
          <w:szCs w:val="32"/>
        </w:rPr>
      </w:pPr>
      <w:r>
        <w:rPr>
          <w:rFonts w:hint="eastAsia" w:ascii="宋体" w:hAnsi="宋体" w:eastAsia="宋体" w:cs="仿宋_GB2312"/>
          <w:szCs w:val="32"/>
        </w:rPr>
        <w:t>（四）开展临床医学和基础医学研究，推动医学科技成果转化。</w:t>
      </w:r>
    </w:p>
    <w:p w14:paraId="18FDC587">
      <w:pPr>
        <w:snapToGrid w:val="0"/>
        <w:spacing w:line="500" w:lineRule="exact"/>
        <w:ind w:firstLine="640" w:firstLineChars="200"/>
        <w:rPr>
          <w:rFonts w:ascii="宋体" w:hAnsi="宋体" w:eastAsia="宋体" w:cs="仿宋_GB2312"/>
          <w:szCs w:val="32"/>
        </w:rPr>
      </w:pPr>
      <w:r>
        <w:rPr>
          <w:rFonts w:hint="eastAsia" w:ascii="宋体" w:hAnsi="宋体" w:eastAsia="宋体" w:cs="仿宋_GB2312"/>
          <w:szCs w:val="32"/>
        </w:rPr>
        <w:t>（五）开展对外技术交流。</w:t>
      </w:r>
    </w:p>
    <w:p w14:paraId="4F1C374E">
      <w:pPr>
        <w:snapToGrid w:val="0"/>
        <w:spacing w:line="500" w:lineRule="exact"/>
        <w:ind w:firstLine="640" w:firstLineChars="200"/>
        <w:rPr>
          <w:rFonts w:ascii="宋体" w:hAnsi="宋体" w:eastAsia="宋体" w:cs="仿宋_GB2312"/>
          <w:szCs w:val="32"/>
        </w:rPr>
      </w:pPr>
      <w:r>
        <w:rPr>
          <w:rFonts w:hint="eastAsia" w:ascii="宋体" w:hAnsi="宋体" w:eastAsia="宋体" w:cs="仿宋_GB2312"/>
          <w:szCs w:val="32"/>
        </w:rPr>
        <w:t>（六）承担涉外医疗服务和重大活动医疗保障任务，承担突发公共事件的医疗卫生救助。</w:t>
      </w:r>
    </w:p>
    <w:p w14:paraId="54A3EA7F">
      <w:pPr>
        <w:snapToGrid w:val="0"/>
        <w:spacing w:line="500" w:lineRule="exact"/>
        <w:ind w:firstLine="640" w:firstLineChars="200"/>
        <w:rPr>
          <w:rFonts w:ascii="宋体" w:hAnsi="宋体" w:eastAsia="宋体" w:cs="仿宋_GB2312"/>
          <w:szCs w:val="32"/>
        </w:rPr>
      </w:pPr>
      <w:r>
        <w:rPr>
          <w:rFonts w:hint="eastAsia" w:ascii="宋体" w:hAnsi="宋体" w:eastAsia="宋体" w:cs="仿宋_GB2312"/>
          <w:szCs w:val="32"/>
        </w:rPr>
        <w:t>（七）与相关医疗机构组成医联体或医共体，推动形成基层首诊、双向转诊、急慢分治、上下联动的分级诊疗模式。</w:t>
      </w:r>
    </w:p>
    <w:p w14:paraId="6D546C11">
      <w:pPr>
        <w:snapToGrid w:val="0"/>
        <w:spacing w:line="500" w:lineRule="exact"/>
        <w:ind w:firstLine="640" w:firstLineChars="200"/>
        <w:rPr>
          <w:rFonts w:ascii="宋体" w:hAnsi="宋体" w:eastAsia="宋体" w:cs="仿宋_GB2312"/>
          <w:szCs w:val="32"/>
        </w:rPr>
      </w:pPr>
      <w:r>
        <w:rPr>
          <w:rFonts w:hint="eastAsia" w:ascii="宋体" w:hAnsi="宋体" w:eastAsia="宋体" w:cs="仿宋_GB2312"/>
          <w:szCs w:val="32"/>
        </w:rPr>
        <w:t>（八）开展对口支援，支援边远、贫困地区和基层医疗卫生机构。</w:t>
      </w:r>
    </w:p>
    <w:p w14:paraId="1C31D041">
      <w:pPr>
        <w:snapToGrid w:val="0"/>
        <w:spacing w:line="500" w:lineRule="exact"/>
        <w:ind w:firstLine="640" w:firstLineChars="200"/>
        <w:rPr>
          <w:rFonts w:ascii="宋体" w:hAnsi="宋体" w:eastAsia="宋体" w:cs="仿宋_GB2312"/>
          <w:szCs w:val="32"/>
        </w:rPr>
      </w:pPr>
      <w:r>
        <w:rPr>
          <w:rFonts w:hint="eastAsia" w:ascii="宋体" w:hAnsi="宋体" w:eastAsia="宋体" w:cs="仿宋_GB2312"/>
          <w:szCs w:val="32"/>
        </w:rPr>
        <w:t>（九）完成区委、区人民政府、区卫生健康行政部门交办的其他工作。</w:t>
      </w:r>
    </w:p>
    <w:p w14:paraId="48011E6D">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14:paraId="19D7084F">
      <w:pPr>
        <w:snapToGrid w:val="0"/>
        <w:spacing w:line="500" w:lineRule="exact"/>
        <w:ind w:firstLine="800" w:firstLineChars="250"/>
        <w:rPr>
          <w:rFonts w:ascii="宋体" w:hAnsi="宋体" w:eastAsia="宋体"/>
          <w:szCs w:val="32"/>
        </w:rPr>
      </w:pPr>
      <w:r>
        <w:rPr>
          <w:rFonts w:hint="eastAsia" w:ascii="宋体" w:hAnsi="宋体" w:eastAsia="宋体"/>
          <w:szCs w:val="32"/>
        </w:rPr>
        <w:t>现有编制数386人，实有编制人数357人，编外长期聘用人数665人（含控制数210人），其中卫技人员863人，管理人员及工勤技能人员159人，退休195人。</w:t>
      </w:r>
    </w:p>
    <w:p w14:paraId="6EF2FDF0">
      <w:pPr>
        <w:snapToGrid w:val="0"/>
        <w:spacing w:line="500" w:lineRule="exact"/>
        <w:ind w:firstLine="800" w:firstLineChars="250"/>
        <w:rPr>
          <w:rFonts w:ascii="宋体" w:hAnsi="宋体" w:eastAsia="宋体"/>
          <w:szCs w:val="32"/>
        </w:rPr>
        <w:sectPr>
          <w:footerReference r:id="rId4" w:type="first"/>
          <w:footerReference r:id="rId3" w:type="default"/>
          <w:pgSz w:w="11906" w:h="16838"/>
          <w:pgMar w:top="1440" w:right="1803" w:bottom="1440" w:left="1803" w:header="851" w:footer="907" w:gutter="0"/>
          <w:pgNumType w:fmt="numberInDash"/>
          <w:cols w:space="720" w:num="1"/>
          <w:titlePg/>
          <w:docGrid w:type="linesAndChars" w:linePitch="312" w:charSpace="0"/>
        </w:sectPr>
      </w:pPr>
      <w:r>
        <w:rPr>
          <w:rFonts w:hint="eastAsia" w:ascii="宋体" w:hAnsi="宋体" w:eastAsia="宋体"/>
          <w:szCs w:val="32"/>
        </w:rPr>
        <w:t>机构设置架构图附后</w:t>
      </w:r>
    </w:p>
    <w:p w14:paraId="1FCC190F">
      <w:pPr>
        <w:spacing w:line="500" w:lineRule="exact"/>
        <w:jc w:val="center"/>
        <w:rPr>
          <w:rFonts w:ascii="方正小标宋简体" w:eastAsia="方正小标宋简体"/>
          <w:szCs w:val="21"/>
        </w:rPr>
      </w:pPr>
      <w:r>
        <w:rPr>
          <w:rFonts w:hint="eastAsia" w:ascii="方正小标宋简体" w:eastAsia="方正小标宋简体"/>
          <w:sz w:val="44"/>
          <w:szCs w:val="44"/>
        </w:rPr>
        <w:t>柳州市柳江区人民医院行政与后勤职能科室设置架构图</w:t>
      </w:r>
    </w:p>
    <w:p w14:paraId="3DD8CADF">
      <w:r>
        <w:pict>
          <v:shape id="自选图形 327" o:spid="_x0000_s2131" o:spt="176" type="#_x0000_t176" style="position:absolute;left:0pt;margin-left:301.85pt;margin-top:13.95pt;height:63.45pt;width:34pt;z-index:251659264;mso-width-relative:page;mso-height-relative:page;" fillcolor="#EAEAEA" filled="t" coordsize="21600,21600">
            <v:path/>
            <v:fill on="t" focussize="0,0"/>
            <v:stroke weight="1pt" joinstyle="miter"/>
            <v:imagedata o:title=""/>
            <o:lock v:ext="edit"/>
            <v:textbox style="layout-flow:vertical-ideographic;">
              <w:txbxContent>
                <w:p w14:paraId="54AF776B">
                  <w:pPr>
                    <w:spacing w:line="280" w:lineRule="exact"/>
                    <w:jc w:val="center"/>
                    <w:rPr>
                      <w:rFonts w:ascii="仿宋_GB2312"/>
                      <w:b/>
                      <w:sz w:val="30"/>
                      <w:szCs w:val="30"/>
                    </w:rPr>
                  </w:pPr>
                  <w:r>
                    <w:rPr>
                      <w:rFonts w:hint="eastAsia" w:ascii="仿宋_GB2312"/>
                      <w:b/>
                      <w:sz w:val="30"/>
                      <w:szCs w:val="30"/>
                    </w:rPr>
                    <w:t>院 长</w:t>
                  </w:r>
                </w:p>
              </w:txbxContent>
            </v:textbox>
          </v:shape>
        </w:pict>
      </w:r>
    </w:p>
    <w:p w14:paraId="5C117C13"/>
    <w:p w14:paraId="55D270FD"/>
    <w:p w14:paraId="231BEABD">
      <w:r>
        <w:pict>
          <v:line id="直线 371" o:spid="_x0000_s2149" o:spt="20" style="position:absolute;left:0pt;margin-left:315.95pt;margin-top:-0.45pt;height:26.2pt;width:0pt;z-index:251677696;mso-width-relative:page;mso-height-relative:page;" coordsize="21600,21600">
            <v:path arrowok="t"/>
            <v:fill focussize="0,0"/>
            <v:stroke/>
            <v:imagedata o:title=""/>
            <o:lock v:ext="edit"/>
          </v:line>
        </w:pict>
      </w:r>
    </w:p>
    <w:p w14:paraId="44BBFBB9">
      <w:r>
        <w:pict>
          <v:line id="_x0000_s2209" o:spid="_x0000_s2209" o:spt="20" style="position:absolute;left:0pt;margin-left:48.2pt;margin-top:10pt;height:23pt;width:0pt;z-index:251739136;mso-width-relative:page;mso-height-relative:page;" coordsize="21600,21600">
            <v:path arrowok="t"/>
            <v:fill focussize="0,0"/>
            <v:stroke/>
            <v:imagedata o:title=""/>
            <o:lock v:ext="edit"/>
          </v:line>
        </w:pict>
      </w:r>
      <w:r>
        <w:pict>
          <v:shape id="自选图形 455" o:spid="_x0000_s2179" o:spt="32" type="#_x0000_t32" style="position:absolute;left:0pt;margin-left:681.5pt;margin-top:10.15pt;height:34.3pt;width:0pt;z-index:251708416;mso-width-relative:page;mso-height-relative:page;" o:connectortype="straight" filled="f" coordsize="21600,21600">
            <v:path arrowok="t"/>
            <v:fill on="f" focussize="0,0"/>
            <v:stroke/>
            <v:imagedata o:title=""/>
            <o:lock v:ext="edit"/>
          </v:shape>
        </w:pict>
      </w:r>
      <w:r>
        <w:pict>
          <v:line id="直线 423" o:spid="_x0000_s2157" o:spt="20" style="position:absolute;left:0pt;margin-left:405.2pt;margin-top:10pt;height:36.5pt;width:0pt;z-index:251685888;mso-width-relative:page;mso-height-relative:page;" coordsize="21600,21600">
            <v:path arrowok="t"/>
            <v:fill focussize="0,0"/>
            <v:stroke/>
            <v:imagedata o:title=""/>
            <o:lock v:ext="edit"/>
          </v:line>
        </w:pict>
      </w:r>
      <w:r>
        <w:pict>
          <v:line id="直线 369" o:spid="_x0000_s2147" o:spt="20" style="position:absolute;left:0pt;margin-left:48.2pt;margin-top:10.15pt;height:0pt;width:618.75pt;z-index:251675648;mso-width-relative:page;mso-height-relative:page;" coordsize="21600,21600">
            <v:path arrowok="t"/>
            <v:fill focussize="0,0"/>
            <v:stroke/>
            <v:imagedata o:title=""/>
            <o:lock v:ext="edit"/>
          </v:line>
        </w:pict>
      </w:r>
      <w:r>
        <w:pict>
          <v:line id="直线 370" o:spid="_x0000_s2148" o:spt="20" style="position:absolute;left:0pt;margin-left:216.75pt;margin-top:12.2pt;height:23pt;width:0pt;z-index:251676672;mso-width-relative:page;mso-height-relative:page;" coordsize="21600,21600">
            <v:path arrowok="t"/>
            <v:fill focussize="0,0"/>
            <v:stroke/>
            <v:imagedata o:title=""/>
            <o:lock v:ext="edit"/>
          </v:line>
        </w:pict>
      </w:r>
    </w:p>
    <w:p w14:paraId="51C25964">
      <w:r>
        <w:pict>
          <v:shape id="_x0000_s2210" o:spid="_x0000_s2210" o:spt="176" type="#_x0000_t176" style="position:absolute;left:0pt;margin-left:32.45pt;margin-top:1.8pt;height:70.2pt;width:34pt;z-index:251740160;mso-width-relative:page;mso-height-relative:page;" fillcolor="#EAEAEA" filled="t" coordsize="21600,21600">
            <v:path/>
            <v:fill on="t" focussize="0,0"/>
            <v:stroke weight="1pt" joinstyle="miter"/>
            <v:imagedata o:title=""/>
            <o:lock v:ext="edit"/>
            <v:textbox style="layout-flow:vertical-ideographic;">
              <w:txbxContent>
                <w:p w14:paraId="64E55693">
                  <w:pPr>
                    <w:spacing w:line="280" w:lineRule="exact"/>
                    <w:jc w:val="center"/>
                    <w:rPr>
                      <w:rFonts w:ascii="仿宋_GB2312"/>
                      <w:b/>
                      <w:sz w:val="30"/>
                      <w:szCs w:val="30"/>
                    </w:rPr>
                  </w:pPr>
                  <w:r>
                    <w:rPr>
                      <w:rFonts w:hint="eastAsia" w:ascii="仿宋_GB2312"/>
                      <w:b/>
                      <w:sz w:val="30"/>
                      <w:szCs w:val="30"/>
                    </w:rPr>
                    <w:t>副 院 长</w:t>
                  </w:r>
                </w:p>
              </w:txbxContent>
            </v:textbox>
          </v:shape>
        </w:pict>
      </w:r>
      <w:r>
        <w:pict>
          <v:shape id="_x0000_s2188" o:spid="_x0000_s2188" o:spt="176" type="#_x0000_t176" style="position:absolute;left:0pt;margin-left:666.95pt;margin-top:11.8pt;height:70.2pt;width:34pt;z-index:251717632;mso-width-relative:page;mso-height-relative:page;" fillcolor="#EAEAEA" filled="t" coordsize="21600,21600">
            <v:path/>
            <v:fill on="t" focussize="0,0"/>
            <v:stroke weight="1pt" joinstyle="miter"/>
            <v:imagedata o:title=""/>
            <o:lock v:ext="edit"/>
            <v:textbox style="layout-flow:vertical-ideographic;">
              <w:txbxContent>
                <w:p w14:paraId="22149AB2">
                  <w:pPr>
                    <w:spacing w:line="280" w:lineRule="exact"/>
                    <w:jc w:val="center"/>
                    <w:rPr>
                      <w:rFonts w:ascii="仿宋_GB2312"/>
                      <w:b/>
                      <w:sz w:val="30"/>
                      <w:szCs w:val="30"/>
                    </w:rPr>
                  </w:pPr>
                  <w:r>
                    <w:rPr>
                      <w:rFonts w:hint="eastAsia" w:ascii="仿宋_GB2312"/>
                      <w:b/>
                      <w:sz w:val="30"/>
                      <w:szCs w:val="30"/>
                    </w:rPr>
                    <w:t>副院长</w:t>
                  </w:r>
                </w:p>
              </w:txbxContent>
            </v:textbox>
          </v:shape>
        </w:pict>
      </w:r>
      <w:r>
        <w:pict>
          <v:shape id="自选图形 328" o:spid="_x0000_s2182" o:spt="176" type="#_x0000_t176" style="position:absolute;left:0pt;margin-left:201.95pt;margin-top:4pt;height:70.2pt;width:34pt;z-index:251711488;mso-width-relative:page;mso-height-relative:page;" fillcolor="#EAEAEA" filled="t" coordsize="21600,21600">
            <v:path/>
            <v:fill on="t" focussize="0,0"/>
            <v:stroke weight="1pt" joinstyle="miter"/>
            <v:imagedata o:title=""/>
            <o:lock v:ext="edit"/>
            <v:textbox style="layout-flow:vertical-ideographic;">
              <w:txbxContent>
                <w:p w14:paraId="76FE8F0F">
                  <w:pPr>
                    <w:spacing w:line="280" w:lineRule="exact"/>
                    <w:jc w:val="center"/>
                    <w:rPr>
                      <w:rFonts w:ascii="仿宋_GB2312"/>
                      <w:b/>
                      <w:sz w:val="30"/>
                      <w:szCs w:val="30"/>
                    </w:rPr>
                  </w:pPr>
                  <w:r>
                    <w:rPr>
                      <w:rFonts w:hint="eastAsia" w:ascii="仿宋_GB2312"/>
                      <w:b/>
                      <w:sz w:val="30"/>
                      <w:szCs w:val="30"/>
                    </w:rPr>
                    <w:t>副 院 长</w:t>
                  </w:r>
                </w:p>
              </w:txbxContent>
            </v:textbox>
          </v:shape>
        </w:pict>
      </w:r>
    </w:p>
    <w:p w14:paraId="2E5908CE">
      <w:r>
        <w:pict>
          <v:shape id="自选图形 424" o:spid="_x0000_s2158" o:spt="176" type="#_x0000_t176" style="position:absolute;left:0pt;margin-left:389.9pt;margin-top:-0.15pt;height:70.2pt;width:34pt;z-index:251686912;mso-width-relative:page;mso-height-relative:page;" fillcolor="#EAEAEA" filled="t" coordsize="21600,21600">
            <v:path/>
            <v:fill on="t" focussize="0,0"/>
            <v:stroke weight="1pt" joinstyle="miter"/>
            <v:imagedata o:title=""/>
            <o:lock v:ext="edit"/>
            <v:textbox style="layout-flow:vertical-ideographic;">
              <w:txbxContent>
                <w:p w14:paraId="5233B149">
                  <w:pPr>
                    <w:spacing w:line="280" w:lineRule="exact"/>
                    <w:jc w:val="center"/>
                    <w:rPr>
                      <w:rFonts w:ascii="仿宋_GB2312"/>
                      <w:b/>
                      <w:sz w:val="30"/>
                      <w:szCs w:val="30"/>
                    </w:rPr>
                  </w:pPr>
                  <w:r>
                    <w:rPr>
                      <w:rFonts w:hint="eastAsia" w:ascii="仿宋_GB2312"/>
                      <w:b/>
                      <w:sz w:val="30"/>
                      <w:szCs w:val="30"/>
                    </w:rPr>
                    <w:t>副院长</w:t>
                  </w:r>
                </w:p>
              </w:txbxContent>
            </v:textbox>
          </v:shape>
        </w:pict>
      </w:r>
    </w:p>
    <w:p w14:paraId="0BB50CB5">
      <w:r>
        <w:pict>
          <v:line id="_x0000_s2211" o:spid="_x0000_s2211" o:spt="20" style="position:absolute;left:0pt;margin-left:48.2pt;margin-top:11.8pt;height:21.15pt;width:0pt;z-index:251741184;mso-width-relative:page;mso-height-relative:page;" coordsize="21600,21600">
            <v:path arrowok="t"/>
            <v:fill focussize="0,0"/>
            <v:stroke/>
            <v:imagedata o:title=""/>
            <o:lock v:ext="edit"/>
          </v:line>
        </w:pict>
      </w:r>
      <w:r>
        <w:pict>
          <v:line id="_x0000_s2203" o:spid="_x0000_s2203" o:spt="20" style="position:absolute;left:0pt;margin-left:681.5pt;margin-top:15.3pt;height:21.15pt;width:0pt;z-index:251732992;mso-width-relative:page;mso-height-relative:page;" coordsize="21600,21600">
            <v:path arrowok="t"/>
            <v:fill focussize="0,0"/>
            <v:stroke/>
            <v:imagedata o:title=""/>
            <o:lock v:ext="edit"/>
          </v:line>
        </w:pict>
      </w:r>
      <w:r>
        <w:pict>
          <v:line id="直线 401" o:spid="_x0000_s2153" o:spt="20" style="position:absolute;left:0pt;margin-left:216.75pt;margin-top:12.35pt;height:21.15pt;width:0pt;z-index:251681792;mso-width-relative:page;mso-height-relative:page;" coordsize="21600,21600">
            <v:path arrowok="t"/>
            <v:fill focussize="0,0"/>
            <v:stroke/>
            <v:imagedata o:title=""/>
            <o:lock v:ext="edit"/>
          </v:line>
        </w:pict>
      </w:r>
      <w:r>
        <w:pict>
          <v:line id="直线 425" o:spid="_x0000_s2159" o:spt="20" style="position:absolute;left:0pt;margin-left:405.2pt;margin-top:8.9pt;height:15.65pt;width:0pt;z-index:251687936;mso-width-relative:page;mso-height-relative:page;" coordsize="21600,21600">
            <v:path arrowok="t"/>
            <v:fill focussize="0,0"/>
            <v:stroke/>
            <v:imagedata o:title=""/>
            <o:lock v:ext="edit"/>
          </v:line>
        </w:pict>
      </w:r>
      <w:r>
        <w:pict>
          <v:shape id="自选图形 484" o:spid="_x0000_s2208" o:spt="32" type="#_x0000_t32" style="position:absolute;left:0pt;margin-left:780.2pt;margin-top:8.35pt;height:149.8pt;width:0pt;z-index:251738112;mso-width-relative:page;mso-height-relative:page;" o:connectortype="straight" filled="f" coordsize="21600,21600">
            <v:path arrowok="t"/>
            <v:fill on="f" focussize="0,0"/>
            <v:stroke/>
            <v:imagedata o:title=""/>
            <o:lock v:ext="edit"/>
          </v:shape>
        </w:pict>
      </w:r>
      <w:r>
        <w:pict>
          <v:line id="直线 381" o:spid="_x0000_s2185" o:spt="20" style="position:absolute;left:0pt;margin-left:320.45pt;margin-top:8.95pt;height:26.8pt;width:0pt;z-index:251714560;mso-width-relative:page;mso-height-relative:page;" coordsize="21600,21600">
            <v:path arrowok="t"/>
            <v:fill focussize="0,0"/>
            <v:stroke/>
            <v:imagedata o:title=""/>
            <o:lock v:ext="edit"/>
          </v:line>
        </w:pict>
      </w:r>
      <w:r>
        <w:pict>
          <v:line id="直线 394" o:spid="_x0000_s2152" o:spt="20" style="position:absolute;left:0pt;flip:x;margin-left:355.7pt;margin-top:8.95pt;height:26.2pt;width:0.2pt;z-index:251680768;mso-width-relative:page;mso-height-relative:page;" coordsize="21600,21600">
            <v:path arrowok="t"/>
            <v:fill focussize="0,0"/>
            <v:stroke/>
            <v:imagedata o:title=""/>
            <o:lock v:ext="edit"/>
          </v:line>
        </w:pict>
      </w:r>
      <w:r>
        <w:pict>
          <v:shape id="自选图形 444" o:spid="_x0000_s2168" o:spt="32" type="#_x0000_t32" style="position:absolute;left:0pt;margin-left:157.7pt;margin-top:5.25pt;height:27.6pt;width:0.05pt;z-index:251697152;mso-width-relative:page;mso-height-relative:page;" o:connectortype="straight" filled="f" coordsize="21600,21600">
            <v:path arrowok="t"/>
            <v:fill on="f" focussize="0,0"/>
            <v:stroke/>
            <v:imagedata o:title=""/>
            <o:lock v:ext="edit"/>
          </v:shape>
        </w:pict>
      </w:r>
      <w:r>
        <w:pict>
          <v:shape id="自选图形 473" o:spid="_x0000_s2197" o:spt="32" type="#_x0000_t32" style="position:absolute;left:0pt;margin-left:603.95pt;margin-top:8.3pt;height:0.05pt;width:176.25pt;z-index:251726848;mso-width-relative:page;mso-height-relative:page;" o:connectortype="straight" filled="f" coordsize="21600,21600">
            <v:path arrowok="t"/>
            <v:fill on="f" focussize="0,0"/>
            <v:stroke/>
            <v:imagedata o:title=""/>
            <o:lock v:ext="edit"/>
          </v:shape>
        </w:pict>
      </w:r>
      <w:r>
        <w:pict>
          <v:shape id="自选图形 451" o:spid="_x0000_s2175" o:spt="32" type="#_x0000_t32" style="position:absolute;left:0pt;margin-left:11.4pt;margin-top:6.65pt;height:27pt;width:0.05pt;z-index:251704320;mso-width-relative:page;mso-height-relative:page;" o:connectortype="straight" filled="f" coordsize="21600,21600">
            <v:path arrowok="t"/>
            <v:fill on="f" focussize="0,0"/>
            <v:stroke/>
            <v:imagedata o:title=""/>
            <o:lock v:ext="edit"/>
          </v:shape>
        </w:pict>
      </w:r>
      <w:r>
        <w:pict>
          <v:shape id="自选图形 454" o:spid="_x0000_s2178" o:spt="32" type="#_x0000_t32" style="position:absolute;left:0pt;margin-left:105.85pt;margin-top:4.4pt;height:147.15pt;width:0.05pt;z-index:251707392;mso-width-relative:page;mso-height-relative:page;" o:connectortype="straight" filled="f" coordsize="21600,21600">
            <v:path arrowok="t"/>
            <v:fill on="f" focussize="0,0"/>
            <v:stroke/>
            <v:imagedata o:title=""/>
            <o:lock v:ext="edit"/>
          </v:shape>
        </w:pict>
      </w:r>
      <w:r>
        <w:pict>
          <v:line id="直线 388" o:spid="_x0000_s2151" o:spt="20" style="position:absolute;left:0pt;margin-left:11.45pt;margin-top:4.4pt;height:0.15pt;width:94.5pt;z-index:251679744;mso-width-relative:page;mso-height-relative:page;" coordsize="21600,21600">
            <v:path arrowok="t"/>
            <v:fill focussize="0,0"/>
            <v:stroke/>
            <v:imagedata o:title=""/>
            <o:lock v:ext="edit"/>
          </v:line>
        </w:pict>
      </w:r>
      <w:r>
        <w:pict>
          <v:line id="直线 361" o:spid="_x0000_s2145" o:spt="20" style="position:absolute;left:0pt;margin-left:48.2pt;margin-top:4.4pt;height:27.45pt;width:0pt;z-index:251673600;mso-width-relative:page;mso-height-relative:page;" coordsize="21600,21600">
            <v:path arrowok="t"/>
            <v:fill focussize="0,0"/>
            <v:stroke/>
            <v:imagedata o:title=""/>
            <o:lock v:ext="edit"/>
          </v:line>
        </w:pict>
      </w:r>
      <w:r>
        <w:pict>
          <v:shape id="自选图形 478" o:spid="_x0000_s2202" o:spt="32" type="#_x0000_t32" style="position:absolute;left:0pt;margin-left:83.25pt;margin-top:7.05pt;height:24.8pt;width:0pt;z-index:251731968;mso-width-relative:page;mso-height-relative:page;" o:connectortype="straight" filled="f" coordsize="21600,21600">
            <v:path arrowok="t"/>
            <v:fill on="f" focussize="0,0"/>
            <v:stroke/>
            <v:imagedata o:title=""/>
            <o:lock v:ext="edit"/>
          </v:shape>
        </w:pict>
      </w:r>
      <w:r>
        <w:pict>
          <v:line id="直线 354" o:spid="_x0000_s2144" o:spt="20" style="position:absolute;left:0pt;margin-left:157.8pt;margin-top:4.55pt;height:0pt;width:107.1pt;z-index:251672576;mso-width-relative:page;mso-height-relative:page;" coordsize="21600,21600">
            <v:path arrowok="t"/>
            <v:fill focussize="0,0"/>
            <v:stroke/>
            <v:imagedata o:title=""/>
            <o:lock v:ext="edit"/>
          </v:line>
        </w:pict>
      </w:r>
      <w:r>
        <w:pict>
          <v:line id="直线 385" o:spid="_x0000_s2150" o:spt="20" style="position:absolute;left:0pt;margin-left:235.95pt;margin-top:5.15pt;height:148.65pt;width:0pt;z-index:251678720;mso-width-relative:page;mso-height-relative:page;" coordsize="21600,21600">
            <v:path arrowok="t"/>
            <v:fill focussize="0,0"/>
            <v:stroke/>
            <v:imagedata o:title=""/>
            <o:lock v:ext="edit"/>
          </v:line>
        </w:pict>
      </w:r>
      <w:r>
        <w:pict>
          <v:line id="直线 452" o:spid="_x0000_s2173" o:spt="20" style="position:absolute;left:0pt;margin-left:201.95pt;margin-top:4.55pt;height:147.65pt;width:0pt;z-index:251702272;mso-width-relative:page;mso-height-relative:page;" coordsize="21600,21600">
            <v:path arrowok="t"/>
            <v:fill focussize="0,0"/>
            <v:stroke/>
            <v:imagedata o:title=""/>
            <o:lock v:ext="edit"/>
          </v:line>
        </w:pict>
      </w:r>
      <w:r>
        <w:pict>
          <v:line id="直线 457" o:spid="_x0000_s2165" o:spt="20" style="position:absolute;left:0pt;margin-left:264.95pt;margin-top:5.95pt;height:148.6pt;width:0pt;z-index:251694080;mso-width-relative:page;mso-height-relative:page;" coordsize="21600,21600">
            <v:path arrowok="t"/>
            <v:fill focussize="0,0"/>
            <v:stroke/>
            <v:imagedata o:title=""/>
            <o:lock v:ext="edit"/>
          </v:line>
        </w:pict>
      </w:r>
      <w:r>
        <w:pict>
          <v:shape id="自选图形 482" o:spid="_x0000_s2206" o:spt="32" type="#_x0000_t32" style="position:absolute;left:0pt;margin-left:512.4pt;margin-top:7.05pt;height:149.3pt;width:0.05pt;z-index:251736064;mso-width-relative:page;mso-height-relative:page;" o:connectortype="straight" filled="f" coordsize="21600,21600">
            <v:path arrowok="t"/>
            <v:fill on="f" focussize="0,0"/>
            <v:stroke/>
            <v:imagedata o:title=""/>
            <o:lock v:ext="edit"/>
          </v:shape>
        </w:pict>
      </w:r>
      <w:r>
        <w:pict>
          <v:shape id="自选图形 481" o:spid="_x0000_s2205" o:spt="32" type="#_x0000_t32" style="position:absolute;left:0pt;margin-left:480.15pt;margin-top:6.65pt;height:149.3pt;width:0.05pt;z-index:251735040;mso-width-relative:page;mso-height-relative:page;" o:connectortype="straight" filled="f" coordsize="21600,21600">
            <v:path arrowok="t"/>
            <v:fill on="f" focussize="0,0"/>
            <v:stroke/>
            <v:imagedata o:title=""/>
            <o:lock v:ext="edit"/>
          </v:shape>
        </w:pict>
      </w:r>
      <w:r>
        <w:pict>
          <v:line id="直线 426" o:spid="_x0000_s2160" o:spt="20" style="position:absolute;left:0pt;margin-left:285.15pt;margin-top:7.15pt;height:0pt;width:255.85pt;z-index:251688960;mso-width-relative:page;mso-height-relative:page;" coordsize="21600,21600">
            <v:path arrowok="t"/>
            <v:fill focussize="0,0"/>
            <v:stroke/>
            <v:imagedata o:title=""/>
            <o:lock v:ext="edit"/>
          </v:line>
        </w:pict>
      </w:r>
      <w:r>
        <w:pict>
          <v:shape id="_x0000_s2177" o:spid="_x0000_s2177" o:spt="32" type="#_x0000_t32" style="position:absolute;left:0pt;margin-left:441.65pt;margin-top:8.1pt;height:149.3pt;width:0.05pt;z-index:251706368;mso-width-relative:page;mso-height-relative:page;" o:connectortype="straight" filled="f" coordsize="21600,21600">
            <v:path arrowok="t"/>
            <v:fill on="f" focussize="0,0"/>
            <v:stroke/>
            <v:imagedata o:title=""/>
            <o:lock v:ext="edit"/>
          </v:shape>
        </w:pict>
      </w:r>
      <w:r>
        <w:pict>
          <v:shape id="自选图形 474" o:spid="_x0000_s2198" o:spt="32" type="#_x0000_t32" style="position:absolute;left:0pt;margin-left:405.2pt;margin-top:8.85pt;height:146.25pt;width:0pt;z-index:251727872;mso-width-relative:page;mso-height-relative:page;" o:connectortype="straight" filled="f" coordsize="21600,21600">
            <v:path arrowok="t"/>
            <v:fill on="f" focussize="0,0"/>
            <v:stroke/>
            <v:imagedata o:title=""/>
            <o:lock v:ext="edit"/>
          </v:shape>
        </w:pict>
      </w:r>
      <w:r>
        <w:pict>
          <v:shape id="自选图形 460" o:spid="_x0000_s2184" o:spt="32" type="#_x0000_t32" style="position:absolute;left:0pt;margin-left:378.2pt;margin-top:10.05pt;height:148.8pt;width:0pt;z-index:251713536;mso-width-relative:page;mso-height-relative:page;" o:connectortype="straight" filled="f" coordsize="21600,21600">
            <v:path arrowok="t"/>
            <v:fill on="f" focussize="0,0"/>
            <v:stroke/>
            <v:imagedata o:title=""/>
            <o:lock v:ext="edit"/>
          </v:shape>
        </w:pict>
      </w:r>
      <w:r>
        <w:pict>
          <v:shape id="自选图形 457" o:spid="_x0000_s2181" o:spt="32" type="#_x0000_t32" style="position:absolute;left:0pt;margin-left:540.95pt;margin-top:7.55pt;height:152pt;width:0.05pt;z-index:251710464;mso-width-relative:page;mso-height-relative:page;" o:connectortype="straight" filled="f" coordsize="21600,21600">
            <v:path arrowok="t"/>
            <v:fill on="f" focussize="0,0"/>
            <v:stroke/>
            <v:imagedata o:title=""/>
            <o:lock v:ext="edit"/>
          </v:shape>
        </w:pict>
      </w:r>
      <w:r>
        <w:pict>
          <v:line id="直线 377" o:spid="_x0000_s2166" o:spt="20" style="position:absolute;left:0pt;margin-left:285.2pt;margin-top:8.05pt;height:24.8pt;width:0pt;z-index:251695104;mso-width-relative:page;mso-height-relative:page;" coordsize="21600,21600">
            <v:path arrowok="t"/>
            <v:fill focussize="0,0"/>
            <v:stroke/>
            <v:imagedata o:title=""/>
            <o:lock v:ext="edit"/>
          </v:line>
        </w:pict>
      </w:r>
      <w:r>
        <w:pict>
          <v:line id="直线 427" o:spid="_x0000_s2161" o:spt="20" style="position:absolute;left:0pt;margin-left:603.95pt;margin-top:8.85pt;height:23.3pt;width:0pt;z-index:251689984;mso-width-relative:page;mso-height-relative:page;" coordsize="21600,21600">
            <v:path arrowok="t"/>
            <v:fill focussize="0,0"/>
            <v:stroke/>
            <v:imagedata o:title=""/>
            <o:lock v:ext="edit"/>
          </v:line>
        </w:pict>
      </w:r>
      <w:r>
        <w:pict>
          <v:shape id="自选图形 471" o:spid="_x0000_s2195" o:spt="32" type="#_x0000_t32" style="position:absolute;left:0pt;margin-left:643.95pt;margin-top:10.3pt;height:21.85pt;width:0pt;z-index:251724800;mso-width-relative:page;mso-height-relative:page;" o:connectortype="straight" filled="f" coordsize="21600,21600">
            <v:path arrowok="t"/>
            <v:fill on="f" focussize="0,0"/>
            <v:stroke/>
            <v:imagedata o:title=""/>
            <o:lock v:ext="edit"/>
          </v:shape>
        </w:pict>
      </w:r>
      <w:r>
        <w:pict>
          <v:shape id="自选图形 472" o:spid="_x0000_s2196" o:spt="32" type="#_x0000_t32" style="position:absolute;left:0pt;margin-left:681.45pt;margin-top:8.3pt;height:20.35pt;width:0.05pt;z-index:251725824;mso-width-relative:page;mso-height-relative:page;" o:connectortype="straight" filled="f" coordsize="21600,21600">
            <v:path arrowok="t"/>
            <v:fill on="f" focussize="0,0"/>
            <v:stroke/>
            <v:imagedata o:title=""/>
            <o:lock v:ext="edit"/>
          </v:shape>
        </w:pict>
      </w:r>
      <w:r>
        <w:pict>
          <v:line id="直线 433" o:spid="_x0000_s2171" o:spt="20" style="position:absolute;left:0pt;margin-left:708.95pt;margin-top:9.55pt;height:144.25pt;width:0pt;z-index:251700224;mso-width-relative:page;mso-height-relative:page;" coordsize="21600,21600">
            <v:path arrowok="t"/>
            <v:fill focussize="0,0"/>
            <v:stroke/>
            <v:imagedata o:title=""/>
            <o:lock v:ext="edit"/>
          </v:line>
        </w:pict>
      </w:r>
      <w:r>
        <w:pict>
          <v:shape id="自选图形 475" o:spid="_x0000_s2199" o:spt="32" type="#_x0000_t32" style="position:absolute;left:0pt;margin-left:742.7pt;margin-top:8.3pt;height:145.5pt;width:0pt;z-index:251728896;mso-width-relative:page;mso-height-relative:page;" o:connectortype="straight" filled="f" coordsize="21600,21600">
            <v:path arrowok="t"/>
            <v:fill on="f" focussize="0,0"/>
            <v:stroke/>
            <v:imagedata o:title=""/>
            <o:lock v:ext="edit"/>
          </v:shape>
        </w:pict>
      </w:r>
    </w:p>
    <w:p w14:paraId="5CEA2481">
      <w:r>
        <w:pict>
          <v:shape id="_x0000_s2180" o:spid="_x0000_s2180" o:spt="176" type="#_x0000_t176" style="position:absolute;left:0pt;margin-left:666.95pt;margin-top:15.15pt;height:70.2pt;width:29.75pt;z-index:251709440;mso-width-relative:page;mso-height-relative:page;" fillcolor="#EAEAEA" filled="t" coordsize="21600,21600">
            <v:path/>
            <v:fill on="t" focussize="0,0"/>
            <v:stroke weight="1pt" joinstyle="miter"/>
            <v:imagedata o:title=""/>
            <o:lock v:ext="edit"/>
            <v:textbox style="layout-flow:vertical-ideographic;">
              <w:txbxContent>
                <w:p w14:paraId="3D042D49">
                  <w:pPr>
                    <w:spacing w:line="280" w:lineRule="exact"/>
                    <w:jc w:val="center"/>
                    <w:rPr>
                      <w:rFonts w:ascii="仿宋_GB2312"/>
                      <w:b/>
                      <w:sz w:val="30"/>
                      <w:szCs w:val="30"/>
                    </w:rPr>
                  </w:pPr>
                  <w:r>
                    <w:rPr>
                      <w:rFonts w:hint="eastAsia" w:ascii="仿宋_GB2312"/>
                      <w:b/>
                      <w:sz w:val="30"/>
                      <w:szCs w:val="30"/>
                    </w:rPr>
                    <w:t>规培办</w:t>
                  </w:r>
                </w:p>
              </w:txbxContent>
            </v:textbox>
          </v:shape>
        </w:pict>
      </w:r>
    </w:p>
    <w:p w14:paraId="6D49B5F1">
      <w:r>
        <w:pict>
          <v:shape id="自选图形 350" o:spid="_x0000_s2142" o:spt="176" type="#_x0000_t176" style="position:absolute;left:0pt;margin-left:325.85pt;margin-top:7.15pt;height:70.2pt;width:30.05pt;z-index:251670528;mso-width-relative:page;mso-height-relative:page;" fillcolor="#EAEAEA" filled="t" coordsize="21600,21600">
            <v:path/>
            <v:fill on="t" focussize="0,0"/>
            <v:stroke weight="1pt" joinstyle="miter"/>
            <v:imagedata o:title=""/>
            <o:lock v:ext="edit"/>
            <v:textbox style="layout-flow:vertical-ideographic;">
              <w:txbxContent>
                <w:p w14:paraId="6A92BE40">
                  <w:pPr>
                    <w:spacing w:line="280" w:lineRule="exact"/>
                    <w:jc w:val="center"/>
                    <w:rPr>
                      <w:rFonts w:ascii="仿宋_GB2312" w:hAnsi="宋体"/>
                      <w:b/>
                      <w:sz w:val="30"/>
                      <w:szCs w:val="30"/>
                    </w:rPr>
                  </w:pPr>
                  <w:r>
                    <w:rPr>
                      <w:rFonts w:hint="eastAsia" w:ascii="仿宋_GB2312" w:hAnsi="宋体"/>
                      <w:b/>
                      <w:sz w:val="30"/>
                      <w:szCs w:val="30"/>
                    </w:rPr>
                    <w:t>财务科</w:t>
                  </w:r>
                </w:p>
              </w:txbxContent>
            </v:textbox>
          </v:shape>
        </w:pict>
      </w:r>
      <w:r>
        <w:pict>
          <v:shape id="自选图形 347" o:spid="_x0000_s2141" o:spt="176" type="#_x0000_t176" style="position:absolute;left:0pt;margin-left:-2.8pt;margin-top:3.95pt;height:66.05pt;width:29.75pt;z-index:251669504;mso-width-relative:page;mso-height-relative:page;" fillcolor="#EAEAEA" filled="t" coordsize="21600,21600">
            <v:path/>
            <v:fill on="t" focussize="0,0"/>
            <v:stroke weight="1pt" joinstyle="miter"/>
            <v:imagedata o:title=""/>
            <o:lock v:ext="edit"/>
            <v:textbox style="layout-flow:vertical-ideographic;">
              <w:txbxContent>
                <w:p w14:paraId="112A8EC8">
                  <w:pPr>
                    <w:spacing w:line="280" w:lineRule="exact"/>
                    <w:jc w:val="center"/>
                    <w:rPr>
                      <w:rFonts w:ascii="仿宋_GB2312"/>
                      <w:b/>
                      <w:sz w:val="30"/>
                      <w:szCs w:val="30"/>
                    </w:rPr>
                  </w:pPr>
                  <w:r>
                    <w:rPr>
                      <w:rFonts w:hint="eastAsia" w:ascii="仿宋_GB2312"/>
                      <w:b/>
                      <w:sz w:val="30"/>
                      <w:szCs w:val="30"/>
                    </w:rPr>
                    <w:t>院 办</w:t>
                  </w:r>
                </w:p>
              </w:txbxContent>
            </v:textbox>
          </v:shape>
        </w:pict>
      </w:r>
      <w:r>
        <w:pict>
          <v:shape id="自选图形 420" o:spid="_x0000_s2156" o:spt="176" type="#_x0000_t176" style="position:absolute;left:0pt;margin-left:32.45pt;margin-top:0.95pt;height:70.2pt;width:29.75pt;z-index:251684864;mso-width-relative:page;mso-height-relative:page;" fillcolor="#EAEAEA" filled="t" coordsize="21600,21600">
            <v:path/>
            <v:fill on="t" focussize="0,0"/>
            <v:stroke weight="1pt" joinstyle="miter"/>
            <v:imagedata o:title=""/>
            <o:lock v:ext="edit"/>
            <v:textbox style="layout-flow:vertical-ideographic;">
              <w:txbxContent>
                <w:p w14:paraId="0406E60E">
                  <w:pPr>
                    <w:spacing w:line="280" w:lineRule="exact"/>
                    <w:jc w:val="center"/>
                    <w:rPr>
                      <w:rFonts w:ascii="仿宋_GB2312"/>
                      <w:b/>
                      <w:sz w:val="30"/>
                      <w:szCs w:val="30"/>
                    </w:rPr>
                  </w:pPr>
                  <w:r>
                    <w:rPr>
                      <w:rFonts w:hint="eastAsia" w:ascii="仿宋_GB2312"/>
                      <w:b/>
                      <w:sz w:val="30"/>
                      <w:szCs w:val="30"/>
                    </w:rPr>
                    <w:t>绩改办</w:t>
                  </w:r>
                </w:p>
              </w:txbxContent>
            </v:textbox>
          </v:shape>
        </w:pict>
      </w:r>
      <w:r>
        <w:pict>
          <v:shape id="_x0000_s2183" o:spid="_x0000_s2183" o:spt="176" type="#_x0000_t176" style="position:absolute;left:0pt;margin-left:69pt;margin-top:1.65pt;height:70.2pt;width:30.05pt;z-index:251712512;mso-width-relative:page;mso-height-relative:page;" fillcolor="#EAEAEA" filled="t" coordsize="21600,21600">
            <v:path/>
            <v:fill on="t" focussize="0,0"/>
            <v:stroke weight="1pt" joinstyle="miter"/>
            <v:imagedata o:title=""/>
            <o:lock v:ext="edit"/>
            <v:textbox style="layout-flow:vertical-ideographic;">
              <w:txbxContent>
                <w:p w14:paraId="6233D9BB">
                  <w:pPr>
                    <w:spacing w:line="280" w:lineRule="exact"/>
                    <w:jc w:val="center"/>
                    <w:rPr>
                      <w:rFonts w:ascii="仿宋_GB2312" w:hAnsi="宋体"/>
                      <w:b/>
                      <w:sz w:val="30"/>
                      <w:szCs w:val="30"/>
                    </w:rPr>
                  </w:pPr>
                  <w:r>
                    <w:rPr>
                      <w:rFonts w:hint="eastAsia" w:ascii="仿宋_GB2312" w:hAnsi="宋体"/>
                      <w:b/>
                      <w:sz w:val="30"/>
                      <w:szCs w:val="30"/>
                    </w:rPr>
                    <w:t>运营办</w:t>
                  </w:r>
                </w:p>
              </w:txbxContent>
            </v:textbox>
          </v:shape>
        </w:pict>
      </w:r>
      <w:r>
        <w:pict>
          <v:shape id="自选图形 353" o:spid="_x0000_s2167" o:spt="176" type="#_x0000_t176" style="position:absolute;left:0pt;margin-left:140.5pt;margin-top:1.65pt;height:70.2pt;width:31.5pt;z-index:251696128;mso-width-relative:page;mso-height-relative:page;" fillcolor="#EAEAEA" filled="t" coordsize="21600,21600">
            <v:path/>
            <v:fill on="t" focussize="0,0"/>
            <v:stroke weight="1pt" joinstyle="miter"/>
            <v:imagedata o:title=""/>
            <o:lock v:ext="edit"/>
            <v:textbox style="layout-flow:vertical-ideographic;">
              <w:txbxContent>
                <w:p w14:paraId="1D4EE3A0">
                  <w:pPr>
                    <w:spacing w:line="280" w:lineRule="exact"/>
                    <w:jc w:val="center"/>
                    <w:rPr>
                      <w:rFonts w:ascii="仿宋_GB2312"/>
                      <w:b/>
                      <w:sz w:val="30"/>
                      <w:szCs w:val="30"/>
                    </w:rPr>
                  </w:pPr>
                  <w:r>
                    <w:rPr>
                      <w:rFonts w:hint="eastAsia" w:ascii="仿宋_GB2312"/>
                      <w:b/>
                      <w:sz w:val="30"/>
                      <w:szCs w:val="30"/>
                    </w:rPr>
                    <w:t>质保部</w:t>
                  </w:r>
                </w:p>
              </w:txbxContent>
            </v:textbox>
          </v:shape>
        </w:pict>
      </w:r>
      <w:r>
        <w:pict>
          <v:shape id="_x0000_s2186" o:spid="_x0000_s2186" o:spt="176" type="#_x0000_t176" style="position:absolute;left:0pt;margin-left:340.7pt;margin-top:3.3pt;height:114.6pt;width:29pt;z-index:251715584;mso-width-relative:page;mso-height-relative:page;" fillcolor="#EAEAEA" filled="t" coordsize="21600,21600">
            <v:path/>
            <v:fill on="t" focussize="0,0"/>
            <v:stroke weight="1pt" joinstyle="miter"/>
            <v:imagedata o:title=""/>
            <o:lock v:ext="edit"/>
            <v:textbox style="layout-flow:vertical-ideographic;">
              <w:txbxContent>
                <w:p w14:paraId="0A0C3666">
                  <w:pPr>
                    <w:spacing w:line="280" w:lineRule="exact"/>
                    <w:jc w:val="center"/>
                    <w:rPr>
                      <w:rFonts w:ascii="仿宋_GB2312"/>
                      <w:b/>
                      <w:sz w:val="30"/>
                      <w:szCs w:val="30"/>
                    </w:rPr>
                  </w:pPr>
                  <w:r>
                    <w:rPr>
                      <w:rFonts w:hint="eastAsia" w:ascii="仿宋_GB2312"/>
                      <w:b/>
                      <w:sz w:val="30"/>
                      <w:szCs w:val="30"/>
                    </w:rPr>
                    <w:t>医共体办公室</w:t>
                  </w:r>
                </w:p>
              </w:txbxContent>
            </v:textbox>
          </v:shape>
        </w:pict>
      </w:r>
      <w:r>
        <w:pict>
          <v:shape id="自选图形 428" o:spid="_x0000_s2162" o:spt="176" type="#_x0000_t176" style="position:absolute;left:0pt;margin-left:306.1pt;margin-top:3.95pt;height:70.2pt;width:29.75pt;z-index:251691008;mso-width-relative:page;mso-height-relative:page;" fillcolor="#EAEAEA" filled="t" coordsize="21600,21600">
            <v:path/>
            <v:fill on="t" focussize="0,0"/>
            <v:stroke weight="1pt" joinstyle="miter"/>
            <v:imagedata o:title=""/>
            <o:lock v:ext="edit"/>
            <v:textbox style="layout-flow:vertical-ideographic;">
              <w:txbxContent>
                <w:p w14:paraId="7CE04215">
                  <w:pPr>
                    <w:spacing w:line="280" w:lineRule="exact"/>
                    <w:jc w:val="center"/>
                    <w:rPr>
                      <w:rFonts w:ascii="仿宋_GB2312"/>
                      <w:b/>
                      <w:sz w:val="30"/>
                      <w:szCs w:val="30"/>
                    </w:rPr>
                  </w:pPr>
                  <w:r>
                    <w:rPr>
                      <w:rFonts w:hint="eastAsia" w:ascii="仿宋_GB2312"/>
                      <w:b/>
                      <w:sz w:val="30"/>
                      <w:szCs w:val="30"/>
                    </w:rPr>
                    <w:t>总务科</w:t>
                  </w:r>
                </w:p>
              </w:txbxContent>
            </v:textbox>
          </v:shape>
        </w:pict>
      </w:r>
      <w:r>
        <w:pict>
          <v:shape id="自选图形 351" o:spid="_x0000_s2143" o:spt="176" type="#_x0000_t176" style="position:absolute;left:0pt;margin-left:588.95pt;margin-top:0.95pt;height:70.2pt;width:29.75pt;z-index:251671552;mso-width-relative:page;mso-height-relative:page;" fillcolor="#EAEAEA" filled="t" coordsize="21600,21600">
            <v:path/>
            <v:fill on="t" focussize="0,0"/>
            <v:stroke weight="1pt" joinstyle="miter"/>
            <v:imagedata o:title=""/>
            <o:lock v:ext="edit"/>
            <v:textbox style="layout-flow:vertical-ideographic;">
              <w:txbxContent>
                <w:p w14:paraId="4F2FB171">
                  <w:pPr>
                    <w:spacing w:line="280" w:lineRule="exact"/>
                    <w:jc w:val="center"/>
                    <w:rPr>
                      <w:rFonts w:ascii="仿宋_GB2312"/>
                      <w:b/>
                      <w:sz w:val="30"/>
                      <w:szCs w:val="30"/>
                    </w:rPr>
                  </w:pPr>
                  <w:r>
                    <w:rPr>
                      <w:rFonts w:hint="eastAsia" w:ascii="仿宋_GB2312"/>
                      <w:b/>
                      <w:sz w:val="30"/>
                      <w:szCs w:val="30"/>
                    </w:rPr>
                    <w:t>医务部</w:t>
                  </w:r>
                </w:p>
              </w:txbxContent>
            </v:textbox>
          </v:shape>
        </w:pict>
      </w:r>
      <w:r>
        <w:pict>
          <v:shape id="_x0000_s2174" o:spid="_x0000_s2174" o:spt="176" type="#_x0000_t176" style="position:absolute;left:0pt;margin-left:628.7pt;margin-top:0.95pt;height:67.15pt;width:29.75pt;z-index:251703296;mso-width-relative:page;mso-height-relative:page;" fillcolor="#EAEAEA" filled="t" coordsize="21600,21600">
            <v:path/>
            <v:fill on="t" focussize="0,0"/>
            <v:stroke weight="1pt" joinstyle="miter"/>
            <v:imagedata o:title=""/>
            <o:lock v:ext="edit"/>
            <v:textbox style="layout-flow:vertical-ideographic;">
              <w:txbxContent>
                <w:p w14:paraId="17ADA7CF">
                  <w:pPr>
                    <w:spacing w:line="280" w:lineRule="exact"/>
                    <w:jc w:val="center"/>
                    <w:rPr>
                      <w:rFonts w:ascii="仿宋_GB2312"/>
                      <w:b/>
                      <w:sz w:val="30"/>
                      <w:szCs w:val="30"/>
                    </w:rPr>
                  </w:pPr>
                  <w:r>
                    <w:rPr>
                      <w:rFonts w:hint="eastAsia" w:ascii="仿宋_GB2312"/>
                      <w:b/>
                      <w:sz w:val="30"/>
                      <w:szCs w:val="30"/>
                    </w:rPr>
                    <w:t>护理部</w:t>
                  </w:r>
                </w:p>
              </w:txbxContent>
            </v:textbox>
          </v:shape>
        </w:pict>
      </w:r>
    </w:p>
    <w:p w14:paraId="18F18DD4"/>
    <w:p w14:paraId="2D4D7A08">
      <w:pPr>
        <w:sectPr>
          <w:pgSz w:w="16838" w:h="11906" w:orient="landscape"/>
          <w:pgMar w:top="737" w:right="851" w:bottom="737" w:left="851" w:header="851" w:footer="907" w:gutter="0"/>
          <w:pgNumType w:fmt="numberInDash"/>
          <w:cols w:space="720" w:num="1"/>
          <w:titlePg/>
          <w:docGrid w:type="linesAndChars" w:linePitch="312" w:charSpace="0"/>
        </w:sectPr>
      </w:pPr>
      <w:r>
        <w:pict>
          <v:shape id="自选图形 470" o:spid="_x0000_s2194" o:spt="32" type="#_x0000_t32" style="position:absolute;left:0pt;flip:x;margin-left:153.25pt;margin-top:10.4pt;height:29.7pt;width:0.05pt;z-index:251723776;mso-width-relative:page;mso-height-relative:page;" o:connectortype="straight" filled="f" coordsize="21600,21600">
            <v:path arrowok="t"/>
            <v:fill on="f" focussize="0,0"/>
            <v:stroke/>
            <v:imagedata o:title=""/>
            <o:lock v:ext="edit"/>
          </v:shape>
        </w:pict>
      </w:r>
      <w:r>
        <w:pict>
          <v:shape id="自选图形 465" o:spid="_x0000_s2189" o:spt="32" type="#_x0000_t32" style="position:absolute;left:0pt;margin-left:607.7pt;margin-top:10.85pt;height:25.3pt;width:0pt;z-index:251718656;mso-width-relative:page;mso-height-relative:page;" o:connectortype="straight" filled="f" coordsize="21600,21600">
            <v:path arrowok="t"/>
            <v:fill on="f" focussize="0,0"/>
            <v:stroke/>
            <v:imagedata o:title=""/>
            <o:lock v:ext="edit"/>
          </v:shape>
        </w:pict>
      </w:r>
      <w:r>
        <w:pict>
          <v:shape id="自选图形 466" o:spid="_x0000_s2190" o:spt="32" type="#_x0000_t32" style="position:absolute;left:0pt;margin-left:576.95pt;margin-top:4.95pt;height:0pt;width:99.75pt;z-index:251719680;mso-width-relative:page;mso-height-relative:page;" o:connectortype="straight" filled="f" coordsize="21600,21600">
            <v:path arrowok="t"/>
            <v:fill on="f" focussize="0,0"/>
            <v:stroke/>
            <v:imagedata o:title=""/>
            <o:lock v:ext="edit"/>
          </v:shape>
        </w:pict>
      </w:r>
      <w:r>
        <w:pict>
          <v:shape id="自选图形 476" o:spid="_x0000_s2200" o:spt="32" type="#_x0000_t32" style="position:absolute;left:0pt;margin-left:134.45pt;margin-top:9.35pt;height:14.95pt;width:0.05pt;z-index:251729920;mso-width-relative:page;mso-height-relative:page;" o:connectortype="straight" filled="f" coordsize="21600,21600">
            <v:path arrowok="t"/>
            <v:fill on="f" focussize="0,0"/>
            <v:stroke/>
            <v:imagedata o:title=""/>
            <o:lock v:ext="edit"/>
          </v:shape>
        </w:pict>
      </w:r>
      <w:r>
        <w:pict>
          <v:shape id="自选图形 463" o:spid="_x0000_s2187" o:spt="32" type="#_x0000_t32" style="position:absolute;left:0pt;margin-left:134.45pt;margin-top:8.9pt;height:0pt;width:37.5pt;z-index:251716608;mso-width-relative:page;mso-height-relative:page;" o:connectortype="straight" filled="f" coordsize="21600,21600">
            <v:path arrowok="t"/>
            <v:fill on="f" focussize="0,0"/>
            <v:stroke/>
            <v:imagedata o:title=""/>
            <o:lock v:ext="edit"/>
          </v:shape>
        </w:pict>
      </w:r>
      <w:r>
        <w:pict>
          <v:shape id="自选图形 477" o:spid="_x0000_s2201" o:spt="32" type="#_x0000_t32" style="position:absolute;left:0pt;margin-left:171.45pt;margin-top:7.75pt;height:19.65pt;width:0pt;z-index:251730944;mso-width-relative:page;mso-height-relative:page;" o:connectortype="straight" filled="f" coordsize="21600,21600">
            <v:path arrowok="t"/>
            <v:fill on="f" focussize="0,0"/>
            <v:stroke/>
            <v:imagedata o:title=""/>
            <o:lock v:ext="edit"/>
          </v:shape>
        </w:pict>
      </w:r>
      <w:r>
        <w:pict>
          <v:shape id="自选图形 468" o:spid="_x0000_s2192" o:spt="32" type="#_x0000_t32" style="position:absolute;left:0pt;margin-left:643.95pt;margin-top:6pt;height:24.5pt;width:0pt;z-index:251721728;mso-width-relative:page;mso-height-relative:page;" o:connectortype="straight" filled="f" coordsize="21600,21600">
            <v:path arrowok="t"/>
            <v:fill on="f" focussize="0,0"/>
            <v:stroke/>
            <v:imagedata o:title=""/>
            <o:lock v:ext="edit"/>
          </v:shape>
        </w:pict>
      </w:r>
      <w:r>
        <w:pict>
          <v:shape id="自选图形 469" o:spid="_x0000_s2193" o:spt="32" type="#_x0000_t32" style="position:absolute;left:0pt;margin-left:676.7pt;margin-top:7.3pt;height:23.25pt;width:0pt;z-index:251722752;mso-width-relative:page;mso-height-relative:page;" o:connectortype="straight" filled="f" coordsize="21600,21600">
            <v:path arrowok="t"/>
            <v:fill on="f" focussize="0,0"/>
            <v:stroke/>
            <v:imagedata o:title=""/>
            <o:lock v:ext="edit"/>
          </v:shape>
        </w:pict>
      </w:r>
      <w:r>
        <w:pict>
          <v:shape id="自选图形 467" o:spid="_x0000_s2191" o:spt="32" type="#_x0000_t32" style="position:absolute;left:0pt;margin-left:607.7pt;margin-top:5.25pt;height:23.75pt;width:0pt;z-index:251720704;mso-width-relative:page;mso-height-relative:page;" o:connectortype="straight" filled="f" coordsize="21600,21600">
            <v:path arrowok="t"/>
            <v:fill on="f" focussize="0,0"/>
            <v:stroke/>
            <v:imagedata o:title=""/>
            <o:lock v:ext="edit"/>
          </v:shape>
        </w:pict>
      </w:r>
      <w:r>
        <w:pict>
          <v:shape id="自选图形 452" o:spid="_x0000_s2176" o:spt="32" type="#_x0000_t32" style="position:absolute;left:0pt;margin-left:576.95pt;margin-top:7.3pt;height:24.05pt;width:0pt;z-index:251705344;mso-width-relative:page;mso-height-relative:page;" o:connectortype="straight" filled="f" coordsize="21600,21600">
            <v:path arrowok="t"/>
            <v:fill on="f" focussize="0,0"/>
            <v:stroke/>
            <v:imagedata o:title=""/>
            <o:lock v:ext="edit"/>
          </v:shape>
        </w:pict>
      </w:r>
      <w:r>
        <w:pict>
          <v:shape id="自选图形 332" o:spid="_x0000_s2133" o:spt="176" type="#_x0000_t176" style="position:absolute;left:0pt;flip:x;margin-left:90.2pt;margin-top:13.9pt;height:60.15pt;width:27pt;z-index:251661312;mso-width-relative:page;mso-height-relative:page;" fillcolor="#EAEAEA" filled="t" coordsize="21600,21600">
            <v:path/>
            <v:fill on="t" focussize="0,0"/>
            <v:stroke weight="1pt" joinstyle="miter"/>
            <v:imagedata o:title=""/>
            <o:lock v:ext="edit"/>
            <v:textbox inset="0mm,1.27mm,0mm,1.27mm" style="layout-flow:vertical-ideographic;">
              <w:txbxContent>
                <w:p w14:paraId="17728FBF">
                  <w:pPr>
                    <w:spacing w:line="440" w:lineRule="exact"/>
                    <w:jc w:val="center"/>
                    <w:rPr>
                      <w:rFonts w:ascii="仿宋_GB2312" w:hAnsi="宋体"/>
                      <w:sz w:val="30"/>
                      <w:szCs w:val="30"/>
                    </w:rPr>
                  </w:pPr>
                  <w:r>
                    <w:rPr>
                      <w:rFonts w:hint="eastAsia" w:ascii="仿宋_GB2312" w:hAnsi="宋体"/>
                      <w:sz w:val="30"/>
                      <w:szCs w:val="30"/>
                    </w:rPr>
                    <w:t>审计科</w:t>
                  </w:r>
                </w:p>
              </w:txbxContent>
            </v:textbox>
          </v:shape>
        </w:pict>
      </w:r>
      <w:r>
        <w:pict>
          <v:shape id="_x0000_s2170" o:spid="_x0000_s2170" o:spt="176" type="#_x0000_t176" style="position:absolute;left:0pt;margin-left:120.95pt;margin-top:8.7pt;height:115.95pt;width:28.5pt;z-index:251699200;mso-width-relative:page;mso-height-relative:page;" fillcolor="#EAEAEA" filled="t" coordsize="21600,21600">
            <v:path/>
            <v:fill on="t" focussize="0,0"/>
            <v:stroke weight="1pt" joinstyle="miter"/>
            <v:imagedata o:title=""/>
            <o:lock v:ext="edit"/>
            <v:textbox style="layout-flow:vertical-ideographic;">
              <w:txbxContent>
                <w:p w14:paraId="44C92AEE">
                  <w:pPr>
                    <w:spacing w:line="280" w:lineRule="exact"/>
                    <w:jc w:val="center"/>
                    <w:rPr>
                      <w:rFonts w:ascii="仿宋_GB2312"/>
                      <w:sz w:val="28"/>
                      <w:szCs w:val="28"/>
                    </w:rPr>
                  </w:pPr>
                  <w:r>
                    <w:rPr>
                      <w:rFonts w:hint="eastAsia" w:ascii="仿宋_GB2312"/>
                      <w:sz w:val="28"/>
                      <w:szCs w:val="28"/>
                    </w:rPr>
                    <w:t>质控科、病案室</w:t>
                  </w:r>
                </w:p>
              </w:txbxContent>
            </v:textbox>
          </v:shape>
        </w:pict>
      </w:r>
      <w:r>
        <w:pict>
          <v:shape id="自选图形 344" o:spid="_x0000_s2138" o:spt="176" type="#_x0000_t176" style="position:absolute;left:0pt;margin-left:157.75pt;margin-top:11.65pt;height:74.65pt;width:26.95pt;z-index:251666432;mso-width-relative:page;mso-height-relative:page;" fillcolor="#EAEAEA" filled="t" coordsize="21600,21600">
            <v:path/>
            <v:fill on="t" focussize="0,0"/>
            <v:stroke weight="1pt" joinstyle="miter"/>
            <v:imagedata o:title=""/>
            <o:lock v:ext="edit"/>
            <v:textbox inset="0mm,1.27mm,0mm,1.27mm" style="layout-flow:vertical-ideographic;">
              <w:txbxContent>
                <w:p w14:paraId="2A24AD42">
                  <w:pPr>
                    <w:spacing w:line="440" w:lineRule="exact"/>
                    <w:jc w:val="center"/>
                    <w:rPr>
                      <w:rFonts w:ascii="仿宋_GB2312"/>
                      <w:sz w:val="30"/>
                      <w:szCs w:val="30"/>
                    </w:rPr>
                  </w:pPr>
                  <w:r>
                    <w:rPr>
                      <w:rFonts w:hint="eastAsia" w:ascii="仿宋_GB2312"/>
                      <w:sz w:val="30"/>
                      <w:szCs w:val="30"/>
                    </w:rPr>
                    <w:t>医保办</w:t>
                  </w:r>
                </w:p>
              </w:txbxContent>
            </v:textbox>
          </v:shape>
        </w:pict>
      </w:r>
      <w:r>
        <w:pict>
          <v:shape id="自选图形 334" o:spid="_x0000_s2134" o:spt="176" type="#_x0000_t176" style="position:absolute;left:0pt;margin-left:189.75pt;margin-top:13.4pt;height:62.4pt;width:27pt;z-index:251662336;mso-width-relative:page;mso-height-relative:page;" fillcolor="#EAEAEA" filled="t" coordsize="21600,21600">
            <v:path/>
            <v:fill on="t" focussize="0,0"/>
            <v:stroke weight="1pt" joinstyle="miter"/>
            <v:imagedata o:title=""/>
            <o:lock v:ext="edit"/>
            <v:textbox inset="0mm,1.27mm,0mm,1.27mm" style="layout-flow:vertical-ideographic;">
              <w:txbxContent>
                <w:p w14:paraId="6EEEF272">
                  <w:pPr>
                    <w:spacing w:line="440" w:lineRule="exact"/>
                    <w:jc w:val="center"/>
                    <w:rPr>
                      <w:rFonts w:ascii="仿宋_GB2312" w:hAnsi="宋体"/>
                      <w:sz w:val="30"/>
                      <w:szCs w:val="30"/>
                    </w:rPr>
                  </w:pPr>
                  <w:r>
                    <w:rPr>
                      <w:rFonts w:hint="eastAsia" w:ascii="仿宋_GB2312" w:hAnsi="宋体"/>
                      <w:sz w:val="30"/>
                      <w:szCs w:val="30"/>
                    </w:rPr>
                    <w:t>人事科</w:t>
                  </w:r>
                </w:p>
              </w:txbxContent>
            </v:textbox>
          </v:shape>
        </w:pict>
      </w:r>
      <w:r>
        <w:pict>
          <v:shape id="自选图形 338" o:spid="_x0000_s2135" o:spt="176" type="#_x0000_t176" style="position:absolute;left:0pt;margin-left:222.2pt;margin-top:13.9pt;height:60.45pt;width:27.25pt;z-index:251663360;mso-width-relative:page;mso-height-relative:page;" fillcolor="#EAEAEA" filled="t" coordsize="21600,21600">
            <v:path/>
            <v:fill on="t" focussize="0,0"/>
            <v:stroke weight="1pt" joinstyle="miter"/>
            <v:imagedata o:title=""/>
            <o:lock v:ext="edit"/>
            <v:textbox inset="0mm,1.27mm,0mm,1.27mm" style="layout-flow:vertical-ideographic;">
              <w:txbxContent>
                <w:p w14:paraId="4152A420">
                  <w:pPr>
                    <w:spacing w:line="440" w:lineRule="exact"/>
                    <w:jc w:val="center"/>
                    <w:rPr>
                      <w:rFonts w:ascii="仿宋_GB2312" w:hAnsi="宋体"/>
                      <w:sz w:val="30"/>
                      <w:szCs w:val="30"/>
                    </w:rPr>
                  </w:pPr>
                  <w:r>
                    <w:rPr>
                      <w:rFonts w:hint="eastAsia" w:ascii="仿宋_GB2312" w:hAnsi="宋体"/>
                      <w:sz w:val="30"/>
                      <w:szCs w:val="30"/>
                    </w:rPr>
                    <w:t>设备科</w:t>
                  </w:r>
                </w:p>
              </w:txbxContent>
            </v:textbox>
          </v:shape>
        </w:pict>
      </w:r>
      <w:r>
        <w:pict>
          <v:shape id="自选图形 345" o:spid="_x0000_s2139" o:spt="176" type="#_x0000_t176" style="position:absolute;left:0pt;margin-left:254.45pt;margin-top:14.15pt;height:66.7pt;width:26.95pt;z-index:251667456;mso-width-relative:page;mso-height-relative:page;" fillcolor="#EAEAEA" filled="t" coordsize="21600,21600">
            <v:path/>
            <v:fill on="t" focussize="0,0"/>
            <v:stroke weight="1pt" joinstyle="miter"/>
            <v:imagedata o:title=""/>
            <o:lock v:ext="edit"/>
            <v:textbox inset="0mm,1.27mm,0mm,1.27mm" style="layout-flow:vertical-ideographic;">
              <w:txbxContent>
                <w:p w14:paraId="05121653">
                  <w:pPr>
                    <w:spacing w:line="440" w:lineRule="exact"/>
                    <w:jc w:val="center"/>
                    <w:rPr>
                      <w:rFonts w:ascii="仿宋_GB2312" w:hAnsi="宋体"/>
                      <w:sz w:val="30"/>
                      <w:szCs w:val="30"/>
                    </w:rPr>
                  </w:pPr>
                  <w:r>
                    <w:rPr>
                      <w:rFonts w:hint="eastAsia" w:ascii="仿宋_GB2312" w:hAnsi="宋体"/>
                      <w:sz w:val="30"/>
                      <w:szCs w:val="30"/>
                    </w:rPr>
                    <w:t>招标办</w:t>
                  </w:r>
                </w:p>
              </w:txbxContent>
            </v:textbox>
          </v:shape>
        </w:pict>
      </w:r>
      <w:r>
        <w:pict>
          <v:shape id="自选图形 414" o:spid="_x0000_s2154" o:spt="176" type="#_x0000_t176" style="position:absolute;left:0pt;margin-left:564.2pt;margin-top:14.95pt;height:62.4pt;width:26.9pt;z-index:251682816;mso-width-relative:page;mso-height-relative:page;" fillcolor="#EAEAEA" filled="t" coordsize="21600,21600">
            <v:path/>
            <v:fill on="t" focussize="0,0"/>
            <v:stroke weight="1pt" joinstyle="miter"/>
            <v:imagedata o:title=""/>
            <o:lock v:ext="edit"/>
            <v:textbox inset="0mm,1.27mm,0mm,1.27mm" style="layout-flow:vertical-ideographic;">
              <w:txbxContent>
                <w:p w14:paraId="3C6BDA0C">
                  <w:pPr>
                    <w:spacing w:line="440" w:lineRule="exact"/>
                    <w:jc w:val="center"/>
                    <w:rPr>
                      <w:rFonts w:ascii="仿宋_GB2312"/>
                      <w:sz w:val="30"/>
                      <w:szCs w:val="30"/>
                    </w:rPr>
                  </w:pPr>
                  <w:r>
                    <w:rPr>
                      <w:rFonts w:hint="eastAsia" w:ascii="仿宋_GB2312"/>
                      <w:sz w:val="30"/>
                      <w:szCs w:val="30"/>
                    </w:rPr>
                    <w:t>医务科</w:t>
                  </w:r>
                </w:p>
              </w:txbxContent>
            </v:textbox>
          </v:shape>
        </w:pict>
      </w:r>
      <w:r>
        <w:pict>
          <v:shape id="_x0000_s2207" o:spid="_x0000_s2207" o:spt="176" type="#_x0000_t176" style="position:absolute;left:0pt;margin-left:766.7pt;margin-top:1.95pt;height:111.8pt;width:29pt;z-index:251737088;mso-width-relative:page;mso-height-relative:page;" fillcolor="#EAEAEA" filled="t" coordsize="21600,21600">
            <v:path/>
            <v:fill on="t" focussize="0,0"/>
            <v:stroke weight="1pt" joinstyle="miter"/>
            <v:imagedata o:title=""/>
            <o:lock v:ext="edit"/>
            <v:textbox style="layout-flow:vertical-ideographic;">
              <w:txbxContent>
                <w:p w14:paraId="60507384">
                  <w:pPr>
                    <w:spacing w:line="280" w:lineRule="exact"/>
                    <w:jc w:val="center"/>
                    <w:rPr>
                      <w:rFonts w:ascii="仿宋_GB2312"/>
                      <w:sz w:val="30"/>
                      <w:szCs w:val="30"/>
                    </w:rPr>
                  </w:pPr>
                  <w:r>
                    <w:rPr>
                      <w:rFonts w:hint="eastAsia" w:ascii="仿宋_GB2312"/>
                      <w:sz w:val="30"/>
                      <w:szCs w:val="30"/>
                    </w:rPr>
                    <w:t>软件开发中心</w:t>
                  </w:r>
                </w:p>
              </w:txbxContent>
            </v:textbox>
          </v:shape>
        </w:pict>
      </w:r>
      <w:r>
        <w:pict>
          <v:shape id="自选图形 364" o:spid="_x0000_s2146" o:spt="176" type="#_x0000_t176" style="position:absolute;left:0pt;margin-left:500.5pt;margin-top:4.3pt;height:70.2pt;width:26.95pt;z-index:251674624;mso-width-relative:page;mso-height-relative:page;" fillcolor="#EAEAEA" filled="t" coordsize="21600,21600">
            <v:path/>
            <v:fill on="t" focussize="0,0"/>
            <v:stroke weight="1pt" joinstyle="miter"/>
            <v:imagedata o:title=""/>
            <o:lock v:ext="edit"/>
            <v:textbox inset="0mm,1.27mm,0mm,1.27mm" style="layout-flow:vertical-ideographic;">
              <w:txbxContent>
                <w:p w14:paraId="5124FB06">
                  <w:pPr>
                    <w:spacing w:line="440" w:lineRule="exact"/>
                    <w:jc w:val="center"/>
                    <w:rPr>
                      <w:rFonts w:ascii="仿宋_GB2312"/>
                      <w:sz w:val="30"/>
                      <w:szCs w:val="30"/>
                    </w:rPr>
                  </w:pPr>
                  <w:r>
                    <w:rPr>
                      <w:rFonts w:hint="eastAsia" w:ascii="仿宋_GB2312"/>
                      <w:sz w:val="30"/>
                      <w:szCs w:val="30"/>
                    </w:rPr>
                    <w:t>门诊部</w:t>
                  </w:r>
                </w:p>
                <w:p w14:paraId="4B7B469D">
                  <w:pPr>
                    <w:rPr>
                      <w:szCs w:val="30"/>
                    </w:rPr>
                  </w:pPr>
                </w:p>
              </w:txbxContent>
            </v:textbox>
          </v:shape>
        </w:pict>
      </w:r>
      <w:r>
        <w:pict>
          <v:shape id="自选图形 341" o:spid="_x0000_s2136" o:spt="176" type="#_x0000_t176" style="position:absolute;left:0pt;margin-left:468.2pt;margin-top:3.55pt;height:95.2pt;width:26.95pt;z-index:251664384;mso-width-relative:page;mso-height-relative:page;" fillcolor="#EAEAEA" filled="t" coordsize="21600,21600">
            <v:path/>
            <v:fill on="t" focussize="0,0"/>
            <v:stroke weight="1pt" joinstyle="miter"/>
            <v:imagedata o:title=""/>
            <o:lock v:ext="edit"/>
            <v:textbox inset="0mm,1.27mm,0mm,1.27mm" style="layout-flow:vertical-ideographic;">
              <w:txbxContent>
                <w:p w14:paraId="40B7D28D">
                  <w:pPr>
                    <w:spacing w:line="440" w:lineRule="exact"/>
                    <w:jc w:val="center"/>
                    <w:rPr>
                      <w:rFonts w:ascii="仿宋_GB2312" w:hAnsi="宋体"/>
                      <w:sz w:val="30"/>
                      <w:szCs w:val="30"/>
                    </w:rPr>
                  </w:pPr>
                  <w:r>
                    <w:rPr>
                      <w:rFonts w:hint="eastAsia" w:ascii="仿宋_GB2312" w:hAnsi="宋体"/>
                      <w:sz w:val="30"/>
                      <w:szCs w:val="30"/>
                    </w:rPr>
                    <w:t>预防保健科</w:t>
                  </w:r>
                </w:p>
              </w:txbxContent>
            </v:textbox>
          </v:shape>
        </w:pict>
      </w:r>
      <w:r>
        <w:pict>
          <v:shape id="_x0000_s2172" o:spid="_x0000_s2172" o:spt="176" type="#_x0000_t176" style="position:absolute;left:0pt;margin-left:431.95pt;margin-top:1.95pt;height:63.3pt;width:28pt;z-index:251701248;mso-width-relative:page;mso-height-relative:page;" fillcolor="#EAEAEA" filled="t" coordsize="21600,21600">
            <v:path/>
            <v:fill on="t" focussize="0,0"/>
            <v:stroke weight="1pt" joinstyle="miter"/>
            <v:imagedata o:title=""/>
            <o:lock v:ext="edit"/>
            <v:textbox inset="0mm,0.5mm,0mm,0.5mm" style="layout-flow:vertical-ideographic;">
              <w:txbxContent>
                <w:p w14:paraId="75CC949F">
                  <w:pPr>
                    <w:spacing w:line="440" w:lineRule="exact"/>
                    <w:jc w:val="center"/>
                    <w:rPr>
                      <w:rFonts w:ascii="仿宋_GB2312" w:hAnsi="宋体"/>
                      <w:sz w:val="30"/>
                      <w:szCs w:val="30"/>
                    </w:rPr>
                  </w:pPr>
                  <w:r>
                    <w:rPr>
                      <w:rFonts w:hint="eastAsia" w:ascii="仿宋_GB2312" w:hAnsi="宋体"/>
                      <w:sz w:val="30"/>
                      <w:szCs w:val="30"/>
                    </w:rPr>
                    <w:t>体检科</w:t>
                  </w:r>
                </w:p>
              </w:txbxContent>
            </v:textbox>
          </v:shape>
        </w:pict>
      </w:r>
      <w:r>
        <w:pict>
          <v:shape id="自选图形 346" o:spid="_x0000_s2140" o:spt="176" type="#_x0000_t176" style="position:absolute;left:0pt;margin-left:396.95pt;margin-top:2.15pt;height:111.6pt;width:26.95pt;z-index:251668480;mso-width-relative:page;mso-height-relative:page;" fillcolor="#EAEAEA" filled="t" coordsize="21600,21600">
            <v:path/>
            <v:fill on="t" focussize="0,0"/>
            <v:stroke weight="1pt" joinstyle="miter"/>
            <v:imagedata o:title=""/>
            <o:lock v:ext="edit"/>
            <v:textbox inset="0mm,0.5mm,0mm,0.5mm" style="layout-flow:vertical-ideographic;">
              <w:txbxContent>
                <w:p w14:paraId="7EC77288">
                  <w:pPr>
                    <w:spacing w:line="440" w:lineRule="exact"/>
                    <w:jc w:val="center"/>
                    <w:rPr>
                      <w:rFonts w:ascii="仿宋_GB2312" w:hAnsi="宋体"/>
                      <w:sz w:val="30"/>
                      <w:szCs w:val="30"/>
                    </w:rPr>
                  </w:pPr>
                  <w:r>
                    <w:rPr>
                      <w:rFonts w:hint="eastAsia" w:ascii="仿宋_GB2312" w:hAnsi="宋体"/>
                      <w:sz w:val="30"/>
                      <w:szCs w:val="30"/>
                    </w:rPr>
                    <w:t>项目管理办公室</w:t>
                  </w:r>
                </w:p>
              </w:txbxContent>
            </v:textbox>
          </v:shape>
        </w:pict>
      </w:r>
      <w:r>
        <w:pict>
          <v:shape id="_x0000_s2204" o:spid="_x0000_s2204" o:spt="176" type="#_x0000_t176" style="position:absolute;left:0pt;margin-left:363.2pt;margin-top:2.85pt;height:73.1pt;width:30pt;z-index:251734016;mso-width-relative:page;mso-height-relative:page;" fillcolor="#EAEAEA" filled="t" coordsize="21600,21600">
            <v:path/>
            <v:fill on="t" focussize="0,0"/>
            <v:stroke weight="1pt" joinstyle="miter"/>
            <v:imagedata o:title=""/>
            <o:lock v:ext="edit"/>
            <v:textbox style="layout-flow:vertical-ideographic;">
              <w:txbxContent>
                <w:p w14:paraId="3EB80936">
                  <w:pPr>
                    <w:spacing w:line="280" w:lineRule="exact"/>
                    <w:jc w:val="center"/>
                    <w:rPr>
                      <w:rFonts w:ascii="仿宋_GB2312"/>
                      <w:sz w:val="30"/>
                      <w:szCs w:val="30"/>
                    </w:rPr>
                  </w:pPr>
                  <w:r>
                    <w:rPr>
                      <w:rFonts w:hint="eastAsia" w:ascii="仿宋_GB2312"/>
                      <w:sz w:val="30"/>
                      <w:szCs w:val="30"/>
                    </w:rPr>
                    <w:t>市场部</w:t>
                  </w:r>
                </w:p>
              </w:txbxContent>
            </v:textbox>
          </v:shape>
        </w:pict>
      </w:r>
      <w:r>
        <w:pict>
          <v:shape id="自选图形 430" o:spid="_x0000_s2163" o:spt="176" type="#_x0000_t176" style="position:absolute;left:0pt;margin-left:531.95pt;margin-top:2.85pt;height:62.4pt;width:26.95pt;z-index:251692032;mso-width-relative:page;mso-height-relative:page;" fillcolor="#EAEAEA" filled="t" coordsize="21600,21600">
            <v:path/>
            <v:fill on="t" focussize="0,0"/>
            <v:stroke weight="1pt" joinstyle="miter"/>
            <v:imagedata o:title=""/>
            <o:lock v:ext="edit"/>
            <v:textbox inset="0mm,1.27mm,0mm,1.27mm" style="layout-flow:vertical-ideographic;">
              <w:txbxContent>
                <w:p w14:paraId="76A56022">
                  <w:pPr>
                    <w:spacing w:line="440" w:lineRule="exact"/>
                    <w:jc w:val="center"/>
                    <w:rPr>
                      <w:rFonts w:ascii="仿宋_GB2312"/>
                      <w:sz w:val="30"/>
                      <w:szCs w:val="30"/>
                    </w:rPr>
                  </w:pPr>
                  <w:r>
                    <w:rPr>
                      <w:rFonts w:hint="eastAsia" w:ascii="仿宋_GB2312"/>
                      <w:sz w:val="30"/>
                      <w:szCs w:val="30"/>
                    </w:rPr>
                    <w:t>保卫科</w:t>
                  </w:r>
                </w:p>
              </w:txbxContent>
            </v:textbox>
          </v:shape>
        </w:pict>
      </w:r>
      <w:r>
        <w:pict>
          <v:shape id="自选图形 331" o:spid="_x0000_s2132" o:spt="176" type="#_x0000_t176" style="position:absolute;left:0pt;margin-left:597.2pt;margin-top:0.35pt;height:62.4pt;width:26.95pt;z-index:251660288;mso-width-relative:page;mso-height-relative:page;" fillcolor="#EAEAEA" filled="t" coordsize="21600,21600">
            <v:path/>
            <v:fill on="t" focussize="0,0"/>
            <v:stroke weight="1pt" joinstyle="miter"/>
            <v:imagedata o:title=""/>
            <o:lock v:ext="edit"/>
            <v:textbox inset="0mm,1.27mm,0mm,1.27mm" style="layout-flow:vertical-ideographic;">
              <w:txbxContent>
                <w:p w14:paraId="49E16ADD">
                  <w:pPr>
                    <w:spacing w:line="440" w:lineRule="exact"/>
                    <w:jc w:val="center"/>
                    <w:rPr>
                      <w:rFonts w:ascii="仿宋_GB2312"/>
                      <w:sz w:val="30"/>
                      <w:szCs w:val="30"/>
                    </w:rPr>
                  </w:pPr>
                  <w:r>
                    <w:rPr>
                      <w:rFonts w:hint="eastAsia" w:ascii="仿宋_GB2312"/>
                      <w:sz w:val="30"/>
                      <w:szCs w:val="30"/>
                    </w:rPr>
                    <w:t>医患办</w:t>
                  </w:r>
                </w:p>
              </w:txbxContent>
            </v:textbox>
          </v:shape>
        </w:pict>
      </w:r>
      <w:r>
        <w:pict>
          <v:shape id="自选图形 416" o:spid="_x0000_s2155" o:spt="176" type="#_x0000_t176" style="position:absolute;left:0pt;margin-left:628.7pt;margin-top:1.95pt;height:62.4pt;width:26.95pt;z-index:251683840;mso-width-relative:page;mso-height-relative:page;" fillcolor="#EAEAEA" filled="t" coordsize="21600,21600">
            <v:path/>
            <v:fill on="t" focussize="0,0"/>
            <v:stroke weight="1pt" joinstyle="miter"/>
            <v:imagedata o:title=""/>
            <o:lock v:ext="edit"/>
            <v:textbox inset="0mm,1.27mm,0mm,1.27mm" style="layout-flow:vertical-ideographic;">
              <w:txbxContent>
                <w:p w14:paraId="50454610">
                  <w:pPr>
                    <w:spacing w:line="440" w:lineRule="exact"/>
                    <w:jc w:val="center"/>
                    <w:rPr>
                      <w:rFonts w:ascii="仿宋_GB2312"/>
                      <w:sz w:val="30"/>
                      <w:szCs w:val="30"/>
                    </w:rPr>
                  </w:pPr>
                  <w:r>
                    <w:rPr>
                      <w:rFonts w:hint="eastAsia" w:ascii="仿宋_GB2312"/>
                      <w:sz w:val="30"/>
                      <w:szCs w:val="30"/>
                    </w:rPr>
                    <w:t>科教科</w:t>
                  </w:r>
                </w:p>
              </w:txbxContent>
            </v:textbox>
          </v:shape>
        </w:pict>
      </w:r>
      <w:r>
        <w:pict>
          <v:shape id="自选图形 342" o:spid="_x0000_s2137" o:spt="176" type="#_x0000_t176" style="position:absolute;left:0pt;margin-left:662.45pt;margin-top:0.35pt;height:70.35pt;width:26.95pt;z-index:251665408;mso-width-relative:page;mso-height-relative:page;" fillcolor="#EAEAEA" filled="t" coordsize="21600,21600">
            <v:path/>
            <v:fill on="t" focussize="0,0"/>
            <v:stroke weight="1pt" joinstyle="miter"/>
            <v:imagedata o:title=""/>
            <o:lock v:ext="edit"/>
            <v:textbox inset="0mm,1.27mm,0mm,1.27mm" style="layout-flow:vertical-ideographic;">
              <w:txbxContent>
                <w:p w14:paraId="00EA14BE">
                  <w:pPr>
                    <w:spacing w:line="440" w:lineRule="exact"/>
                    <w:jc w:val="center"/>
                    <w:rPr>
                      <w:rFonts w:ascii="仿宋_GB2312"/>
                      <w:sz w:val="30"/>
                      <w:szCs w:val="30"/>
                    </w:rPr>
                  </w:pPr>
                  <w:r>
                    <w:rPr>
                      <w:rFonts w:hint="eastAsia" w:ascii="仿宋_GB2312"/>
                      <w:sz w:val="30"/>
                      <w:szCs w:val="30"/>
                    </w:rPr>
                    <w:t>感控科</w:t>
                  </w:r>
                </w:p>
              </w:txbxContent>
            </v:textbox>
          </v:shape>
        </w:pict>
      </w:r>
      <w:r>
        <w:pict>
          <v:shape id="_x0000_s2169" o:spid="_x0000_s2169" o:spt="176" type="#_x0000_t176" style="position:absolute;left:0pt;margin-left:696.7pt;margin-top:1.4pt;height:73.1pt;width:30pt;z-index:251698176;mso-width-relative:page;mso-height-relative:page;" fillcolor="#EAEAEA" filled="t" coordsize="21600,21600">
            <v:path/>
            <v:fill on="t" focussize="0,0"/>
            <v:stroke weight="1pt" joinstyle="miter"/>
            <v:imagedata o:title=""/>
            <o:lock v:ext="edit"/>
            <v:textbox style="layout-flow:vertical-ideographic;">
              <w:txbxContent>
                <w:p w14:paraId="24E49E8C">
                  <w:pPr>
                    <w:spacing w:line="280" w:lineRule="exact"/>
                    <w:jc w:val="center"/>
                    <w:rPr>
                      <w:rFonts w:ascii="仿宋_GB2312"/>
                      <w:sz w:val="30"/>
                      <w:szCs w:val="30"/>
                    </w:rPr>
                  </w:pPr>
                  <w:r>
                    <w:rPr>
                      <w:rFonts w:hint="eastAsia" w:ascii="仿宋_GB2312"/>
                      <w:sz w:val="30"/>
                      <w:szCs w:val="30"/>
                    </w:rPr>
                    <w:t>药学科</w:t>
                  </w:r>
                </w:p>
              </w:txbxContent>
            </v:textbox>
          </v:shape>
        </w:pict>
      </w:r>
      <w:r>
        <w:pict>
          <v:shape id="自选图形 453" o:spid="_x0000_s2164" o:spt="176" type="#_x0000_t176" style="position:absolute;left:0pt;margin-left:733.7pt;margin-top:0.35pt;height:61.4pt;width:29pt;z-index:251693056;mso-width-relative:page;mso-height-relative:page;" fillcolor="#EAEAEA" filled="t" coordsize="21600,21600">
            <v:path/>
            <v:fill on="t" focussize="0,0"/>
            <v:stroke weight="1pt" joinstyle="miter"/>
            <v:imagedata o:title=""/>
            <o:lock v:ext="edit"/>
            <v:textbox style="layout-flow:vertical-ideographic;">
              <w:txbxContent>
                <w:p w14:paraId="2430A436">
                  <w:pPr>
                    <w:spacing w:line="280" w:lineRule="exact"/>
                    <w:jc w:val="center"/>
                    <w:rPr>
                      <w:rFonts w:ascii="仿宋_GB2312"/>
                      <w:sz w:val="30"/>
                      <w:szCs w:val="30"/>
                    </w:rPr>
                  </w:pPr>
                  <w:r>
                    <w:rPr>
                      <w:rFonts w:hint="eastAsia" w:ascii="仿宋_GB2312"/>
                      <w:sz w:val="30"/>
                      <w:szCs w:val="30"/>
                    </w:rPr>
                    <w:t>信息科</w:t>
                  </w:r>
                </w:p>
              </w:txbxContent>
            </v:textbox>
          </v:shape>
        </w:pict>
      </w:r>
    </w:p>
    <w:p w14:paraId="04A27259">
      <w:pPr>
        <w:keepNext w:val="0"/>
        <w:keepLines w:val="0"/>
        <w:pageBreakBefore w:val="0"/>
        <w:widowControl w:val="0"/>
        <w:tabs>
          <w:tab w:val="center" w:pos="4475"/>
        </w:tabs>
        <w:kinsoku/>
        <w:wordWrap/>
        <w:overflowPunct/>
        <w:topLinePunct w:val="0"/>
        <w:autoSpaceDE/>
        <w:bidi w:val="0"/>
        <w:adjustRightInd/>
        <w:snapToGrid/>
        <w:spacing w:line="600" w:lineRule="exact"/>
        <w:ind w:firstLine="640" w:firstLineChars="200"/>
        <w:textAlignment w:val="auto"/>
        <w:rPr>
          <w:rFonts w:ascii="仿宋_GB2312" w:hAnsi="仿宋_GB2312" w:cs="仿宋_GB2312"/>
          <w:szCs w:val="32"/>
        </w:rPr>
      </w:pPr>
      <w:r>
        <w:rPr>
          <w:rFonts w:hint="eastAsia" w:ascii="黑体" w:eastAsia="黑体"/>
          <w:szCs w:val="32"/>
        </w:rPr>
        <w:t>第二部分：</w:t>
      </w:r>
      <w:r>
        <w:rPr>
          <w:rFonts w:hint="eastAsia" w:ascii="黑体" w:hAnsi="宋体" w:eastAsia="黑体"/>
          <w:szCs w:val="32"/>
        </w:rPr>
        <w:t>柳州市柳江区人民医院2025年</w:t>
      </w:r>
      <w:r>
        <w:rPr>
          <w:rFonts w:hint="eastAsia" w:ascii="黑体" w:eastAsia="黑体"/>
          <w:szCs w:val="32"/>
        </w:rPr>
        <w:t>单位预算情况说明</w:t>
      </w:r>
    </w:p>
    <w:p w14:paraId="7E5C77D1">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黑体" w:eastAsia="黑体"/>
          <w:szCs w:val="32"/>
        </w:rPr>
      </w:pPr>
      <w:r>
        <w:rPr>
          <w:rFonts w:hint="eastAsia" w:ascii="黑体" w:eastAsia="黑体"/>
          <w:szCs w:val="32"/>
        </w:rPr>
        <w:t>一、单位预算收支增减变化情况说明</w:t>
      </w:r>
    </w:p>
    <w:p w14:paraId="207713CA">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黑体" w:eastAsia="黑体"/>
          <w:szCs w:val="32"/>
        </w:rPr>
      </w:pPr>
      <w:r>
        <w:rPr>
          <w:rFonts w:hint="eastAsia" w:ascii="仿宋_GB2312" w:hAnsi="宋体"/>
          <w:szCs w:val="32"/>
        </w:rPr>
        <w:t>我单位</w:t>
      </w:r>
      <w:r>
        <w:rPr>
          <w:rFonts w:hint="eastAsia" w:ascii="仿宋_GB2312"/>
          <w:szCs w:val="32"/>
        </w:rPr>
        <w:t>总收入 34216.73万元，总支出 34216.73 万元。总收入较上年增长190.72万元，增长0.56%，主要原因是</w:t>
      </w:r>
      <w:r>
        <w:rPr>
          <w:rFonts w:hint="eastAsia" w:ascii="仿宋_GB2312" w:hAnsi="宋体"/>
          <w:szCs w:val="32"/>
        </w:rPr>
        <w:t>医疗业务收入增长</w:t>
      </w:r>
      <w:r>
        <w:rPr>
          <w:rFonts w:hint="eastAsia" w:ascii="仿宋_GB2312"/>
          <w:szCs w:val="32"/>
        </w:rPr>
        <w:t>。总支出较上年增长0.56%，主要原因是</w:t>
      </w:r>
      <w:r>
        <w:rPr>
          <w:rFonts w:hint="eastAsia" w:ascii="仿宋_GB2312" w:hAnsi="宋体"/>
          <w:szCs w:val="32"/>
        </w:rPr>
        <w:t>医疗业务支出成本增加</w:t>
      </w:r>
      <w:r>
        <w:rPr>
          <w:rFonts w:hint="eastAsia" w:ascii="仿宋_GB2312"/>
          <w:szCs w:val="32"/>
        </w:rPr>
        <w:t>。</w:t>
      </w:r>
    </w:p>
    <w:p w14:paraId="6961855D">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黑体" w:eastAsia="黑体"/>
          <w:szCs w:val="32"/>
        </w:rPr>
      </w:pPr>
      <w:r>
        <w:rPr>
          <w:rFonts w:hint="eastAsia" w:ascii="黑体" w:eastAsia="黑体"/>
          <w:szCs w:val="32"/>
        </w:rPr>
        <w:t>二、单位预算收入总体情况说明</w:t>
      </w:r>
    </w:p>
    <w:p w14:paraId="113FB3A9">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仿宋_GB2312" w:hAnsi="宋体"/>
          <w:szCs w:val="32"/>
        </w:rPr>
      </w:pPr>
      <w:r>
        <w:rPr>
          <w:rFonts w:hint="eastAsia" w:ascii="仿宋_GB2312" w:hAnsi="宋体"/>
          <w:szCs w:val="32"/>
        </w:rPr>
        <w:t>我单位</w:t>
      </w:r>
      <w:r>
        <w:rPr>
          <w:rFonts w:hint="eastAsia" w:ascii="仿宋_GB2312"/>
          <w:szCs w:val="32"/>
        </w:rPr>
        <w:t>总收入 34216.73万元，较上年增长190.72万元，增长0.56 %，主要原因是</w:t>
      </w:r>
      <w:r>
        <w:rPr>
          <w:rFonts w:hint="eastAsia" w:ascii="仿宋_GB2312" w:hAnsi="宋体"/>
          <w:szCs w:val="32"/>
        </w:rPr>
        <w:t>医疗业务收入增长</w:t>
      </w:r>
      <w:r>
        <w:rPr>
          <w:rFonts w:hint="eastAsia" w:ascii="仿宋_GB2312"/>
          <w:szCs w:val="32"/>
        </w:rPr>
        <w:t>。单位收入主要包括：</w:t>
      </w:r>
      <w:r>
        <w:rPr>
          <w:rFonts w:hint="eastAsia" w:ascii="仿宋_GB2312" w:hAnsi="宋体"/>
          <w:szCs w:val="32"/>
        </w:rPr>
        <w:t>事业收入33700万元，占总收入98.49%、一般公共预算拨款506.73万，占总收入1.48%、其他收入10万元，占总收入0.03%。</w:t>
      </w:r>
    </w:p>
    <w:p w14:paraId="2F9871EA">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黑体" w:eastAsia="黑体"/>
          <w:szCs w:val="32"/>
        </w:rPr>
      </w:pPr>
      <w:r>
        <w:rPr>
          <w:rFonts w:hint="eastAsia" w:ascii="黑体" w:eastAsia="黑体"/>
          <w:szCs w:val="32"/>
        </w:rPr>
        <w:t>三、单位预算支出总体情况说明</w:t>
      </w:r>
    </w:p>
    <w:p w14:paraId="230A21A3">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仿宋_GB2312" w:hAnsi="宋体"/>
          <w:szCs w:val="32"/>
        </w:rPr>
      </w:pPr>
      <w:r>
        <w:rPr>
          <w:rFonts w:hint="eastAsia" w:ascii="仿宋_GB2312" w:hAnsi="宋体"/>
          <w:szCs w:val="32"/>
        </w:rPr>
        <w:t>我单位</w:t>
      </w:r>
      <w:r>
        <w:rPr>
          <w:rFonts w:hint="eastAsia" w:ascii="仿宋_GB2312"/>
          <w:szCs w:val="32"/>
        </w:rPr>
        <w:t>总支出34216.73万元，较上年增长190.72万元，增长0.56 %，主要原因是</w:t>
      </w:r>
      <w:r>
        <w:rPr>
          <w:rFonts w:hint="eastAsia" w:ascii="仿宋_GB2312" w:hAnsi="宋体"/>
          <w:szCs w:val="32"/>
        </w:rPr>
        <w:t>医疗业务支出成本增加</w:t>
      </w:r>
      <w:r>
        <w:rPr>
          <w:rFonts w:hint="eastAsia" w:ascii="仿宋_GB2312"/>
          <w:szCs w:val="32"/>
        </w:rPr>
        <w:t>。单位支出主要包括：</w:t>
      </w:r>
      <w:r>
        <w:rPr>
          <w:rFonts w:hint="eastAsia" w:ascii="仿宋_GB2312" w:hAnsi="宋体"/>
          <w:szCs w:val="32"/>
        </w:rPr>
        <w:t>医用材料、药品费及人员工资。其中卫生健康支出33914.52万元，占总支出99.12%、社会保障和就业支出302.21万元，占总支出0.88%．</w:t>
      </w:r>
    </w:p>
    <w:p w14:paraId="5974BBEE">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黑体" w:eastAsia="黑体"/>
          <w:szCs w:val="32"/>
        </w:rPr>
      </w:pPr>
      <w:r>
        <w:rPr>
          <w:rFonts w:hint="eastAsia" w:ascii="黑体" w:eastAsia="黑体"/>
          <w:szCs w:val="32"/>
        </w:rPr>
        <w:t>四、政府性基金预算支出情况说明</w:t>
      </w:r>
    </w:p>
    <w:p w14:paraId="4D75A273">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黑体" w:eastAsia="黑体"/>
          <w:szCs w:val="32"/>
        </w:rPr>
      </w:pPr>
      <w:r>
        <w:rPr>
          <w:rFonts w:hint="eastAsia" w:ascii="仿宋_GB2312"/>
          <w:szCs w:val="32"/>
        </w:rPr>
        <w:t>我单位2025年无政府性基金预算。</w:t>
      </w:r>
    </w:p>
    <w:p w14:paraId="43C6A9D7">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黑体" w:eastAsia="黑体"/>
          <w:szCs w:val="32"/>
          <w:highlight w:val="yellow"/>
        </w:rPr>
      </w:pPr>
      <w:r>
        <w:rPr>
          <w:rFonts w:hint="eastAsia" w:ascii="黑体" w:eastAsia="黑体"/>
          <w:szCs w:val="32"/>
        </w:rPr>
        <w:t>五、国有资本经营预算支出情况说明</w:t>
      </w:r>
    </w:p>
    <w:p w14:paraId="5ECF07A2">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黑体" w:eastAsia="黑体"/>
          <w:szCs w:val="32"/>
        </w:rPr>
      </w:pPr>
      <w:r>
        <w:rPr>
          <w:rFonts w:hint="eastAsia" w:ascii="仿宋_GB2312"/>
          <w:szCs w:val="32"/>
        </w:rPr>
        <w:t>我单位2025年无国有资本经营预算</w:t>
      </w:r>
    </w:p>
    <w:p w14:paraId="5ED543E8">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黑体" w:eastAsia="黑体"/>
          <w:szCs w:val="32"/>
        </w:rPr>
      </w:pPr>
      <w:r>
        <w:rPr>
          <w:rFonts w:hint="eastAsia" w:ascii="黑体" w:eastAsia="黑体"/>
          <w:szCs w:val="32"/>
        </w:rPr>
        <w:t>六、一般公共预算“三公”经费支出情况说明</w:t>
      </w:r>
    </w:p>
    <w:p w14:paraId="58E1411D">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仿宋_GB2312" w:hAnsi="宋体"/>
          <w:szCs w:val="32"/>
        </w:rPr>
      </w:pPr>
      <w:r>
        <w:rPr>
          <w:rFonts w:hint="eastAsia" w:ascii="仿宋_GB2312" w:hAnsi="宋体"/>
          <w:szCs w:val="32"/>
        </w:rPr>
        <w:t>我单位</w:t>
      </w:r>
      <w:r>
        <w:rPr>
          <w:rFonts w:hint="eastAsia" w:ascii="仿宋_GB2312"/>
        </w:rPr>
        <w:t>2025年一般公共预算</w:t>
      </w:r>
      <w:r>
        <w:rPr>
          <w:rFonts w:hint="eastAsia" w:ascii="仿宋_GB2312"/>
          <w:bCs/>
        </w:rPr>
        <w:t>安排的“三公”经费支出预算0元，与上年持平，具体如下：</w:t>
      </w:r>
    </w:p>
    <w:p w14:paraId="609CE6FF">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仿宋_GB2312" w:hAnsi="Arial" w:cs="Arial"/>
          <w:kern w:val="0"/>
        </w:rPr>
      </w:pPr>
      <w:r>
        <w:rPr>
          <w:rFonts w:hint="eastAsia" w:ascii="仿宋_GB2312"/>
        </w:rPr>
        <w:t>（一）因公出国（境）费</w:t>
      </w:r>
      <w:r>
        <w:rPr>
          <w:rFonts w:hint="eastAsia" w:ascii="仿宋_GB2312" w:hAnsi="宋体"/>
          <w:szCs w:val="32"/>
        </w:rPr>
        <w:t>2025年预算安排0元，</w:t>
      </w:r>
      <w:r>
        <w:rPr>
          <w:rFonts w:hint="eastAsia" w:ascii="仿宋_GB2312"/>
          <w:bCs/>
        </w:rPr>
        <w:t>与上年持平</w:t>
      </w:r>
      <w:r>
        <w:rPr>
          <w:rFonts w:hint="eastAsia" w:ascii="仿宋_GB2312"/>
          <w:color w:val="000000"/>
          <w:szCs w:val="32"/>
        </w:rPr>
        <w:t>。</w:t>
      </w:r>
    </w:p>
    <w:p w14:paraId="79C80694">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仿宋_GB2312" w:hAnsi="宋体"/>
          <w:szCs w:val="32"/>
        </w:rPr>
      </w:pPr>
      <w:r>
        <w:rPr>
          <w:rFonts w:hint="eastAsia" w:ascii="仿宋_GB2312"/>
        </w:rPr>
        <w:t>（二）公务用车购置及运行费</w:t>
      </w:r>
      <w:r>
        <w:rPr>
          <w:rFonts w:hint="eastAsia" w:ascii="仿宋_GB2312" w:hAnsi="宋体"/>
          <w:szCs w:val="32"/>
        </w:rPr>
        <w:t>2025年预算安排0元，</w:t>
      </w:r>
      <w:r>
        <w:rPr>
          <w:rFonts w:hint="eastAsia" w:ascii="仿宋_GB2312"/>
          <w:bCs/>
        </w:rPr>
        <w:t>与上年持平</w:t>
      </w:r>
      <w:r>
        <w:rPr>
          <w:rFonts w:hint="eastAsia" w:ascii="仿宋_GB2312"/>
          <w:color w:val="000000"/>
          <w:szCs w:val="32"/>
        </w:rPr>
        <w:t>。</w:t>
      </w:r>
      <w:r>
        <w:rPr>
          <w:rFonts w:ascii="仿宋_GB2312" w:hAnsi="宋体"/>
          <w:szCs w:val="32"/>
        </w:rPr>
        <w:t xml:space="preserve"> </w:t>
      </w:r>
    </w:p>
    <w:p w14:paraId="2EC69993">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仿宋_GB2312" w:hAnsi="Arial" w:cs="Arial"/>
          <w:kern w:val="0"/>
        </w:rPr>
      </w:pPr>
      <w:r>
        <w:rPr>
          <w:rFonts w:hint="eastAsia" w:ascii="仿宋_GB2312"/>
        </w:rPr>
        <w:t>（三）公务接待费</w:t>
      </w:r>
      <w:r>
        <w:rPr>
          <w:rFonts w:hint="eastAsia" w:ascii="仿宋_GB2312" w:hAnsi="宋体"/>
          <w:szCs w:val="32"/>
        </w:rPr>
        <w:t>2025年预算安排0元，</w:t>
      </w:r>
      <w:r>
        <w:rPr>
          <w:rFonts w:hint="eastAsia" w:ascii="仿宋_GB2312"/>
          <w:bCs/>
        </w:rPr>
        <w:t>与上年持平</w:t>
      </w:r>
      <w:r>
        <w:rPr>
          <w:rFonts w:hint="eastAsia" w:ascii="仿宋_GB2312"/>
          <w:color w:val="000000"/>
          <w:szCs w:val="32"/>
        </w:rPr>
        <w:t>。</w:t>
      </w:r>
    </w:p>
    <w:p w14:paraId="7112652F">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楷体_GB2312" w:hAnsi="楷体_GB2312" w:eastAsia="楷体_GB2312" w:cs="楷体_GB2312"/>
          <w:szCs w:val="32"/>
        </w:rPr>
      </w:pPr>
      <w:r>
        <w:rPr>
          <w:rFonts w:hint="eastAsia" w:ascii="黑体" w:eastAsia="黑体"/>
          <w:szCs w:val="32"/>
        </w:rPr>
        <w:t>七、</w:t>
      </w:r>
      <w:r>
        <w:rPr>
          <w:rFonts w:hint="eastAsia" w:ascii="黑体" w:hAnsi="黑体" w:eastAsia="黑体" w:cs="黑体"/>
          <w:szCs w:val="32"/>
        </w:rPr>
        <w:t>事业单位相关运行经费安排情况说明</w:t>
      </w:r>
    </w:p>
    <w:p w14:paraId="0A66F46C">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仿宋_GB2312" w:hAnsi="宋体"/>
          <w:b/>
          <w:bCs/>
          <w:szCs w:val="32"/>
          <w:u w:val="single"/>
        </w:rPr>
      </w:pPr>
      <w:r>
        <w:rPr>
          <w:rFonts w:hint="eastAsia" w:ascii="仿宋_GB2312" w:hAnsi="宋体"/>
          <w:szCs w:val="32"/>
        </w:rPr>
        <w:t>我单位运行经费主要包括</w:t>
      </w:r>
      <w:r>
        <w:rPr>
          <w:rFonts w:hint="eastAsia" w:ascii="仿宋_GB2312"/>
          <w:color w:val="000000"/>
          <w:szCs w:val="32"/>
        </w:rPr>
        <w:t>其他商品和服务支出</w:t>
      </w:r>
      <w:r>
        <w:rPr>
          <w:rFonts w:hint="eastAsia" w:ascii="仿宋_GB2312" w:hAnsi="宋体"/>
          <w:szCs w:val="32"/>
        </w:rPr>
        <w:t>。我单位2025年运行经费预算 9.75万元，较上年增加0.35</w:t>
      </w:r>
      <w:r>
        <w:rPr>
          <w:rFonts w:hint="eastAsia" w:ascii="仿宋_GB2312"/>
          <w:szCs w:val="32"/>
        </w:rPr>
        <w:t>万元，增长3.72%，增长的主要原因是退休人员增加,退休公用经费增长。</w:t>
      </w:r>
    </w:p>
    <w:p w14:paraId="66B229B8">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楷体_GB2312" w:hAnsi="楷体_GB2312" w:eastAsia="楷体_GB2312" w:cs="楷体_GB2312"/>
          <w:kern w:val="0"/>
        </w:rPr>
      </w:pPr>
      <w:r>
        <w:rPr>
          <w:rFonts w:hint="eastAsia" w:ascii="黑体" w:hAnsi="黑体" w:eastAsia="黑体" w:cs="黑体"/>
          <w:szCs w:val="32"/>
        </w:rPr>
        <w:t>八、</w:t>
      </w:r>
      <w:r>
        <w:rPr>
          <w:rFonts w:hint="eastAsia" w:ascii="黑体" w:hAnsi="黑体" w:eastAsia="黑体" w:cs="黑体"/>
          <w:kern w:val="0"/>
        </w:rPr>
        <w:t>政府采购预算安排情况说明</w:t>
      </w:r>
    </w:p>
    <w:p w14:paraId="0DB9CD07">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楷体_GB2312" w:hAnsi="楷体_GB2312" w:eastAsia="楷体_GB2312" w:cs="楷体_GB2312"/>
          <w:kern w:val="0"/>
        </w:rPr>
      </w:pPr>
      <w:r>
        <w:rPr>
          <w:rFonts w:hint="eastAsia" w:ascii="仿宋_GB2312" w:hAnsi="宋体"/>
          <w:szCs w:val="32"/>
        </w:rPr>
        <w:t>我单位2025年政府采购预算总金额15164.23万元。其中：货物类采购13511.31万元、工程类采购1000.00万元、服务类采购652.92万元。</w:t>
      </w:r>
    </w:p>
    <w:p w14:paraId="07107CFF">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楷体_GB2312" w:hAnsi="楷体_GB2312" w:eastAsia="楷体_GB2312" w:cs="楷体_GB2312"/>
          <w:kern w:val="0"/>
        </w:rPr>
      </w:pPr>
      <w:r>
        <w:rPr>
          <w:rFonts w:hint="eastAsia" w:ascii="黑体" w:hAnsi="黑体" w:eastAsia="黑体" w:cs="黑体"/>
          <w:kern w:val="0"/>
        </w:rPr>
        <w:t>九、国有资产占用情况说明</w:t>
      </w:r>
    </w:p>
    <w:p w14:paraId="7AC22695">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黑体" w:hAnsi="黑体" w:eastAsia="黑体" w:cs="黑体"/>
          <w:szCs w:val="32"/>
        </w:rPr>
      </w:pPr>
      <w:r>
        <w:rPr>
          <w:rFonts w:hint="eastAsia" w:ascii="仿宋_GB2312" w:hAnsi="仿宋" w:cs="Arial"/>
          <w:kern w:val="0"/>
        </w:rPr>
        <w:t>房屋及构筑物93栋（间）、车12辆、计算机设备1472台（套）、办公设备1310台（套）、通信设备172台（套）、电气设备885台（套）、广播、电视、电影设备592台（套）、其他通用设备213台（套）、专用设备（含医疗设备等）3341台（套）、家具（用具、装具）1128台（套）。</w:t>
      </w:r>
    </w:p>
    <w:p w14:paraId="23171514">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楷体_GB2312" w:hAnsi="楷体_GB2312" w:eastAsia="楷体_GB2312" w:cs="楷体_GB2312"/>
          <w:szCs w:val="32"/>
        </w:rPr>
      </w:pPr>
      <w:r>
        <w:rPr>
          <w:rFonts w:hint="eastAsia" w:ascii="黑体" w:hAnsi="黑体" w:eastAsia="黑体" w:cs="黑体"/>
          <w:szCs w:val="32"/>
        </w:rPr>
        <w:t>十、预算绩效目标情况说明</w:t>
      </w:r>
    </w:p>
    <w:p w14:paraId="64946B89">
      <w:pPr>
        <w:keepNext w:val="0"/>
        <w:keepLines w:val="0"/>
        <w:pageBreakBefore w:val="0"/>
        <w:widowControl w:val="0"/>
        <w:tabs>
          <w:tab w:val="center" w:pos="4475"/>
        </w:tabs>
        <w:kinsoku/>
        <w:wordWrap/>
        <w:overflowPunct/>
        <w:topLinePunct w:val="0"/>
        <w:autoSpaceDE/>
        <w:autoSpaceDN w:val="0"/>
        <w:bidi w:val="0"/>
        <w:adjustRightInd/>
        <w:snapToGrid/>
        <w:spacing w:line="600" w:lineRule="exact"/>
        <w:ind w:firstLine="645"/>
        <w:textAlignment w:val="auto"/>
        <w:rPr>
          <w:rFonts w:ascii="仿宋_GB2312" w:hAnsi="宋体"/>
          <w:szCs w:val="32"/>
        </w:rPr>
      </w:pPr>
      <w:r>
        <w:rPr>
          <w:rFonts w:hint="eastAsia" w:ascii="仿宋_GB2312" w:cs="仿宋_GB2312"/>
          <w:szCs w:val="32"/>
        </w:rPr>
        <w:t>（一）我单位2025年所有项目支出全面实施绩效目标管理，涉及本级项目6个，预算资金34214.52万元。绩效目标情况详见报表。</w:t>
      </w:r>
    </w:p>
    <w:p w14:paraId="5C5DA313">
      <w:pPr>
        <w:keepNext w:val="0"/>
        <w:keepLines w:val="0"/>
        <w:pageBreakBefore w:val="0"/>
        <w:widowControl w:val="0"/>
        <w:tabs>
          <w:tab w:val="center" w:pos="4475"/>
        </w:tabs>
        <w:kinsoku/>
        <w:wordWrap/>
        <w:overflowPunct/>
        <w:topLinePunct w:val="0"/>
        <w:autoSpaceDE/>
        <w:bidi w:val="0"/>
        <w:adjustRightInd/>
        <w:snapToGrid/>
        <w:spacing w:line="600" w:lineRule="exact"/>
        <w:ind w:firstLine="640" w:firstLineChars="200"/>
        <w:textAlignment w:val="auto"/>
        <w:rPr>
          <w:rFonts w:ascii="黑体" w:eastAsia="黑体"/>
          <w:szCs w:val="32"/>
        </w:rPr>
      </w:pPr>
      <w:r>
        <w:rPr>
          <w:rFonts w:hint="eastAsia" w:ascii="仿宋_GB2312"/>
          <w:szCs w:val="32"/>
        </w:rPr>
        <w:t>（二）重点项目预算绩效目标说明。</w:t>
      </w:r>
    </w:p>
    <w:p w14:paraId="4AAEE557">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仿宋_GB2312" w:hAnsi="仿宋"/>
          <w:szCs w:val="32"/>
        </w:rPr>
      </w:pPr>
      <w:r>
        <w:rPr>
          <w:rFonts w:hint="eastAsia" w:ascii="仿宋_GB2312" w:hAnsi="仿宋"/>
          <w:szCs w:val="32"/>
        </w:rPr>
        <w:t>重点项目：项目名称是其他公共卫生服务项目-预防性体检，预算资金160万元，2025年度绩效目标为辖区内特定行业从业人员提供免费预防性体检率达90％以上，设2条数量指标：数量指标1. 预防性体检完成率≥95% 2. 职业健康核心指标监测县区覆盖率≥90%；设1条质量指标：质量指标1.特定行业从业人员提供免费预防性体检率≥90%；设1条时效指标：时效指标1.特定行业从业人员提供免费预防性体检完成时间定性2025年12月；设1条成本指标：成本指标1. 体检成本（每人）≤80元/人；设1条社会效益指标：社会效益指标1.居民健康素养水平不断提高；设1条可持续影响指标：可持续影响指标1. 基本公共卫生服务水平不断提高；设1条满意度指标：满意度指标1.服务对象满意度≥85%。</w:t>
      </w:r>
    </w:p>
    <w:p w14:paraId="56F8D4F1">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hint="eastAsia" w:ascii="黑体" w:eastAsia="黑体"/>
          <w:szCs w:val="32"/>
        </w:rPr>
      </w:pPr>
    </w:p>
    <w:p w14:paraId="2F1CCF84">
      <w:pPr>
        <w:keepNext w:val="0"/>
        <w:keepLines w:val="0"/>
        <w:pageBreakBefore w:val="0"/>
        <w:widowControl w:val="0"/>
        <w:tabs>
          <w:tab w:val="center" w:pos="4475"/>
        </w:tabs>
        <w:kinsoku/>
        <w:wordWrap/>
        <w:overflowPunct/>
        <w:topLinePunct w:val="0"/>
        <w:autoSpaceDE/>
        <w:bidi w:val="0"/>
        <w:adjustRightInd/>
        <w:snapToGrid/>
        <w:spacing w:line="600" w:lineRule="exact"/>
        <w:ind w:firstLine="645"/>
        <w:textAlignment w:val="auto"/>
        <w:rPr>
          <w:rFonts w:ascii="黑体" w:eastAsia="黑体"/>
          <w:szCs w:val="32"/>
        </w:rPr>
      </w:pPr>
      <w:r>
        <w:rPr>
          <w:rFonts w:hint="eastAsia" w:ascii="黑体" w:eastAsia="黑体"/>
          <w:szCs w:val="32"/>
        </w:rPr>
        <w:t>第三部分：名词解释</w:t>
      </w:r>
    </w:p>
    <w:p w14:paraId="61CE9764">
      <w:pPr>
        <w:keepNext w:val="0"/>
        <w:keepLines w:val="0"/>
        <w:pageBreakBefore w:val="0"/>
        <w:widowControl w:val="0"/>
        <w:kinsoku/>
        <w:wordWrap/>
        <w:overflowPunct/>
        <w:topLinePunct w:val="0"/>
        <w:autoSpaceDE/>
        <w:bidi w:val="0"/>
        <w:adjustRightInd/>
        <w:snapToGrid/>
        <w:spacing w:line="600" w:lineRule="exact"/>
        <w:ind w:firstLine="640"/>
        <w:textAlignment w:val="auto"/>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14:paraId="232D7667">
      <w:pPr>
        <w:keepNext w:val="0"/>
        <w:keepLines w:val="0"/>
        <w:pageBreakBefore w:val="0"/>
        <w:widowControl w:val="0"/>
        <w:kinsoku/>
        <w:wordWrap/>
        <w:overflowPunct/>
        <w:topLinePunct w:val="0"/>
        <w:autoSpaceDE/>
        <w:bidi w:val="0"/>
        <w:adjustRightInd/>
        <w:snapToGrid/>
        <w:spacing w:line="600" w:lineRule="exact"/>
        <w:ind w:firstLine="640"/>
        <w:textAlignment w:val="auto"/>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14:paraId="5AB81594">
      <w:pPr>
        <w:keepNext w:val="0"/>
        <w:keepLines w:val="0"/>
        <w:pageBreakBefore w:val="0"/>
        <w:widowControl w:val="0"/>
        <w:kinsoku/>
        <w:wordWrap/>
        <w:overflowPunct/>
        <w:topLinePunct w:val="0"/>
        <w:autoSpaceDE/>
        <w:bidi w:val="0"/>
        <w:adjustRightInd/>
        <w:snapToGrid/>
        <w:spacing w:line="600" w:lineRule="exact"/>
        <w:ind w:firstLine="640"/>
        <w:textAlignment w:val="auto"/>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14:paraId="2130A9A6">
      <w:pPr>
        <w:keepNext w:val="0"/>
        <w:keepLines w:val="0"/>
        <w:pageBreakBefore w:val="0"/>
        <w:widowControl w:val="0"/>
        <w:kinsoku/>
        <w:wordWrap/>
        <w:overflowPunct/>
        <w:topLinePunct w:val="0"/>
        <w:autoSpaceDE/>
        <w:bidi w:val="0"/>
        <w:adjustRightInd/>
        <w:snapToGrid/>
        <w:spacing w:line="600" w:lineRule="exact"/>
        <w:ind w:firstLine="640"/>
        <w:textAlignment w:val="auto"/>
        <w:rPr>
          <w:rFonts w:ascii="仿宋_GB2312"/>
          <w:szCs w:val="32"/>
        </w:rPr>
      </w:pPr>
      <w:r>
        <w:rPr>
          <w:rFonts w:hint="eastAsia" w:ascii="黑体" w:eastAsia="黑体"/>
          <w:szCs w:val="32"/>
        </w:rPr>
        <w:t>四、财政拨款收入：</w:t>
      </w:r>
      <w:r>
        <w:rPr>
          <w:rFonts w:hint="eastAsia" w:ascii="仿宋_GB2312"/>
          <w:szCs w:val="32"/>
        </w:rPr>
        <w:t xml:space="preserve">指财政单位当年拨付的资金。 </w:t>
      </w:r>
    </w:p>
    <w:p w14:paraId="442AFB23">
      <w:pPr>
        <w:keepNext w:val="0"/>
        <w:keepLines w:val="0"/>
        <w:pageBreakBefore w:val="0"/>
        <w:widowControl w:val="0"/>
        <w:kinsoku/>
        <w:wordWrap/>
        <w:overflowPunct/>
        <w:topLinePunct w:val="0"/>
        <w:autoSpaceDE/>
        <w:bidi w:val="0"/>
        <w:adjustRightInd/>
        <w:snapToGrid/>
        <w:spacing w:line="600" w:lineRule="exact"/>
        <w:ind w:firstLine="640"/>
        <w:textAlignment w:val="auto"/>
        <w:rPr>
          <w:rFonts w:ascii="仿宋_GB2312"/>
          <w:szCs w:val="32"/>
        </w:rPr>
      </w:pPr>
      <w:r>
        <w:rPr>
          <w:rFonts w:hint="eastAsia" w:ascii="黑体" w:eastAsia="黑体"/>
          <w:szCs w:val="32"/>
        </w:rPr>
        <w:t>五、非税收入：</w:t>
      </w:r>
      <w:r>
        <w:rPr>
          <w:rFonts w:hint="eastAsia" w:ascii="仿宋_GB231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01FDCA06">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ascii="仿宋_GB2312"/>
          <w:szCs w:val="32"/>
        </w:rPr>
      </w:pPr>
      <w:r>
        <w:rPr>
          <w:rFonts w:hint="eastAsia" w:ascii="黑体" w:eastAsia="黑体"/>
          <w:szCs w:val="32"/>
        </w:rPr>
        <w:t>六、事业收入：</w:t>
      </w:r>
      <w:r>
        <w:rPr>
          <w:rFonts w:hint="eastAsia" w:ascii="仿宋_GB2312"/>
          <w:szCs w:val="32"/>
        </w:rPr>
        <w:t>指事业单位开展专业业务活动及辅助活动所取得的收入。</w:t>
      </w:r>
    </w:p>
    <w:p w14:paraId="249C8D6D">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ascii="仿宋_GB2312"/>
          <w:szCs w:val="32"/>
        </w:rPr>
      </w:pPr>
      <w:r>
        <w:rPr>
          <w:rFonts w:hint="eastAsia" w:ascii="黑体" w:eastAsia="黑体"/>
          <w:szCs w:val="32"/>
        </w:rPr>
        <w:t>七、经营收入：</w:t>
      </w:r>
      <w:r>
        <w:rPr>
          <w:rFonts w:hint="eastAsia" w:ascii="仿宋_GB2312"/>
          <w:szCs w:val="32"/>
        </w:rPr>
        <w:t>指事业单位在专业业务活动及其辅助活动之外开展非独立核算经营活动取得的收入。</w:t>
      </w:r>
    </w:p>
    <w:p w14:paraId="4EB89C19">
      <w:pPr>
        <w:keepNext w:val="0"/>
        <w:keepLines w:val="0"/>
        <w:pageBreakBefore w:val="0"/>
        <w:widowControl w:val="0"/>
        <w:kinsoku/>
        <w:wordWrap/>
        <w:overflowPunct/>
        <w:topLinePunct w:val="0"/>
        <w:autoSpaceDE/>
        <w:bidi w:val="0"/>
        <w:adjustRightInd/>
        <w:snapToGrid/>
        <w:spacing w:line="600" w:lineRule="exact"/>
        <w:ind w:firstLine="640"/>
        <w:textAlignment w:val="auto"/>
        <w:rPr>
          <w:rFonts w:ascii="仿宋_GB2312"/>
          <w:szCs w:val="32"/>
        </w:rPr>
      </w:pPr>
      <w:r>
        <w:rPr>
          <w:rFonts w:hint="eastAsia" w:ascii="黑体" w:eastAsia="黑体"/>
          <w:szCs w:val="32"/>
        </w:rPr>
        <w:t>八、其他收入：</w:t>
      </w:r>
      <w:r>
        <w:rPr>
          <w:rFonts w:hint="eastAsia" w:ascii="仿宋_GB2312"/>
          <w:szCs w:val="32"/>
        </w:rPr>
        <w:t>指除上述“财政拨款收入”、“事业收入”、“经营收入”等以外的收入。</w:t>
      </w:r>
    </w:p>
    <w:p w14:paraId="3D95A0C1">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ascii="仿宋_GB2312"/>
          <w:szCs w:val="32"/>
        </w:rPr>
      </w:pPr>
      <w:r>
        <w:rPr>
          <w:rFonts w:hint="eastAsia" w:ascii="黑体" w:eastAsia="黑体"/>
          <w:szCs w:val="32"/>
        </w:rPr>
        <w:t>九、上年结转和结余：</w:t>
      </w:r>
      <w:r>
        <w:rPr>
          <w:rFonts w:hint="eastAsia" w:ascii="仿宋_GB2312"/>
          <w:szCs w:val="32"/>
        </w:rPr>
        <w:t>指以前年度尚未完成、结转到本年按有关规定继续使用的资金。</w:t>
      </w:r>
    </w:p>
    <w:p w14:paraId="70FF3C7E">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ascii="仿宋_GB2312"/>
          <w:szCs w:val="32"/>
        </w:rPr>
      </w:pPr>
      <w:r>
        <w:rPr>
          <w:rFonts w:hint="eastAsia" w:ascii="黑体" w:eastAsia="黑体"/>
          <w:szCs w:val="32"/>
        </w:rPr>
        <w:t>十、基本支出：</w:t>
      </w:r>
      <w:r>
        <w:rPr>
          <w:rFonts w:hint="eastAsia" w:ascii="仿宋_GB2312"/>
          <w:szCs w:val="32"/>
        </w:rPr>
        <w:t>指为保障机构正常运转、完成日常工作任务而发生的人员支出和公用支出。</w:t>
      </w:r>
    </w:p>
    <w:p w14:paraId="7FBD9614">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ascii="仿宋_GB2312"/>
          <w:szCs w:val="32"/>
        </w:rPr>
      </w:pPr>
      <w:r>
        <w:rPr>
          <w:rFonts w:hint="eastAsia" w:ascii="黑体" w:eastAsia="黑体"/>
          <w:szCs w:val="32"/>
        </w:rPr>
        <w:t>十一、项目支出：</w:t>
      </w:r>
      <w:r>
        <w:rPr>
          <w:rFonts w:hint="eastAsia" w:ascii="仿宋_GB2312"/>
          <w:szCs w:val="32"/>
        </w:rPr>
        <w:t xml:space="preserve">指在基本支出之外为完成特定行政任务和事业发展目标所发生的支出。  </w:t>
      </w:r>
    </w:p>
    <w:p w14:paraId="0B377398">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ascii="仿宋_GB2312"/>
          <w:szCs w:val="32"/>
        </w:rPr>
      </w:pPr>
      <w:r>
        <w:rPr>
          <w:rFonts w:hint="eastAsia" w:ascii="黑体" w:eastAsia="黑体"/>
          <w:szCs w:val="32"/>
        </w:rPr>
        <w:t>十二、经营支出：</w:t>
      </w:r>
      <w:r>
        <w:rPr>
          <w:rFonts w:hint="eastAsia" w:ascii="仿宋_GB2312"/>
          <w:szCs w:val="32"/>
        </w:rPr>
        <w:t>指事业单位在专业业务活动及其辅助活动之外开展非独立核算经营活动发生的支出。</w:t>
      </w:r>
    </w:p>
    <w:p w14:paraId="76429C1E">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ascii="仿宋_GB2312"/>
          <w:szCs w:val="32"/>
        </w:rPr>
      </w:pPr>
      <w:r>
        <w:rPr>
          <w:rFonts w:hint="eastAsia" w:ascii="黑体" w:eastAsia="黑体"/>
          <w:szCs w:val="32"/>
        </w:rPr>
        <w:t>十三、“三公”经费：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1231D0E">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ascii="仿宋_GB2312"/>
          <w:szCs w:val="32"/>
        </w:rPr>
      </w:pPr>
      <w:r>
        <w:rPr>
          <w:rFonts w:hint="eastAsia" w:ascii="黑体" w:eastAsia="黑体"/>
          <w:szCs w:val="32"/>
        </w:rPr>
        <w:t>十四、运行经费：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E64BC7">
      <w:pPr>
        <w:keepNext w:val="0"/>
        <w:keepLines w:val="0"/>
        <w:pageBreakBefore w:val="0"/>
        <w:widowControl w:val="0"/>
        <w:kinsoku/>
        <w:wordWrap/>
        <w:overflowPunct/>
        <w:topLinePunct w:val="0"/>
        <w:autoSpaceDE/>
        <w:bidi w:val="0"/>
        <w:adjustRightInd/>
        <w:snapToGrid/>
        <w:spacing w:line="600" w:lineRule="exact"/>
        <w:ind w:firstLine="645"/>
        <w:textAlignment w:val="auto"/>
        <w:rPr>
          <w:rFonts w:ascii="黑体" w:eastAsia="黑体"/>
          <w:szCs w:val="32"/>
        </w:rPr>
      </w:pPr>
      <w:r>
        <w:rPr>
          <w:rFonts w:hint="eastAsia" w:ascii="黑体" w:eastAsia="黑体"/>
          <w:szCs w:val="32"/>
        </w:rPr>
        <w:t>十五、支出类常用科目的说明</w:t>
      </w:r>
    </w:p>
    <w:p w14:paraId="6255F031">
      <w:pPr>
        <w:keepNext w:val="0"/>
        <w:keepLines w:val="0"/>
        <w:pageBreakBefore w:val="0"/>
        <w:widowControl w:val="0"/>
        <w:kinsoku/>
        <w:wordWrap/>
        <w:overflowPunct/>
        <w:topLinePunct w:val="0"/>
        <w:autoSpaceDE/>
        <w:bidi w:val="0"/>
        <w:adjustRightInd/>
        <w:snapToGrid/>
        <w:spacing w:line="600" w:lineRule="exact"/>
        <w:ind w:firstLine="645"/>
        <w:textAlignment w:val="auto"/>
        <w:rPr>
          <w:rFonts w:ascii="仿宋_GB2312"/>
          <w:szCs w:val="32"/>
        </w:rPr>
      </w:pPr>
      <w:r>
        <w:rPr>
          <w:rFonts w:hint="eastAsia" w:ascii="黑体" w:eastAsia="黑体"/>
          <w:szCs w:val="32"/>
        </w:rPr>
        <w:t xml:space="preserve">1．社会保障和就业  </w:t>
      </w:r>
      <w:r>
        <w:rPr>
          <w:rFonts w:hint="eastAsia" w:ascii="仿宋_GB2312"/>
          <w:szCs w:val="32"/>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1B427A3F">
      <w:pPr>
        <w:keepNext w:val="0"/>
        <w:keepLines w:val="0"/>
        <w:pageBreakBefore w:val="0"/>
        <w:widowControl w:val="0"/>
        <w:kinsoku/>
        <w:wordWrap/>
        <w:overflowPunct/>
        <w:topLinePunct w:val="0"/>
        <w:autoSpaceDE/>
        <w:bidi w:val="0"/>
        <w:adjustRightInd/>
        <w:snapToGrid/>
        <w:spacing w:line="600" w:lineRule="exact"/>
        <w:ind w:firstLine="645"/>
        <w:textAlignment w:val="auto"/>
        <w:rPr>
          <w:rFonts w:ascii="仿宋_GB2312"/>
          <w:szCs w:val="32"/>
        </w:rPr>
      </w:pPr>
      <w:r>
        <w:rPr>
          <w:rFonts w:hint="eastAsia" w:ascii="黑体" w:eastAsia="黑体"/>
          <w:szCs w:val="32"/>
        </w:rPr>
        <w:t>2．卫生健康</w:t>
      </w:r>
      <w:r>
        <w:rPr>
          <w:rFonts w:hint="eastAsia" w:ascii="仿宋_GB2312"/>
          <w:szCs w:val="32"/>
        </w:rPr>
        <w:t xml:space="preserve"> 反映政府卫生健康方面的支出。主要包括：卫生健康管理事务、公立医院、基层医疗卫生机构、公共卫生、中医药、计划生育事务等。</w:t>
      </w:r>
    </w:p>
    <w:p w14:paraId="620CDD00">
      <w:pPr>
        <w:adjustRightInd w:val="0"/>
        <w:snapToGrid w:val="0"/>
        <w:spacing w:line="560" w:lineRule="exact"/>
        <w:ind w:right="-333" w:rightChars="-104" w:firstLine="640" w:firstLineChars="200"/>
        <w:rPr>
          <w:rFonts w:hint="eastAsia" w:ascii="黑体" w:hAnsi="宋体" w:eastAsia="黑体"/>
          <w:szCs w:val="32"/>
        </w:rPr>
      </w:pPr>
    </w:p>
    <w:p w14:paraId="07EE1DA9">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szCs w:val="32"/>
        </w:rPr>
        <w:t>第四部分：柳州市柳江区人民医院 2025年</w:t>
      </w:r>
      <w:r>
        <w:rPr>
          <w:rFonts w:hint="eastAsia" w:ascii="黑体" w:eastAsia="黑体"/>
          <w:szCs w:val="32"/>
        </w:rPr>
        <w:t>单位预算报表</w:t>
      </w:r>
    </w:p>
    <w:p w14:paraId="3BE5D036">
      <w:pPr>
        <w:spacing w:beforeLines="100" w:afterLines="100" w:line="360" w:lineRule="exact"/>
        <w:ind w:firstLine="640" w:firstLineChars="200"/>
        <w:rPr>
          <w:rFonts w:ascii="仿宋_GB2312"/>
          <w:bCs/>
          <w:szCs w:val="32"/>
        </w:rPr>
      </w:pPr>
      <w:r>
        <w:rPr>
          <w:rFonts w:hint="eastAsia" w:ascii="仿宋_GB2312"/>
          <w:bCs/>
          <w:szCs w:val="32"/>
        </w:rPr>
        <w:t>表1：单位收支总体情况表</w:t>
      </w:r>
    </w:p>
    <w:p w14:paraId="39D30EED">
      <w:pPr>
        <w:spacing w:beforeLines="100" w:afterLines="100" w:line="360" w:lineRule="exact"/>
        <w:ind w:firstLine="640" w:firstLineChars="200"/>
        <w:rPr>
          <w:rFonts w:ascii="仿宋_GB2312"/>
          <w:bCs/>
          <w:szCs w:val="32"/>
        </w:rPr>
      </w:pPr>
      <w:r>
        <w:rPr>
          <w:rFonts w:hint="eastAsia" w:ascii="仿宋_GB2312"/>
          <w:bCs/>
          <w:szCs w:val="32"/>
        </w:rPr>
        <w:t>表2：单位收入总体情况表</w:t>
      </w:r>
    </w:p>
    <w:p w14:paraId="738D2DD6">
      <w:pPr>
        <w:spacing w:beforeLines="100" w:afterLines="100" w:line="360" w:lineRule="exact"/>
        <w:ind w:firstLine="640" w:firstLineChars="200"/>
        <w:rPr>
          <w:rFonts w:ascii="仿宋_GB2312"/>
          <w:bCs/>
          <w:szCs w:val="32"/>
        </w:rPr>
      </w:pPr>
      <w:r>
        <w:rPr>
          <w:rFonts w:hint="eastAsia" w:ascii="仿宋_GB2312"/>
          <w:bCs/>
          <w:szCs w:val="32"/>
        </w:rPr>
        <w:t>表3：单位支出总体情况表</w:t>
      </w:r>
    </w:p>
    <w:p w14:paraId="26D0CB7B">
      <w:pPr>
        <w:spacing w:beforeLines="100" w:afterLines="100" w:line="360" w:lineRule="exact"/>
        <w:ind w:firstLine="640" w:firstLineChars="200"/>
        <w:rPr>
          <w:rFonts w:ascii="仿宋_GB2312"/>
          <w:bCs/>
          <w:szCs w:val="32"/>
        </w:rPr>
      </w:pPr>
      <w:r>
        <w:rPr>
          <w:rFonts w:hint="eastAsia" w:ascii="仿宋_GB2312"/>
          <w:bCs/>
          <w:szCs w:val="32"/>
        </w:rPr>
        <w:t>表4：财政拨款收支总体情况表</w:t>
      </w:r>
    </w:p>
    <w:p w14:paraId="366D755A">
      <w:pPr>
        <w:spacing w:beforeLines="100" w:afterLines="100" w:line="360" w:lineRule="exact"/>
        <w:ind w:firstLine="640" w:firstLineChars="200"/>
        <w:rPr>
          <w:rFonts w:ascii="仿宋_GB2312"/>
          <w:bCs/>
          <w:szCs w:val="32"/>
        </w:rPr>
      </w:pPr>
      <w:r>
        <w:rPr>
          <w:rFonts w:hint="eastAsia" w:ascii="仿宋_GB2312"/>
          <w:bCs/>
          <w:szCs w:val="32"/>
        </w:rPr>
        <w:t>表5：一般公共预算支出情况表</w:t>
      </w:r>
    </w:p>
    <w:p w14:paraId="2D75CE6B">
      <w:pPr>
        <w:spacing w:beforeLines="100" w:afterLines="100" w:line="360" w:lineRule="exact"/>
        <w:ind w:firstLine="640" w:firstLineChars="200"/>
        <w:rPr>
          <w:rFonts w:ascii="仿宋_GB2312"/>
          <w:bCs/>
          <w:szCs w:val="32"/>
        </w:rPr>
      </w:pPr>
      <w:r>
        <w:rPr>
          <w:rFonts w:hint="eastAsia" w:ascii="仿宋_GB2312"/>
          <w:bCs/>
          <w:szCs w:val="32"/>
        </w:rPr>
        <w:t>表6：一般公共预算基本支出情况表</w:t>
      </w:r>
    </w:p>
    <w:p w14:paraId="0A4C0501">
      <w:pPr>
        <w:spacing w:beforeLines="100" w:afterLines="100" w:line="360" w:lineRule="exact"/>
        <w:ind w:left="1600" w:leftChars="200" w:hanging="960" w:hangingChars="300"/>
        <w:rPr>
          <w:rFonts w:ascii="仿宋_GB2312"/>
          <w:bCs/>
          <w:szCs w:val="32"/>
        </w:rPr>
      </w:pPr>
      <w:r>
        <w:rPr>
          <w:rFonts w:hint="eastAsia" w:ascii="仿宋_GB2312"/>
          <w:bCs/>
          <w:szCs w:val="32"/>
        </w:rPr>
        <w:t>表7：财政拨款“三公”经费、会议费和培训费支出情况表</w:t>
      </w:r>
    </w:p>
    <w:p w14:paraId="54FD1181">
      <w:pPr>
        <w:spacing w:beforeLines="100" w:afterLines="100" w:line="360" w:lineRule="exact"/>
        <w:ind w:firstLine="640" w:firstLineChars="200"/>
        <w:rPr>
          <w:rFonts w:ascii="仿宋_GB2312"/>
          <w:bCs/>
          <w:szCs w:val="32"/>
        </w:rPr>
      </w:pPr>
      <w:r>
        <w:rPr>
          <w:rFonts w:hint="eastAsia" w:ascii="仿宋_GB2312"/>
          <w:bCs/>
          <w:szCs w:val="32"/>
        </w:rPr>
        <w:t>表8：政府性基金预算支出情况表</w:t>
      </w:r>
    </w:p>
    <w:p w14:paraId="47461BD4">
      <w:pPr>
        <w:spacing w:beforeLines="100" w:afterLines="100" w:line="360" w:lineRule="exact"/>
        <w:ind w:firstLine="640" w:firstLineChars="200"/>
        <w:rPr>
          <w:rFonts w:ascii="仿宋_GB2312"/>
          <w:bCs/>
          <w:szCs w:val="32"/>
        </w:rPr>
      </w:pPr>
      <w:r>
        <w:rPr>
          <w:rFonts w:hint="eastAsia" w:ascii="仿宋_GB2312"/>
          <w:bCs/>
          <w:szCs w:val="32"/>
        </w:rPr>
        <w:t>表9：国有资本经营预算支出情况表</w:t>
      </w:r>
    </w:p>
    <w:p w14:paraId="72E59FF8">
      <w:pPr>
        <w:spacing w:beforeLines="100" w:afterLines="100" w:line="360" w:lineRule="exact"/>
        <w:ind w:firstLine="640" w:firstLineChars="200"/>
        <w:rPr>
          <w:rFonts w:ascii="仿宋_GB2312"/>
          <w:bCs/>
          <w:szCs w:val="32"/>
        </w:rPr>
      </w:pPr>
      <w:r>
        <w:rPr>
          <w:rFonts w:hint="eastAsia" w:ascii="仿宋_GB2312"/>
          <w:bCs/>
          <w:szCs w:val="32"/>
        </w:rPr>
        <w:t>表10：政府采购预算表</w:t>
      </w:r>
    </w:p>
    <w:p w14:paraId="417B51BF">
      <w:pPr>
        <w:spacing w:beforeLines="100" w:afterLines="100" w:line="360" w:lineRule="exact"/>
        <w:ind w:firstLine="640" w:firstLineChars="200"/>
        <w:rPr>
          <w:rFonts w:ascii="仿宋_GB2312"/>
          <w:bCs/>
          <w:szCs w:val="32"/>
        </w:rPr>
      </w:pPr>
      <w:r>
        <w:rPr>
          <w:rFonts w:hint="eastAsia" w:ascii="仿宋_GB2312"/>
          <w:bCs/>
          <w:szCs w:val="32"/>
        </w:rPr>
        <w:t>表11：政府购买服务预算表</w:t>
      </w:r>
    </w:p>
    <w:p w14:paraId="6E9E97B8">
      <w:pPr>
        <w:spacing w:beforeLines="100" w:afterLines="100" w:line="360" w:lineRule="exact"/>
        <w:ind w:firstLine="640" w:firstLineChars="200"/>
        <w:rPr>
          <w:rFonts w:ascii="仿宋_GB2312"/>
          <w:bCs/>
          <w:szCs w:val="32"/>
        </w:rPr>
      </w:pPr>
      <w:r>
        <w:rPr>
          <w:rFonts w:hint="eastAsia" w:ascii="仿宋_GB2312"/>
          <w:bCs/>
          <w:szCs w:val="32"/>
        </w:rPr>
        <w:t>表12：项目绩效目标公开表</w:t>
      </w:r>
    </w:p>
    <w:p w14:paraId="74A893C7">
      <w:pPr>
        <w:spacing w:beforeLines="100" w:afterLines="100" w:line="360" w:lineRule="exact"/>
        <w:ind w:firstLine="640" w:firstLineChars="200"/>
        <w:rPr>
          <w:rFonts w:ascii="仿宋_GB2312"/>
          <w:bCs/>
          <w:szCs w:val="32"/>
        </w:rPr>
      </w:pPr>
      <w:r>
        <w:rPr>
          <w:rFonts w:hint="eastAsia" w:ascii="仿宋_GB2312"/>
          <w:bCs/>
          <w:szCs w:val="32"/>
        </w:rPr>
        <w:t>（详见附表）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578E4">
    <w:pPr>
      <w:pStyle w:val="2"/>
      <w:jc w:val="right"/>
    </w:pPr>
    <w:bookmarkStart w:id="0" w:name="_GoBack"/>
    <w:bookmarkEnd w:id="0"/>
    <w:r>
      <w:pict>
        <v:shape id="文本框 3073"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5B1256B">
                <w:pPr>
                  <w:pStyle w:val="2"/>
                  <w:jc w:val="center"/>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9</w:t>
                </w:r>
                <w:r>
                  <w:rPr>
                    <w:rFonts w:hint="eastAsia" w:ascii="宋体" w:hAnsi="宋体" w:cs="宋体"/>
                    <w:sz w:val="28"/>
                    <w:szCs w:val="28"/>
                  </w:rPr>
                  <w:fldChar w:fldCharType="end"/>
                </w:r>
              </w:p>
            </w:txbxContent>
          </v:textbox>
        </v:shape>
      </w:pict>
    </w:r>
  </w:p>
  <w:p w14:paraId="0B79843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7679">
    <w:pPr>
      <w:pStyle w:val="2"/>
      <w:jc w:val="center"/>
    </w:pPr>
    <w:r>
      <w:pict>
        <v:shape id="文本框 3074"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805724F">
                <w:pPr>
                  <w:pStyle w:val="2"/>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3 -</w:t>
                </w:r>
                <w:r>
                  <w:rPr>
                    <w:rFonts w:hint="eastAsia" w:ascii="宋体" w:hAnsi="宋体" w:cs="宋体"/>
                    <w:sz w:val="28"/>
                    <w:szCs w:val="28"/>
                  </w:rPr>
                  <w:fldChar w:fldCharType="end"/>
                </w:r>
              </w:p>
            </w:txbxContent>
          </v:textbox>
        </v:shape>
      </w:pict>
    </w:r>
  </w:p>
  <w:p w14:paraId="499F966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A5BC4"/>
    <w:rsid w:val="000113D7"/>
    <w:rsid w:val="000213EA"/>
    <w:rsid w:val="00072208"/>
    <w:rsid w:val="00096362"/>
    <w:rsid w:val="000B7973"/>
    <w:rsid w:val="000F69CC"/>
    <w:rsid w:val="00101709"/>
    <w:rsid w:val="001019FA"/>
    <w:rsid w:val="001247CE"/>
    <w:rsid w:val="00136E2F"/>
    <w:rsid w:val="00221C0A"/>
    <w:rsid w:val="002265B2"/>
    <w:rsid w:val="00243F8E"/>
    <w:rsid w:val="002A5BC4"/>
    <w:rsid w:val="002A7E5C"/>
    <w:rsid w:val="002C1CCB"/>
    <w:rsid w:val="002D6704"/>
    <w:rsid w:val="002E7E67"/>
    <w:rsid w:val="0034463C"/>
    <w:rsid w:val="00355EB3"/>
    <w:rsid w:val="003811C4"/>
    <w:rsid w:val="003A0CA6"/>
    <w:rsid w:val="003C4C99"/>
    <w:rsid w:val="00432EBC"/>
    <w:rsid w:val="004465C7"/>
    <w:rsid w:val="004523DE"/>
    <w:rsid w:val="00462DB6"/>
    <w:rsid w:val="00466211"/>
    <w:rsid w:val="00470D09"/>
    <w:rsid w:val="004A62BC"/>
    <w:rsid w:val="004A6593"/>
    <w:rsid w:val="004E7EE9"/>
    <w:rsid w:val="004F3AF9"/>
    <w:rsid w:val="004F7C04"/>
    <w:rsid w:val="004F7F5E"/>
    <w:rsid w:val="00573022"/>
    <w:rsid w:val="005C3577"/>
    <w:rsid w:val="005D7407"/>
    <w:rsid w:val="00683108"/>
    <w:rsid w:val="006B2061"/>
    <w:rsid w:val="006D26C3"/>
    <w:rsid w:val="00701059"/>
    <w:rsid w:val="00702018"/>
    <w:rsid w:val="007051E7"/>
    <w:rsid w:val="007F7EB6"/>
    <w:rsid w:val="00862AE8"/>
    <w:rsid w:val="00873A4C"/>
    <w:rsid w:val="00882296"/>
    <w:rsid w:val="00884EB4"/>
    <w:rsid w:val="00886920"/>
    <w:rsid w:val="008B4256"/>
    <w:rsid w:val="009146B5"/>
    <w:rsid w:val="009266CF"/>
    <w:rsid w:val="00936F05"/>
    <w:rsid w:val="009A28C6"/>
    <w:rsid w:val="009E01ED"/>
    <w:rsid w:val="00A2639D"/>
    <w:rsid w:val="00AE71A9"/>
    <w:rsid w:val="00AF52A2"/>
    <w:rsid w:val="00B2777E"/>
    <w:rsid w:val="00BD2FF7"/>
    <w:rsid w:val="00C12E9B"/>
    <w:rsid w:val="00C41C72"/>
    <w:rsid w:val="00CE4E33"/>
    <w:rsid w:val="00D147D4"/>
    <w:rsid w:val="00DF688D"/>
    <w:rsid w:val="00ED264F"/>
    <w:rsid w:val="00ED2BF0"/>
    <w:rsid w:val="00EF17D9"/>
    <w:rsid w:val="00F35F72"/>
    <w:rsid w:val="00F42B42"/>
    <w:rsid w:val="00F47A6F"/>
    <w:rsid w:val="00F87076"/>
    <w:rsid w:val="00FE27AC"/>
    <w:rsid w:val="00FE63C9"/>
    <w:rsid w:val="0FF47C53"/>
    <w:rsid w:val="15DD7808"/>
    <w:rsid w:val="21690C6D"/>
    <w:rsid w:val="2F0E7201"/>
    <w:rsid w:val="36190BE4"/>
    <w:rsid w:val="392A132F"/>
    <w:rsid w:val="4E3B534E"/>
    <w:rsid w:val="61790893"/>
    <w:rsid w:val="6A3E1DEA"/>
    <w:rsid w:val="6DAE2E3A"/>
    <w:rsid w:val="76857F23"/>
    <w:rsid w:val="76A744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自选图形 444"/>
        <o:r id="V:Rule2" type="connector" idref="#自选图形 451"/>
        <o:r id="V:Rule3" type="connector" idref="#自选图形 452"/>
        <o:r id="V:Rule4" type="connector" idref="#_x0000_s2177"/>
        <o:r id="V:Rule5" type="connector" idref="#自选图形 454"/>
        <o:r id="V:Rule6" type="connector" idref="#自选图形 455"/>
        <o:r id="V:Rule7" type="connector" idref="#自选图形 457"/>
        <o:r id="V:Rule8" type="connector" idref="#自选图形 460"/>
        <o:r id="V:Rule9" type="connector" idref="#自选图形 463"/>
        <o:r id="V:Rule10" type="connector" idref="#自选图形 465"/>
        <o:r id="V:Rule11" type="connector" idref="#自选图形 466"/>
        <o:r id="V:Rule12" type="connector" idref="#自选图形 467"/>
        <o:r id="V:Rule13" type="connector" idref="#自选图形 468"/>
        <o:r id="V:Rule14" type="connector" idref="#自选图形 469"/>
        <o:r id="V:Rule15" type="connector" idref="#自选图形 470"/>
        <o:r id="V:Rule16" type="connector" idref="#自选图形 471"/>
        <o:r id="V:Rule17" type="connector" idref="#自选图形 472"/>
        <o:r id="V:Rule18" type="connector" idref="#自选图形 473"/>
        <o:r id="V:Rule19" type="connector" idref="#自选图形 474"/>
        <o:r id="V:Rule20" type="connector" idref="#自选图形 475"/>
        <o:r id="V:Rule21" type="connector" idref="#自选图形 476"/>
        <o:r id="V:Rule22" type="connector" idref="#自选图形 477"/>
        <o:r id="V:Rule23" type="connector" idref="#自选图形 478"/>
        <o:r id="V:Rule24" type="connector" idref="#自选图形 481"/>
        <o:r id="V:Rule25" type="connector" idref="#自选图形 482"/>
        <o:r id="V:Rule26" type="connector" idref="#自选图形 48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link w:val="2"/>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Info spid="_x0000_s2131"/>
    <customShpInfo spid="_x0000_s2149"/>
    <customShpInfo spid="_x0000_s2209"/>
    <customShpInfo spid="_x0000_s2179"/>
    <customShpInfo spid="_x0000_s2157"/>
    <customShpInfo spid="_x0000_s2147"/>
    <customShpInfo spid="_x0000_s2148"/>
    <customShpInfo spid="_x0000_s2210"/>
    <customShpInfo spid="_x0000_s2188"/>
    <customShpInfo spid="_x0000_s2182"/>
    <customShpInfo spid="_x0000_s2158"/>
    <customShpInfo spid="_x0000_s2211"/>
    <customShpInfo spid="_x0000_s2203"/>
    <customShpInfo spid="_x0000_s2153"/>
    <customShpInfo spid="_x0000_s2159"/>
    <customShpInfo spid="_x0000_s2208"/>
    <customShpInfo spid="_x0000_s2185"/>
    <customShpInfo spid="_x0000_s2152"/>
    <customShpInfo spid="_x0000_s2168"/>
    <customShpInfo spid="_x0000_s2197"/>
    <customShpInfo spid="_x0000_s2175"/>
    <customShpInfo spid="_x0000_s2178"/>
    <customShpInfo spid="_x0000_s2151"/>
    <customShpInfo spid="_x0000_s2145"/>
    <customShpInfo spid="_x0000_s2202"/>
    <customShpInfo spid="_x0000_s2144"/>
    <customShpInfo spid="_x0000_s2150"/>
    <customShpInfo spid="_x0000_s2173"/>
    <customShpInfo spid="_x0000_s2165"/>
    <customShpInfo spid="_x0000_s2206"/>
    <customShpInfo spid="_x0000_s2205"/>
    <customShpInfo spid="_x0000_s2160"/>
    <customShpInfo spid="_x0000_s2177"/>
    <customShpInfo spid="_x0000_s2198"/>
    <customShpInfo spid="_x0000_s2184"/>
    <customShpInfo spid="_x0000_s2181"/>
    <customShpInfo spid="_x0000_s2166"/>
    <customShpInfo spid="_x0000_s2161"/>
    <customShpInfo spid="_x0000_s2195"/>
    <customShpInfo spid="_x0000_s2196"/>
    <customShpInfo spid="_x0000_s2171"/>
    <customShpInfo spid="_x0000_s2199"/>
    <customShpInfo spid="_x0000_s2180"/>
    <customShpInfo spid="_x0000_s2142"/>
    <customShpInfo spid="_x0000_s2141"/>
    <customShpInfo spid="_x0000_s2156"/>
    <customShpInfo spid="_x0000_s2183"/>
    <customShpInfo spid="_x0000_s2167"/>
    <customShpInfo spid="_x0000_s2186"/>
    <customShpInfo spid="_x0000_s2162"/>
    <customShpInfo spid="_x0000_s2143"/>
    <customShpInfo spid="_x0000_s2174"/>
    <customShpInfo spid="_x0000_s2194"/>
    <customShpInfo spid="_x0000_s2189"/>
    <customShpInfo spid="_x0000_s2190"/>
    <customShpInfo spid="_x0000_s2200"/>
    <customShpInfo spid="_x0000_s2187"/>
    <customShpInfo spid="_x0000_s2201"/>
    <customShpInfo spid="_x0000_s2192"/>
    <customShpInfo spid="_x0000_s2193"/>
    <customShpInfo spid="_x0000_s2191"/>
    <customShpInfo spid="_x0000_s2176"/>
    <customShpInfo spid="_x0000_s2133"/>
    <customShpInfo spid="_x0000_s2170"/>
    <customShpInfo spid="_x0000_s2138"/>
    <customShpInfo spid="_x0000_s2134"/>
    <customShpInfo spid="_x0000_s2135"/>
    <customShpInfo spid="_x0000_s2139"/>
    <customShpInfo spid="_x0000_s2154"/>
    <customShpInfo spid="_x0000_s2207"/>
    <customShpInfo spid="_x0000_s2146"/>
    <customShpInfo spid="_x0000_s2136"/>
    <customShpInfo spid="_x0000_s2172"/>
    <customShpInfo spid="_x0000_s2140"/>
    <customShpInfo spid="_x0000_s2204"/>
    <customShpInfo spid="_x0000_s2163"/>
    <customShpInfo spid="_x0000_s2132"/>
    <customShpInfo spid="_x0000_s2155"/>
    <customShpInfo spid="_x0000_s2137"/>
    <customShpInfo spid="_x0000_s2169"/>
    <customShpInfo spid="_x0000_s21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3335</Words>
  <Characters>3586</Characters>
  <Lines>26</Lines>
  <Paragraphs>7</Paragraphs>
  <TotalTime>24</TotalTime>
  <ScaleCrop>false</ScaleCrop>
  <LinksUpToDate>false</LinksUpToDate>
  <CharactersWithSpaces>3606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2025-02-08T07:21:00Z</dcterms:created>
  <dc:creator>Administrator</dc:creator>
  <cp:lastModifiedBy>智吉</cp:lastModifiedBy>
  <dcterms:modified xsi:type="dcterms:W3CDTF">2025-02-10T03:17:54Z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E723BE59CE2C4E01A4D68AF4D8692EE9_13</vt:lpwstr>
  </property>
</Properties>
</file>