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宋体" w:eastAsia="黑体"/>
          <w:bCs/>
          <w:sz w:val="44"/>
          <w:szCs w:val="44"/>
          <w:highlight w:val="none"/>
          <w:lang w:val="en-US" w:eastAsia="zh-CN"/>
        </w:rPr>
        <w:t>柳州市柳江区中医医院2025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宋体"/>
          <w:bCs/>
          <w:szCs w:val="32"/>
          <w:lang w:val="en-US" w:eastAsia="zh-CN"/>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val="en-US" w:eastAsia="zh-CN"/>
        </w:rPr>
        <w:t>柳州市柳江区中医医院</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bCs/>
          <w:szCs w:val="32"/>
          <w:lang w:val="en-US" w:eastAsia="zh-CN"/>
        </w:rPr>
        <w:t>柳州市柳江区中医医院</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1487098">
      <w:pPr>
        <w:adjustRightInd w:val="0"/>
        <w:snapToGrid w:val="0"/>
        <w:spacing w:line="560" w:lineRule="exact"/>
        <w:ind w:right="-333" w:rightChars="-104" w:firstLine="640" w:firstLineChars="200"/>
        <w:rPr>
          <w:rFonts w:hint="eastAsia" w:ascii="黑体" w:hAnsi="宋体" w:eastAsia="黑体"/>
          <w:bCs/>
          <w:szCs w:val="32"/>
        </w:rPr>
      </w:pPr>
    </w:p>
    <w:p w14:paraId="6DADD78F">
      <w:pPr>
        <w:adjustRightInd w:val="0"/>
        <w:snapToGrid w:val="0"/>
        <w:spacing w:line="560" w:lineRule="exact"/>
        <w:ind w:right="-333" w:rightChars="-104" w:firstLine="640" w:firstLineChars="200"/>
        <w:rPr>
          <w:rFonts w:hint="eastAsia" w:ascii="黑体" w:hAnsi="宋体" w:eastAsia="黑体"/>
          <w:bCs/>
          <w:szCs w:val="32"/>
        </w:rPr>
      </w:pPr>
    </w:p>
    <w:p w14:paraId="65908ADC">
      <w:pPr>
        <w:adjustRightInd w:val="0"/>
        <w:snapToGrid w:val="0"/>
        <w:spacing w:line="560" w:lineRule="exact"/>
        <w:ind w:right="-333" w:rightChars="-104" w:firstLine="640" w:firstLineChars="200"/>
        <w:rPr>
          <w:rFonts w:hint="eastAsia" w:ascii="黑体" w:hAnsi="宋体" w:eastAsia="黑体"/>
          <w:bCs/>
          <w:szCs w:val="32"/>
        </w:rPr>
      </w:pPr>
    </w:p>
    <w:p w14:paraId="16614FA8">
      <w:pPr>
        <w:adjustRightInd w:val="0"/>
        <w:snapToGrid w:val="0"/>
        <w:spacing w:line="560" w:lineRule="exact"/>
        <w:ind w:right="-333" w:rightChars="-104" w:firstLine="640" w:firstLineChars="200"/>
        <w:rPr>
          <w:rFonts w:hint="eastAsia" w:ascii="黑体" w:hAnsi="宋体" w:eastAsia="黑体"/>
          <w:bCs/>
          <w:szCs w:val="32"/>
        </w:rPr>
      </w:pPr>
    </w:p>
    <w:p w14:paraId="022556BA">
      <w:pPr>
        <w:adjustRightInd w:val="0"/>
        <w:snapToGrid w:val="0"/>
        <w:spacing w:line="560" w:lineRule="exact"/>
        <w:ind w:right="-333" w:rightChars="-104" w:firstLine="640" w:firstLineChars="200"/>
        <w:rPr>
          <w:rFonts w:hint="eastAsia" w:ascii="黑体" w:hAnsi="宋体" w:eastAsia="黑体"/>
          <w:bCs/>
          <w:szCs w:val="32"/>
        </w:rPr>
      </w:pPr>
    </w:p>
    <w:p w14:paraId="2FEA9584">
      <w:pPr>
        <w:adjustRightInd w:val="0"/>
        <w:snapToGrid w:val="0"/>
        <w:spacing w:line="560" w:lineRule="exact"/>
        <w:ind w:right="-333" w:rightChars="-104" w:firstLine="640" w:firstLineChars="200"/>
        <w:rPr>
          <w:rFonts w:hint="eastAsia" w:ascii="黑体" w:hAnsi="宋体" w:eastAsia="黑体"/>
          <w:bCs/>
          <w:szCs w:val="32"/>
        </w:rPr>
      </w:pP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lang w:val="en-US" w:eastAsia="zh-CN"/>
        </w:rPr>
      </w:pPr>
      <w:r>
        <w:rPr>
          <w:rFonts w:hint="eastAsia" w:ascii="黑体" w:hAnsi="宋体" w:eastAsia="黑体"/>
          <w:bCs/>
          <w:szCs w:val="32"/>
        </w:rPr>
        <w:t>一</w:t>
      </w:r>
      <w:r>
        <w:rPr>
          <w:rFonts w:hint="eastAsia" w:ascii="黑体" w:hAnsi="宋体" w:eastAsia="黑体"/>
          <w:szCs w:val="32"/>
        </w:rPr>
        <w:t>、主要职</w:t>
      </w:r>
      <w:r>
        <w:rPr>
          <w:rFonts w:hint="eastAsia" w:ascii="黑体" w:hAnsi="宋体" w:eastAsia="黑体"/>
          <w:szCs w:val="32"/>
          <w:lang w:val="en-US" w:eastAsia="zh-CN"/>
        </w:rPr>
        <w:t>责</w:t>
      </w:r>
    </w:p>
    <w:p w14:paraId="3203728B">
      <w:pPr>
        <w:adjustRightInd w:val="0"/>
        <w:snapToGrid w:val="0"/>
        <w:spacing w:line="560" w:lineRule="exact"/>
        <w:ind w:right="-333" w:rightChars="-104" w:firstLine="640" w:firstLineChars="200"/>
        <w:rPr>
          <w:rFonts w:hint="eastAsia" w:ascii="黑体" w:hAnsi="宋体" w:eastAsia="黑体"/>
          <w:color w:val="auto"/>
          <w:szCs w:val="32"/>
        </w:rPr>
      </w:pPr>
      <w:r>
        <w:rPr>
          <w:rFonts w:hint="eastAsia" w:ascii="仿宋_GB2312" w:hAnsi="宋体"/>
          <w:color w:val="auto"/>
          <w:szCs w:val="32"/>
        </w:rPr>
        <w:t>为群众身体健康提供中西医疗与护理保健服务，承担教学科研、业务技术指导、预防保健、计划生育、康复医疗、社会公益服务等。</w:t>
      </w:r>
    </w:p>
    <w:p w14:paraId="44807F8E">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5CDD161E">
      <w:pPr>
        <w:spacing w:line="560" w:lineRule="exact"/>
        <w:ind w:firstLine="640" w:firstLineChars="200"/>
        <w:rPr>
          <w:rFonts w:hint="eastAsia" w:ascii="仿宋_GB2312" w:hAnsi="宋体"/>
          <w:color w:val="auto"/>
          <w:szCs w:val="32"/>
          <w:highlight w:val="yellow"/>
        </w:rPr>
      </w:pPr>
      <w:r>
        <w:rPr>
          <w:rFonts w:hint="eastAsia" w:ascii="仿宋_GB2312" w:hAnsi="宋体"/>
          <w:color w:val="auto"/>
          <w:szCs w:val="32"/>
          <w:highlight w:val="none"/>
        </w:rPr>
        <w:t>（一）机构设置</w:t>
      </w:r>
    </w:p>
    <w:p w14:paraId="5D8831A3">
      <w:pPr>
        <w:spacing w:line="4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医院占地面积16亩，建筑面积11434平方米，编制床位200张，人员核定编制128人，聘用人员控制数为320人。科室设置有急诊科(含发热门诊)、内一科(脑病科、心病科、肺病科、重症监护室)、内二科(脾胃病科、肝病科、胃肠镜室)、内三科(内分泌病科、肾病科、风湿病科、血液透析室)、外科、妇产科、儿科、骨一科(创伤科、神经外科)、骨二科(脊柱科、骨关节病科)、针灸推拿科、康复医学科、老年病科、治未病科、耳鼻咽喉科、眼科、口腔科、皮肤科、麻醉科(疼痛科)、手术室等</w:t>
      </w:r>
      <w:r>
        <w:rPr>
          <w:rFonts w:hint="eastAsia" w:ascii="仿宋_GB2312" w:hAnsi="仿宋_GB2312" w:cs="仿宋_GB2312"/>
          <w:color w:val="auto"/>
          <w:szCs w:val="32"/>
          <w:lang w:val="en-US" w:eastAsia="zh-CN"/>
        </w:rPr>
        <w:t>19</w:t>
      </w:r>
      <w:r>
        <w:rPr>
          <w:rFonts w:hint="eastAsia" w:ascii="仿宋_GB2312" w:hAnsi="仿宋_GB2312" w:cs="仿宋_GB2312"/>
          <w:color w:val="auto"/>
          <w:szCs w:val="32"/>
        </w:rPr>
        <w:t>个临床科室，其中3个自治区中医重点专科（骨伤科、妇科、针灸推拿科）。设药剂科、检验科、超声科（含心电图室）、输血科、放射科、消毒供应室等6个医技科室。设党建工作办公室、医院办公室、人事科、行风办、纪检监察室、医务科、质控科、科教科、医患关系办公室、护理部、感染预防与控制科、预防保健科、医保办、医改办、项目办、病案室、财务科、后勤科、安全保卫科、设备科、信息科、审计科、绩效办、物价科、工会办公室、统计室、图书室、体检科、门诊部、宣传科、外联办、采购管理办公室、采购办公室等行政职能科室。</w:t>
      </w:r>
    </w:p>
    <w:p w14:paraId="4BC1013F">
      <w:pPr>
        <w:spacing w:line="560" w:lineRule="exact"/>
        <w:ind w:firstLine="640" w:firstLineChars="200"/>
        <w:rPr>
          <w:rFonts w:hint="eastAsia" w:ascii="仿宋_GB2312" w:hAnsi="仿宋_GB2312" w:eastAsia="仿宋_GB2312" w:cs="仿宋_GB2312"/>
          <w:color w:val="auto"/>
          <w:szCs w:val="32"/>
          <w:lang w:eastAsia="zh-CN"/>
        </w:rPr>
      </w:pPr>
      <w:r>
        <w:rPr>
          <w:rFonts w:hint="eastAsia" w:ascii="仿宋_GB2312" w:hAnsi="仿宋_GB2312" w:cs="仿宋_GB2312"/>
          <w:color w:val="auto"/>
          <w:szCs w:val="32"/>
        </w:rPr>
        <w:t>2021年6月，我院基隆综合门诊部正式对外开诊。医院整体搬迁项目建设地址位于柳州市柳江区柳江大道核心地段</w:t>
      </w:r>
      <w:r>
        <w:rPr>
          <w:rFonts w:hint="eastAsia" w:ascii="仿宋_GB2312" w:hAnsi="仿宋_GB2312" w:cs="仿宋_GB2312"/>
          <w:color w:val="auto"/>
          <w:szCs w:val="32"/>
          <w:lang w:eastAsia="zh-CN"/>
        </w:rPr>
        <w:t>，</w:t>
      </w:r>
      <w:r>
        <w:rPr>
          <w:rFonts w:hint="eastAsia" w:ascii="仿宋_GB2312" w:hAnsi="仿宋_GB2312" w:cs="仿宋_GB2312"/>
          <w:color w:val="auto"/>
          <w:szCs w:val="32"/>
        </w:rPr>
        <w:t>新院按三级甲等中医医院标准建设，占地面积51.6亩，总建筑面积6.08万平方米，可开放床位700余张。</w:t>
      </w:r>
    </w:p>
    <w:p w14:paraId="4E1CE485">
      <w:pPr>
        <w:spacing w:line="560" w:lineRule="exact"/>
        <w:ind w:firstLine="640" w:firstLineChars="200"/>
        <w:rPr>
          <w:rFonts w:hint="eastAsia" w:ascii="仿宋_GB2312" w:hAnsi="仿宋_GB2312" w:cs="仿宋_GB2312"/>
          <w:color w:val="auto"/>
          <w:szCs w:val="32"/>
          <w:lang w:val="en-US" w:eastAsia="zh-CN"/>
        </w:rPr>
      </w:pPr>
      <w:r>
        <w:rPr>
          <w:rFonts w:hint="eastAsia" w:ascii="仿宋_GB2312" w:hAnsi="仿宋_GB2312" w:cs="仿宋_GB2312"/>
          <w:color w:val="auto"/>
          <w:szCs w:val="32"/>
          <w:lang w:val="en-US" w:eastAsia="zh-CN"/>
        </w:rPr>
        <w:t>（二）编制现状</w:t>
      </w:r>
    </w:p>
    <w:p w14:paraId="6CE5CF16">
      <w:pPr>
        <w:spacing w:line="560" w:lineRule="exact"/>
        <w:ind w:firstLine="640" w:firstLineChars="200"/>
        <w:rPr>
          <w:rFonts w:hint="eastAsia" w:ascii="仿宋_GB2312" w:hAnsi="仿宋_GB2312" w:cs="仿宋_GB2312"/>
          <w:color w:val="auto"/>
          <w:szCs w:val="32"/>
          <w:lang w:val="en-US" w:eastAsia="zh-CN"/>
        </w:rPr>
      </w:pPr>
      <w:r>
        <w:rPr>
          <w:rFonts w:hint="eastAsia" w:ascii="仿宋_GB2312" w:hAnsi="仿宋_GB2312" w:cs="仿宋_GB2312"/>
          <w:color w:val="auto"/>
          <w:szCs w:val="32"/>
          <w:lang w:val="en-US" w:eastAsia="zh-CN"/>
        </w:rPr>
        <w:t>经区机构编制委员会办公室核定，我院行政及事业单位编制128名，现实际占用编制120名。</w:t>
      </w:r>
    </w:p>
    <w:p w14:paraId="64678A98">
      <w:pPr>
        <w:spacing w:line="560" w:lineRule="exact"/>
        <w:ind w:firstLine="640" w:firstLineChars="200"/>
        <w:rPr>
          <w:rFonts w:hint="eastAsia" w:ascii="仿宋_GB2312" w:hAnsi="仿宋_GB2312" w:cs="仿宋_GB2312"/>
          <w:color w:val="auto"/>
          <w:szCs w:val="32"/>
          <w:lang w:val="en-US" w:eastAsia="zh-CN"/>
        </w:rPr>
      </w:pPr>
      <w:r>
        <w:rPr>
          <w:rFonts w:hint="eastAsia" w:ascii="仿宋_GB2312" w:hAnsi="仿宋_GB2312" w:cs="仿宋_GB2312"/>
          <w:color w:val="auto"/>
          <w:szCs w:val="32"/>
          <w:lang w:val="en-US" w:eastAsia="zh-CN"/>
        </w:rPr>
        <w:t>（三）人员构成情况</w:t>
      </w:r>
    </w:p>
    <w:p w14:paraId="01D4A22C">
      <w:pPr>
        <w:spacing w:line="560" w:lineRule="exact"/>
        <w:ind w:firstLine="640" w:firstLineChars="200"/>
        <w:rPr>
          <w:rFonts w:hint="eastAsia" w:ascii="仿宋_GB2312" w:hAnsi="仿宋_GB2312" w:cs="仿宋_GB2312"/>
          <w:color w:val="auto"/>
          <w:szCs w:val="32"/>
          <w:lang w:val="en-US" w:eastAsia="zh-CN"/>
        </w:rPr>
      </w:pPr>
      <w:r>
        <w:rPr>
          <w:rFonts w:hint="eastAsia" w:ascii="仿宋_GB2312" w:hAnsi="仿宋_GB2312" w:cs="仿宋_GB2312"/>
          <w:color w:val="auto"/>
          <w:szCs w:val="32"/>
          <w:lang w:val="en-US" w:eastAsia="zh-CN"/>
        </w:rPr>
        <w:t>我院实有人数375人，其中卫生技术人员317人，包括：医师105人，护理165人，医技29人，药剂18人。具有高级职称35人，正高级职称3人，副高级职称32人，中级职称121人，初级职称175人，硕士研究生3人。现有派驻专家12人，其中高级职称1人，正高级职称1人，中级职称3人，硕士研究生9人。</w:t>
      </w:r>
    </w:p>
    <w:p w14:paraId="7D395FF3">
      <w:pPr>
        <w:spacing w:line="5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lang w:val="en-US" w:eastAsia="zh-CN"/>
        </w:rPr>
        <w:t>离退休人员62人，其中，离休人员0人，退休人员62 人。</w:t>
      </w:r>
    </w:p>
    <w:p w14:paraId="708EEA6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第二部分：柳州市柳江区中医医院</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07A7473B">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10102.50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10102.50</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284.02</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2.73%。总支出</w:t>
      </w:r>
      <w:r>
        <w:rPr>
          <w:rFonts w:hint="eastAsia" w:ascii="仿宋_GB2312"/>
          <w:sz w:val="32"/>
          <w:szCs w:val="32"/>
          <w:lang w:eastAsia="zh-CN"/>
        </w:rPr>
        <w:t>较上年减少</w:t>
      </w:r>
      <w:r>
        <w:rPr>
          <w:rFonts w:hint="eastAsia" w:ascii="仿宋_GB2312"/>
          <w:sz w:val="32"/>
          <w:szCs w:val="32"/>
          <w:lang w:val="en-US" w:eastAsia="zh-CN"/>
        </w:rPr>
        <w:t>2.73%，主要原因是财政压缩经费，减少在编人员工资。</w:t>
      </w:r>
    </w:p>
    <w:p w14:paraId="2FB6A1E0">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329A231C">
      <w:pPr>
        <w:tabs>
          <w:tab w:val="center" w:pos="4475"/>
        </w:tabs>
        <w:spacing w:line="560" w:lineRule="exact"/>
        <w:ind w:firstLine="645"/>
        <w:rPr>
          <w:rFonts w:hint="eastAsia" w:ascii="仿宋_GB2312" w:hAnsi="宋体"/>
          <w:color w:val="auto"/>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10102.50</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284.02</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2.73%，主要原因是财政压缩经费，减少在编人员工资。</w:t>
      </w:r>
      <w:r>
        <w:rPr>
          <w:rFonts w:hint="eastAsia" w:ascii="仿宋_GB2312"/>
          <w:color w:val="auto"/>
          <w:sz w:val="32"/>
          <w:szCs w:val="32"/>
          <w:lang w:val="en-US" w:eastAsia="zh-CN"/>
        </w:rPr>
        <w:t>单位收入主要包括：</w:t>
      </w:r>
      <w:r>
        <w:rPr>
          <w:rFonts w:hint="eastAsia" w:ascii="仿宋_GB2312" w:hAnsi="宋体"/>
          <w:color w:val="auto"/>
          <w:szCs w:val="32"/>
          <w:lang w:val="en-US" w:eastAsia="zh-CN"/>
        </w:rPr>
        <w:t>一般公共预算拨款98.90万元，占总收入的0.98%；单位资金10003.60万元，占总收入的99.02%。</w:t>
      </w:r>
    </w:p>
    <w:p w14:paraId="2E04A3E8">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634FCFB7">
      <w:pPr>
        <w:tabs>
          <w:tab w:val="center" w:pos="4475"/>
        </w:tabs>
        <w:spacing w:line="560" w:lineRule="exact"/>
        <w:ind w:firstLine="645"/>
        <w:rPr>
          <w:rFonts w:hint="eastAsia" w:ascii="仿宋_GB2312" w:hAnsi="宋体"/>
          <w:color w:val="auto"/>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10102.50</w:t>
      </w:r>
      <w:r>
        <w:rPr>
          <w:rFonts w:hint="eastAsia" w:ascii="仿宋_GB2312" w:eastAsia="仿宋_GB2312"/>
          <w:sz w:val="32"/>
          <w:szCs w:val="32"/>
        </w:rPr>
        <w:t>万元</w:t>
      </w:r>
      <w:r>
        <w:rPr>
          <w:rFonts w:hint="eastAsia" w:ascii="仿宋_GB2312"/>
          <w:sz w:val="32"/>
          <w:szCs w:val="32"/>
          <w:lang w:eastAsia="zh-CN"/>
        </w:rPr>
        <w:t>，减少</w:t>
      </w:r>
      <w:r>
        <w:rPr>
          <w:rFonts w:hint="eastAsia" w:ascii="仿宋_GB2312"/>
          <w:sz w:val="32"/>
          <w:szCs w:val="32"/>
          <w:lang w:val="en-US" w:eastAsia="zh-CN"/>
        </w:rPr>
        <w:t>284.02</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2.73%，主要原因是财政压缩经费，减少在编人员工资支出。</w:t>
      </w:r>
      <w:r>
        <w:rPr>
          <w:rFonts w:hint="eastAsia" w:ascii="仿宋_GB2312"/>
          <w:color w:val="auto"/>
          <w:sz w:val="32"/>
          <w:szCs w:val="32"/>
          <w:lang w:val="en-US" w:eastAsia="zh-CN"/>
        </w:rPr>
        <w:t>单位支出主要包括：</w:t>
      </w:r>
      <w:r>
        <w:rPr>
          <w:rFonts w:hint="eastAsia" w:ascii="仿宋_GB2312" w:hAnsi="宋体"/>
          <w:color w:val="auto"/>
          <w:szCs w:val="32"/>
          <w:lang w:val="en-US" w:eastAsia="zh-CN"/>
        </w:rPr>
        <w:t>社会保障和就业支出97.80万元，占总支出的0.97%；卫生健康支出10004.70万元，占总支出的99.03%。</w:t>
      </w:r>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38F1A052">
      <w:pPr>
        <w:tabs>
          <w:tab w:val="center" w:pos="4475"/>
        </w:tabs>
        <w:spacing w:line="560" w:lineRule="exact"/>
        <w:ind w:firstLine="645"/>
        <w:rPr>
          <w:rFonts w:hint="eastAsia" w:ascii="仿宋_GB2312" w:hAnsi="宋体" w:eastAsia="仿宋_GB2312"/>
          <w:b/>
          <w:bCs/>
          <w:szCs w:val="32"/>
          <w:highlight w:val="none"/>
          <w:u w:val="single"/>
          <w:lang w:eastAsia="zh-CN"/>
        </w:rPr>
      </w:pPr>
      <w:r>
        <w:rPr>
          <w:rFonts w:hint="eastAsia" w:ascii="仿宋_GB2312"/>
          <w:szCs w:val="32"/>
        </w:rPr>
        <w:t>我单位202</w:t>
      </w:r>
      <w:r>
        <w:rPr>
          <w:rFonts w:hint="eastAsia" w:ascii="仿宋_GB2312"/>
          <w:szCs w:val="32"/>
          <w:lang w:val="en-US" w:eastAsia="zh-CN"/>
        </w:rPr>
        <w:t>5</w:t>
      </w:r>
      <w:r>
        <w:rPr>
          <w:rFonts w:hint="eastAsia" w:ascii="仿宋_GB2312"/>
          <w:szCs w:val="32"/>
        </w:rPr>
        <w:t>年无政府性基金预算</w:t>
      </w:r>
      <w:r>
        <w:rPr>
          <w:rFonts w:hint="eastAsia" w:ascii="仿宋_GB2312"/>
          <w:szCs w:val="32"/>
          <w:lang w:eastAsia="zh-CN"/>
        </w:rPr>
        <w:t>。</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2D745E22">
      <w:pPr>
        <w:tabs>
          <w:tab w:val="center" w:pos="4475"/>
        </w:tabs>
        <w:spacing w:line="560" w:lineRule="exact"/>
        <w:ind w:firstLine="645"/>
        <w:rPr>
          <w:rFonts w:hint="eastAsia" w:ascii="仿宋_GB2312"/>
          <w:szCs w:val="32"/>
        </w:rPr>
      </w:pPr>
      <w:r>
        <w:rPr>
          <w:rFonts w:hint="eastAsia" w:ascii="仿宋_GB2312"/>
          <w:szCs w:val="32"/>
        </w:rPr>
        <w:t>我单位202</w:t>
      </w:r>
      <w:r>
        <w:rPr>
          <w:rFonts w:hint="eastAsia" w:ascii="仿宋_GB2312"/>
          <w:szCs w:val="32"/>
          <w:lang w:val="en-US" w:eastAsia="zh-CN"/>
        </w:rPr>
        <w:t>5</w:t>
      </w:r>
      <w:r>
        <w:rPr>
          <w:rFonts w:hint="eastAsia" w:ascii="仿宋_GB2312"/>
          <w:szCs w:val="32"/>
        </w:rPr>
        <w:t>年无国有资本经营预算。</w:t>
      </w:r>
    </w:p>
    <w:p w14:paraId="0BBE43BD">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58F8C327">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w:t>
      </w:r>
      <w:r>
        <w:rPr>
          <w:rFonts w:hint="eastAsia" w:ascii="仿宋_GB2312"/>
          <w:bCs/>
        </w:rPr>
        <w:t>万元，同口径比202</w:t>
      </w:r>
      <w:r>
        <w:rPr>
          <w:rFonts w:hint="eastAsia" w:ascii="仿宋_GB2312"/>
          <w:bCs/>
          <w:lang w:val="en-US" w:eastAsia="zh-CN"/>
        </w:rPr>
        <w:t>4</w:t>
      </w:r>
      <w:r>
        <w:rPr>
          <w:rFonts w:hint="eastAsia" w:ascii="仿宋_GB2312"/>
          <w:bCs/>
        </w:rPr>
        <w:t>年</w:t>
      </w:r>
      <w:r>
        <w:rPr>
          <w:rFonts w:hint="eastAsia" w:ascii="仿宋_GB2312"/>
          <w:bCs/>
          <w:lang w:val="en-US" w:eastAsia="zh-CN"/>
        </w:rPr>
        <w:t>无变化</w:t>
      </w:r>
      <w:r>
        <w:rPr>
          <w:rFonts w:hint="eastAsia" w:ascii="仿宋_GB2312"/>
          <w:bCs/>
        </w:rPr>
        <w:t>，具体如下：</w:t>
      </w:r>
    </w:p>
    <w:p w14:paraId="3817793E">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49930F17">
      <w:pPr>
        <w:tabs>
          <w:tab w:val="center" w:pos="4475"/>
        </w:tabs>
        <w:spacing w:line="560" w:lineRule="exact"/>
        <w:ind w:firstLine="645"/>
        <w:rPr>
          <w:rFonts w:hint="eastAsia" w:ascii="黑体" w:eastAsia="黑体"/>
          <w:szCs w:val="32"/>
          <w:lang w:eastAsia="zh-CN"/>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31CE94C3">
      <w:pPr>
        <w:tabs>
          <w:tab w:val="center" w:pos="4475"/>
        </w:tabs>
        <w:spacing w:line="560" w:lineRule="exact"/>
        <w:ind w:firstLine="645"/>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事业单位相关运行经费安排情况说明</w:t>
      </w:r>
    </w:p>
    <w:p w14:paraId="2A856E88">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我事业单位运行经费</w:t>
      </w:r>
      <w:r>
        <w:rPr>
          <w:rFonts w:hint="eastAsia" w:ascii="仿宋_GB2312" w:hAnsi="宋体" w:cs="Times New Roman"/>
          <w:szCs w:val="32"/>
          <w:highlight w:val="none"/>
          <w:lang w:val="en-US" w:eastAsia="zh-CN"/>
        </w:rPr>
        <w:t>均为</w:t>
      </w:r>
      <w:r>
        <w:rPr>
          <w:rFonts w:hint="eastAsia" w:ascii="仿宋_GB2312" w:eastAsia="仿宋_GB2312"/>
          <w:sz w:val="32"/>
          <w:szCs w:val="32"/>
        </w:rPr>
        <w:t>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运行经费预算3.10万元，较上年增加0.10</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3.33%，增长的主要原因是退休人员增加。</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4ADD3F39">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779.12</w:t>
      </w:r>
      <w:r>
        <w:rPr>
          <w:rFonts w:hint="eastAsia" w:ascii="仿宋_GB2312" w:hAnsi="宋体"/>
          <w:szCs w:val="32"/>
        </w:rPr>
        <w:t>万元</w:t>
      </w:r>
      <w:r>
        <w:rPr>
          <w:rFonts w:hint="eastAsia" w:ascii="仿宋_GB2312" w:hAnsi="宋体"/>
          <w:szCs w:val="32"/>
          <w:lang w:eastAsia="zh-CN"/>
        </w:rPr>
        <w:t>，</w:t>
      </w:r>
      <w:r>
        <w:rPr>
          <w:rFonts w:hint="eastAsia" w:ascii="仿宋_GB2312" w:hAnsi="宋体"/>
          <w:szCs w:val="32"/>
        </w:rPr>
        <w:t>其中：货物类采购</w:t>
      </w:r>
      <w:r>
        <w:rPr>
          <w:rFonts w:hint="eastAsia" w:ascii="仿宋_GB2312" w:hAnsi="宋体"/>
          <w:szCs w:val="32"/>
          <w:lang w:val="en-US" w:eastAsia="zh-CN"/>
        </w:rPr>
        <w:t>779.12</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7D659324">
      <w:pPr>
        <w:tabs>
          <w:tab w:val="center" w:pos="4475"/>
        </w:tabs>
        <w:spacing w:line="560" w:lineRule="exact"/>
        <w:ind w:firstLine="645"/>
        <w:rPr>
          <w:rFonts w:hint="eastAsia" w:ascii="仿宋_GB2312" w:hAnsi="宋体"/>
          <w:b/>
          <w:bCs/>
          <w:szCs w:val="32"/>
          <w:highlight w:val="none"/>
          <w:u w:val="single"/>
        </w:rPr>
      </w:pPr>
      <w:r>
        <w:rPr>
          <w:rFonts w:hint="eastAsia" w:ascii="仿宋_GB2312"/>
          <w:szCs w:val="32"/>
        </w:rPr>
        <w:t>截至202</w:t>
      </w:r>
      <w:r>
        <w:rPr>
          <w:rFonts w:hint="eastAsia" w:ascii="仿宋_GB2312"/>
          <w:szCs w:val="32"/>
          <w:lang w:val="en-US" w:eastAsia="zh-CN"/>
        </w:rPr>
        <w:t>4</w:t>
      </w:r>
      <w:r>
        <w:rPr>
          <w:rFonts w:hint="eastAsia" w:ascii="仿宋_GB2312"/>
          <w:szCs w:val="32"/>
        </w:rPr>
        <w:t>年底，本单位共有车辆7辆，其中：应急保障用车6辆</w:t>
      </w:r>
      <w:r>
        <w:rPr>
          <w:rFonts w:hint="eastAsia" w:ascii="仿宋_GB2312"/>
          <w:szCs w:val="32"/>
          <w:lang w:eastAsia="zh-CN"/>
        </w:rPr>
        <w:t>，</w:t>
      </w:r>
      <w:r>
        <w:rPr>
          <w:rFonts w:hint="eastAsia" w:ascii="仿宋_GB2312"/>
          <w:szCs w:val="32"/>
        </w:rPr>
        <w:t>其他用车1辆，其他用车主要是公务用车；单价100万元（含）以上设备10台（套）。</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1901FA47">
      <w:pPr>
        <w:tabs>
          <w:tab w:val="center" w:pos="4475"/>
        </w:tabs>
        <w:suppressAutoHyphens w:val="0"/>
        <w:autoSpaceDN w:val="0"/>
        <w:spacing w:line="560" w:lineRule="exact"/>
        <w:ind w:firstLine="645"/>
        <w:rPr>
          <w:rFonts w:hint="eastAsia" w:ascii="仿宋_GB2312" w:hAnsi="宋体"/>
          <w:szCs w:val="32"/>
          <w:highlight w:val="none"/>
          <w:lang w:val="en-US" w:eastAsia="zh-CN"/>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2025年所有项目支出全面实施绩效目标管理，涉及本级项目</w:t>
      </w:r>
      <w:r>
        <w:rPr>
          <w:rFonts w:hint="eastAsia" w:ascii="仿宋_GB2312" w:cs="仿宋_GB2312"/>
          <w:b w:val="0"/>
          <w:bCs w:val="0"/>
          <w:caps w:val="0"/>
          <w:color w:val="auto"/>
          <w:kern w:val="2"/>
          <w:sz w:val="32"/>
          <w:szCs w:val="32"/>
          <w:vertAlign w:val="baseline"/>
          <w:lang w:val="en-US" w:eastAsia="zh-CN" w:bidi="ar"/>
        </w:rPr>
        <w:t>3</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10004.70</w:t>
      </w:r>
      <w:r>
        <w:rPr>
          <w:rFonts w:hint="eastAsia" w:ascii="仿宋_GB2312" w:hAnsi="Times New Roman" w:eastAsia="仿宋_GB2312" w:cs="仿宋_GB2312"/>
          <w:b w:val="0"/>
          <w:bCs w:val="0"/>
          <w:caps w:val="0"/>
          <w:color w:val="auto"/>
          <w:kern w:val="2"/>
          <w:sz w:val="32"/>
          <w:szCs w:val="32"/>
          <w:vertAlign w:val="baseline"/>
          <w:lang w:val="en-US" w:eastAsia="zh-CN" w:bidi="ar"/>
        </w:rPr>
        <w:t>万元。绩效目标情况详见报表</w:t>
      </w:r>
      <w:bookmarkStart w:id="0" w:name="_GoBack"/>
      <w:bookmarkEnd w:id="0"/>
      <w:r>
        <w:rPr>
          <w:rFonts w:hint="eastAsia" w:ascii="仿宋_GB2312" w:hAnsi="Times New Roman" w:eastAsia="仿宋_GB2312" w:cs="仿宋_GB2312"/>
          <w:b w:val="0"/>
          <w:bCs w:val="0"/>
          <w:caps w:val="0"/>
          <w:color w:val="auto"/>
          <w:kern w:val="2"/>
          <w:sz w:val="32"/>
          <w:szCs w:val="32"/>
          <w:vertAlign w:val="baseline"/>
          <w:lang w:val="en-US" w:eastAsia="zh-CN" w:bidi="ar"/>
        </w:rPr>
        <w:t>。</w:t>
      </w:r>
    </w:p>
    <w:p w14:paraId="111D9D22">
      <w:pPr>
        <w:tabs>
          <w:tab w:val="center" w:pos="4475"/>
        </w:tabs>
        <w:spacing w:line="560" w:lineRule="exact"/>
        <w:ind w:firstLine="640" w:firstLineChars="200"/>
        <w:rPr>
          <w:rFonts w:hint="default" w:ascii="黑体" w:eastAsia="黑体"/>
          <w:szCs w:val="32"/>
          <w:lang w:val="en-US" w:eastAsia="zh-CN"/>
        </w:rPr>
      </w:pPr>
      <w:r>
        <w:rPr>
          <w:rFonts w:hint="eastAsia" w:ascii="仿宋_GB2312"/>
          <w:sz w:val="32"/>
          <w:szCs w:val="32"/>
          <w:lang w:val="en-US" w:eastAsia="zh-CN"/>
        </w:rPr>
        <w:t>（二）重点项目预算绩效目标说明。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767"/>
        <w:gridCol w:w="5858"/>
      </w:tblGrid>
      <w:tr w14:paraId="69DF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noWrap w:val="0"/>
            <w:vAlign w:val="top"/>
          </w:tcPr>
          <w:p w14:paraId="08DA8C2E">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1767" w:type="dxa"/>
            <w:noWrap w:val="0"/>
            <w:vAlign w:val="top"/>
          </w:tcPr>
          <w:p w14:paraId="195C7948">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5858" w:type="dxa"/>
            <w:noWrap w:val="0"/>
            <w:vAlign w:val="top"/>
          </w:tcPr>
          <w:p w14:paraId="420371F2">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14:paraId="3BCB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noWrap w:val="0"/>
            <w:vAlign w:val="top"/>
          </w:tcPr>
          <w:p w14:paraId="7AED4798">
            <w:pPr>
              <w:tabs>
                <w:tab w:val="center" w:pos="4475"/>
              </w:tabs>
              <w:spacing w:line="560" w:lineRule="exact"/>
              <w:rPr>
                <w:rFonts w:hint="default" w:ascii="仿宋_GB2312" w:hAnsi="仿宋_GB2312" w:eastAsia="仿宋_GB2312" w:cs="仿宋_GB2312"/>
                <w:szCs w:val="32"/>
                <w:vertAlign w:val="baseline"/>
                <w:lang w:eastAsia="zh-CN"/>
              </w:rPr>
            </w:pPr>
            <w:r>
              <w:rPr>
                <w:rFonts w:hint="eastAsia" w:ascii="仿宋_GB2312" w:hAnsi="仿宋_GB2312" w:cs="仿宋_GB2312"/>
                <w:szCs w:val="32"/>
                <w:vertAlign w:val="baseline"/>
                <w:lang w:val="en-US" w:eastAsia="zh-CN"/>
              </w:rPr>
              <w:t>医学院校实习费</w:t>
            </w:r>
          </w:p>
        </w:tc>
        <w:tc>
          <w:tcPr>
            <w:tcW w:w="1767" w:type="dxa"/>
            <w:noWrap w:val="0"/>
            <w:vAlign w:val="top"/>
          </w:tcPr>
          <w:p w14:paraId="368821C9">
            <w:pPr>
              <w:tabs>
                <w:tab w:val="center" w:pos="4475"/>
              </w:tabs>
              <w:spacing w:line="560" w:lineRule="exact"/>
              <w:jc w:val="center"/>
              <w:rPr>
                <w:rFonts w:hint="default" w:ascii="仿宋_GB2312" w:hAnsi="仿宋_GB2312" w:eastAsia="仿宋_GB2312" w:cs="仿宋_GB2312"/>
                <w:szCs w:val="32"/>
                <w:vertAlign w:val="baseline"/>
                <w:lang w:val="en-US"/>
              </w:rPr>
            </w:pPr>
            <w:r>
              <w:rPr>
                <w:rFonts w:hint="eastAsia" w:ascii="仿宋_GB2312" w:hAnsi="仿宋_GB2312" w:cs="仿宋_GB2312"/>
                <w:szCs w:val="32"/>
                <w:vertAlign w:val="baseline"/>
                <w:lang w:val="en-US" w:eastAsia="zh-CN"/>
              </w:rPr>
              <w:t>1.10</w:t>
            </w:r>
          </w:p>
        </w:tc>
        <w:tc>
          <w:tcPr>
            <w:tcW w:w="5858" w:type="dxa"/>
            <w:noWrap w:val="0"/>
            <w:vAlign w:val="top"/>
          </w:tcPr>
          <w:p w14:paraId="552C9F94">
            <w:pPr>
              <w:tabs>
                <w:tab w:val="center" w:pos="4475"/>
              </w:tabs>
              <w:spacing w:line="560" w:lineRule="exact"/>
              <w:ind w:firstLine="645"/>
              <w:rPr>
                <w:rFonts w:hint="default" w:ascii="仿宋_GB2312" w:hAnsi="仿宋_GB2312" w:eastAsia="仿宋_GB2312" w:cs="仿宋_GB2312"/>
                <w:szCs w:val="32"/>
                <w:vertAlign w:val="baseline"/>
              </w:rPr>
            </w:pPr>
            <w:r>
              <w:rPr>
                <w:rFonts w:hint="eastAsia" w:ascii="仿宋_GB2312" w:hAnsi="宋体"/>
                <w:szCs w:val="32"/>
              </w:rPr>
              <w:t>绩效目标为</w:t>
            </w:r>
            <w:r>
              <w:rPr>
                <w:rFonts w:hint="eastAsia" w:ascii="仿宋_GB2312" w:hAnsi="仿宋_GB2312" w:cs="仿宋_GB2312"/>
                <w:szCs w:val="32"/>
                <w:vertAlign w:val="baseline"/>
                <w:lang w:eastAsia="zh-CN"/>
              </w:rPr>
              <w:t>严格按照收费标准收取实习费，及时足额上缴财政，按规定使用该笔经费。</w:t>
            </w:r>
            <w:r>
              <w:rPr>
                <w:rFonts w:hint="eastAsia" w:ascii="仿宋_GB2312" w:hAnsi="宋体"/>
                <w:szCs w:val="32"/>
              </w:rPr>
              <w:t>设1条数量指标：结算供应商数量＝1家；设1条质量指标：</w:t>
            </w:r>
            <w:r>
              <w:rPr>
                <w:rFonts w:hint="eastAsia"/>
              </w:rPr>
              <w:t>及时结算率＝100%</w:t>
            </w:r>
            <w:r>
              <w:rPr>
                <w:rFonts w:hint="eastAsia" w:ascii="仿宋_GB2312" w:hAnsi="宋体"/>
                <w:szCs w:val="32"/>
              </w:rPr>
              <w:t>；设1条时效指标：</w:t>
            </w:r>
            <w:r>
              <w:rPr>
                <w:rFonts w:hint="eastAsia"/>
              </w:rPr>
              <w:t>结算时间1至12月</w:t>
            </w:r>
            <w:r>
              <w:rPr>
                <w:rFonts w:hint="eastAsia" w:ascii="仿宋_GB2312" w:hAnsi="宋体"/>
                <w:szCs w:val="32"/>
              </w:rPr>
              <w:t>；设1条成本指标：</w:t>
            </w:r>
            <w:r>
              <w:rPr>
                <w:rFonts w:hint="eastAsia"/>
              </w:rPr>
              <w:t xml:space="preserve"> </w:t>
            </w:r>
            <w:r>
              <w:rPr>
                <w:rFonts w:hint="eastAsia" w:ascii="仿宋_GB2312" w:hAnsi="宋体"/>
                <w:szCs w:val="32"/>
              </w:rPr>
              <w:t>结算成本≤10960元；设1条社会效益指标：</w:t>
            </w:r>
            <w:r>
              <w:rPr>
                <w:rFonts w:hint="eastAsia"/>
              </w:rPr>
              <w:t xml:space="preserve"> </w:t>
            </w:r>
            <w:r>
              <w:rPr>
                <w:rFonts w:hint="eastAsia" w:ascii="仿宋_GB2312" w:hAnsi="宋体"/>
                <w:szCs w:val="32"/>
              </w:rPr>
              <w:t>医疗废物处置得到及时规范处置；设1条满意度指标：供应商满意度≥95%。</w:t>
            </w:r>
          </w:p>
        </w:tc>
      </w:tr>
    </w:tbl>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1B2CCB93">
      <w:pPr>
        <w:adjustRightInd w:val="0"/>
        <w:snapToGrid w:val="0"/>
        <w:spacing w:line="560" w:lineRule="exact"/>
        <w:ind w:right="-333" w:rightChars="-104" w:firstLine="640" w:firstLineChars="200"/>
        <w:rPr>
          <w:rFonts w:hint="eastAsia" w:ascii="黑体" w:hAnsi="宋体" w:eastAsia="黑体"/>
          <w:szCs w:val="32"/>
          <w:lang w:eastAsia="zh-CN"/>
        </w:rPr>
      </w:pPr>
    </w:p>
    <w:p w14:paraId="2ED03A6D">
      <w:pPr>
        <w:adjustRightInd w:val="0"/>
        <w:snapToGrid w:val="0"/>
        <w:spacing w:line="560" w:lineRule="exact"/>
        <w:ind w:right="-333" w:rightChars="-104" w:firstLine="640" w:firstLineChars="200"/>
        <w:rPr>
          <w:rFonts w:hint="eastAsia" w:ascii="黑体" w:hAnsi="宋体" w:eastAsia="黑体"/>
          <w:szCs w:val="32"/>
          <w:lang w:eastAsia="zh-CN"/>
        </w:rPr>
      </w:pPr>
    </w:p>
    <w:p w14:paraId="3F864A1E">
      <w:pPr>
        <w:adjustRightInd w:val="0"/>
        <w:snapToGrid w:val="0"/>
        <w:spacing w:line="560" w:lineRule="exact"/>
        <w:ind w:right="-333" w:rightChars="-104" w:firstLine="640" w:firstLineChars="200"/>
        <w:rPr>
          <w:rFonts w:hint="eastAsia" w:ascii="黑体" w:hAnsi="宋体" w:eastAsia="黑体"/>
          <w:szCs w:val="32"/>
          <w:lang w:eastAsia="zh-CN"/>
        </w:rPr>
      </w:pPr>
    </w:p>
    <w:p w14:paraId="6979EF18">
      <w:pPr>
        <w:adjustRightInd w:val="0"/>
        <w:snapToGrid w:val="0"/>
        <w:spacing w:line="560" w:lineRule="exact"/>
        <w:ind w:right="-333" w:rightChars="-104" w:firstLine="640" w:firstLineChars="200"/>
        <w:rPr>
          <w:rFonts w:hint="eastAsia" w:ascii="黑体" w:hAnsi="宋体" w:eastAsia="黑体"/>
          <w:szCs w:val="32"/>
          <w:lang w:eastAsia="zh-CN"/>
        </w:rPr>
      </w:pPr>
    </w:p>
    <w:p w14:paraId="149D19A2">
      <w:pPr>
        <w:adjustRightInd w:val="0"/>
        <w:snapToGrid w:val="0"/>
        <w:spacing w:line="560" w:lineRule="exact"/>
        <w:ind w:right="-333" w:rightChars="-104" w:firstLine="640" w:firstLineChars="200"/>
        <w:rPr>
          <w:rFonts w:hint="eastAsia" w:ascii="黑体" w:hAnsi="宋体" w:eastAsia="黑体"/>
          <w:szCs w:val="32"/>
          <w:lang w:eastAsia="zh-CN"/>
        </w:rPr>
      </w:pPr>
    </w:p>
    <w:p w14:paraId="3C070629">
      <w:pPr>
        <w:adjustRightInd w:val="0"/>
        <w:snapToGrid w:val="0"/>
        <w:spacing w:line="560" w:lineRule="exact"/>
        <w:ind w:right="-333" w:rightChars="-104" w:firstLine="640" w:firstLineChars="200"/>
        <w:rPr>
          <w:rFonts w:hint="eastAsia" w:ascii="黑体" w:hAnsi="宋体" w:eastAsia="黑体"/>
          <w:szCs w:val="32"/>
          <w:lang w:eastAsia="zh-CN"/>
        </w:rPr>
      </w:pPr>
    </w:p>
    <w:p w14:paraId="51A4A634">
      <w:pPr>
        <w:adjustRightInd w:val="0"/>
        <w:snapToGrid w:val="0"/>
        <w:spacing w:line="560" w:lineRule="exact"/>
        <w:ind w:right="-333" w:rightChars="-104" w:firstLine="640" w:firstLineChars="200"/>
        <w:rPr>
          <w:rFonts w:hint="eastAsia" w:ascii="黑体" w:hAnsi="宋体" w:eastAsia="黑体"/>
          <w:szCs w:val="32"/>
          <w:lang w:eastAsia="zh-CN"/>
        </w:rPr>
      </w:pPr>
    </w:p>
    <w:p w14:paraId="1C8D9B38">
      <w:pPr>
        <w:adjustRightInd w:val="0"/>
        <w:snapToGrid w:val="0"/>
        <w:spacing w:line="560" w:lineRule="exact"/>
        <w:ind w:right="-333" w:rightChars="-104" w:firstLine="640" w:firstLineChars="200"/>
        <w:rPr>
          <w:rFonts w:hint="eastAsia" w:ascii="黑体" w:hAnsi="宋体" w:eastAsia="黑体"/>
          <w:szCs w:val="32"/>
          <w:lang w:eastAsia="zh-CN"/>
        </w:rPr>
      </w:pPr>
    </w:p>
    <w:p w14:paraId="3D9684AD">
      <w:pPr>
        <w:adjustRightInd w:val="0"/>
        <w:snapToGrid w:val="0"/>
        <w:spacing w:line="560" w:lineRule="exact"/>
        <w:ind w:right="-333" w:rightChars="-104" w:firstLine="640" w:firstLineChars="200"/>
        <w:rPr>
          <w:rFonts w:hint="eastAsia" w:ascii="黑体" w:hAnsi="宋体" w:eastAsia="黑体"/>
          <w:szCs w:val="32"/>
          <w:lang w:eastAsia="zh-CN"/>
        </w:rPr>
      </w:pPr>
    </w:p>
    <w:p w14:paraId="5C2494AB">
      <w:pPr>
        <w:adjustRightInd w:val="0"/>
        <w:snapToGrid w:val="0"/>
        <w:spacing w:line="560" w:lineRule="exact"/>
        <w:ind w:right="-333" w:rightChars="-104" w:firstLine="640" w:firstLineChars="200"/>
        <w:rPr>
          <w:rFonts w:hint="eastAsia" w:ascii="黑体" w:hAnsi="宋体" w:eastAsia="黑体"/>
          <w:szCs w:val="32"/>
          <w:lang w:eastAsia="zh-CN"/>
        </w:rPr>
      </w:pPr>
    </w:p>
    <w:p w14:paraId="2B49A39B">
      <w:pPr>
        <w:adjustRightInd w:val="0"/>
        <w:snapToGrid w:val="0"/>
        <w:spacing w:line="560" w:lineRule="exact"/>
        <w:ind w:right="-333" w:rightChars="-104" w:firstLine="640" w:firstLineChars="200"/>
        <w:rPr>
          <w:rFonts w:hint="eastAsia" w:ascii="黑体" w:hAnsi="宋体" w:eastAsia="黑体"/>
          <w:szCs w:val="32"/>
          <w:lang w:eastAsia="zh-CN"/>
        </w:rPr>
      </w:pPr>
    </w:p>
    <w:p w14:paraId="33C45B13">
      <w:pPr>
        <w:adjustRightInd w:val="0"/>
        <w:snapToGrid w:val="0"/>
        <w:spacing w:line="560" w:lineRule="exact"/>
        <w:ind w:right="-333" w:rightChars="-104" w:firstLine="640" w:firstLineChars="200"/>
        <w:rPr>
          <w:rFonts w:hint="eastAsia" w:ascii="黑体" w:hAnsi="宋体" w:eastAsia="黑体"/>
          <w:szCs w:val="32"/>
          <w:lang w:eastAsia="zh-CN"/>
        </w:rPr>
      </w:pPr>
    </w:p>
    <w:p w14:paraId="1778BD20">
      <w:pPr>
        <w:adjustRightInd w:val="0"/>
        <w:snapToGrid w:val="0"/>
        <w:spacing w:line="560" w:lineRule="exact"/>
        <w:ind w:right="-333" w:rightChars="-104" w:firstLine="640" w:firstLineChars="200"/>
        <w:rPr>
          <w:rFonts w:hint="eastAsia" w:ascii="黑体" w:hAnsi="宋体" w:eastAsia="黑体"/>
          <w:szCs w:val="32"/>
          <w:lang w:eastAsia="zh-CN"/>
        </w:rPr>
      </w:pP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lang w:val="en-US" w:eastAsia="zh-CN"/>
        </w:rPr>
        <w:t>柳州市柳江区中医医院</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C06DE"/>
    <w:rsid w:val="069A65B0"/>
    <w:rsid w:val="07B75F99"/>
    <w:rsid w:val="07BE007D"/>
    <w:rsid w:val="08AA23AF"/>
    <w:rsid w:val="0A23666E"/>
    <w:rsid w:val="0B246449"/>
    <w:rsid w:val="0E5C239D"/>
    <w:rsid w:val="11263370"/>
    <w:rsid w:val="127C3F7B"/>
    <w:rsid w:val="15C01AFC"/>
    <w:rsid w:val="15DD7808"/>
    <w:rsid w:val="15EF58A5"/>
    <w:rsid w:val="183368D7"/>
    <w:rsid w:val="19362169"/>
    <w:rsid w:val="1B811695"/>
    <w:rsid w:val="1B9B4FB2"/>
    <w:rsid w:val="1D0F78E7"/>
    <w:rsid w:val="1D970CFC"/>
    <w:rsid w:val="1D9E6A0A"/>
    <w:rsid w:val="21690C6D"/>
    <w:rsid w:val="221F7512"/>
    <w:rsid w:val="245F611A"/>
    <w:rsid w:val="26461CA5"/>
    <w:rsid w:val="286839C1"/>
    <w:rsid w:val="29C36AC6"/>
    <w:rsid w:val="29FA4AED"/>
    <w:rsid w:val="2C984625"/>
    <w:rsid w:val="2E270CB2"/>
    <w:rsid w:val="2F0E7201"/>
    <w:rsid w:val="2F6B12FA"/>
    <w:rsid w:val="2F8B19C3"/>
    <w:rsid w:val="3076755A"/>
    <w:rsid w:val="30C506DF"/>
    <w:rsid w:val="320646E7"/>
    <w:rsid w:val="326E0EDB"/>
    <w:rsid w:val="36190BE4"/>
    <w:rsid w:val="392A132F"/>
    <w:rsid w:val="3AA37FDB"/>
    <w:rsid w:val="3BB85EB2"/>
    <w:rsid w:val="400D7D3D"/>
    <w:rsid w:val="45141D77"/>
    <w:rsid w:val="45237BB1"/>
    <w:rsid w:val="478956C9"/>
    <w:rsid w:val="48EF0F78"/>
    <w:rsid w:val="48F8151E"/>
    <w:rsid w:val="4A002008"/>
    <w:rsid w:val="4A914BA1"/>
    <w:rsid w:val="4B6D116B"/>
    <w:rsid w:val="4E3B534E"/>
    <w:rsid w:val="4EB02000"/>
    <w:rsid w:val="4EEA2AD2"/>
    <w:rsid w:val="4FC27A87"/>
    <w:rsid w:val="53682217"/>
    <w:rsid w:val="5AFD0B51"/>
    <w:rsid w:val="5B433C96"/>
    <w:rsid w:val="5B9B7F3D"/>
    <w:rsid w:val="60850EA0"/>
    <w:rsid w:val="61790893"/>
    <w:rsid w:val="642512D3"/>
    <w:rsid w:val="65AD30A2"/>
    <w:rsid w:val="67E61C5B"/>
    <w:rsid w:val="6A3E1DEA"/>
    <w:rsid w:val="6C7F08A6"/>
    <w:rsid w:val="6DAE2E3A"/>
    <w:rsid w:val="6E207070"/>
    <w:rsid w:val="6EE20292"/>
    <w:rsid w:val="704240C4"/>
    <w:rsid w:val="709578ED"/>
    <w:rsid w:val="752E53CF"/>
    <w:rsid w:val="76F268FC"/>
    <w:rsid w:val="79393E8E"/>
    <w:rsid w:val="7956063D"/>
    <w:rsid w:val="7D6925F0"/>
    <w:rsid w:val="7DB94E07"/>
    <w:rsid w:val="7E925499"/>
    <w:rsid w:val="7F846A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pPr>
      <w:spacing w:line="560" w:lineRule="exact"/>
      <w:ind w:firstLine="624"/>
    </w:pPr>
    <w:rPr>
      <w:rFonts w:ascii="宋体" w:hAnsi="宋体" w:eastAsia="宋体"/>
      <w:color w:val="000000"/>
      <w:spacing w:val="-4"/>
      <w:szCs w:val="32"/>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3552</Words>
  <Characters>3791</Characters>
  <Lines>0</Lines>
  <Paragraphs>0</Paragraphs>
  <TotalTime>20</TotalTime>
  <ScaleCrop>false</ScaleCrop>
  <LinksUpToDate>false</LinksUpToDate>
  <CharactersWithSpaces>3801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智吉</cp:lastModifiedBy>
  <cp:lastPrinted>2025-02-07T01:10:00Z</cp:lastPrinted>
  <dcterms:modified xsi:type="dcterms:W3CDTF">2025-02-14T12:12:46Z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E723BE59CE2C4E01A4D68AF4D8692EE9_13</vt:lpwstr>
  </property>
</Properties>
</file>