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柳州市柳江区百朋中心卫生院</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11060139">
      <w:pPr>
        <w:adjustRightInd w:val="0"/>
        <w:snapToGrid w:val="0"/>
        <w:spacing w:line="560" w:lineRule="exact"/>
        <w:ind w:right="-333" w:rightChars="-104" w:firstLine="640" w:firstLineChars="200"/>
        <w:rPr>
          <w:rFonts w:hint="eastAsia" w:ascii="黑体" w:hAnsi="宋体" w:eastAsia="黑体"/>
          <w:bCs/>
          <w:szCs w:val="32"/>
        </w:rPr>
      </w:pPr>
    </w:p>
    <w:p w14:paraId="7CC75134">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eastAsia="黑体"/>
          <w:color w:val="auto"/>
          <w:szCs w:val="32"/>
        </w:rPr>
        <w:t>第二部分：</w:t>
      </w:r>
      <w:r>
        <w:rPr>
          <w:rFonts w:hint="eastAsia" w:ascii="黑体" w:eastAsia="黑体"/>
          <w:color w:val="auto"/>
          <w:szCs w:val="32"/>
          <w:lang w:eastAsia="zh-CN"/>
        </w:rPr>
        <w:t>柳州市柳江区</w:t>
      </w:r>
      <w:r>
        <w:rPr>
          <w:rFonts w:hint="eastAsia" w:ascii="黑体" w:hAnsi="宋体" w:eastAsia="黑体"/>
          <w:color w:val="auto"/>
          <w:szCs w:val="32"/>
          <w:lang w:eastAsia="zh-CN"/>
        </w:rPr>
        <w:t>百朋中心卫生院2025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64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第三部分：名词解释</w:t>
      </w:r>
    </w:p>
    <w:p w14:paraId="4F3D161D">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hAnsi="宋体" w:eastAsia="黑体"/>
          <w:bCs/>
          <w:color w:val="auto"/>
          <w:szCs w:val="32"/>
        </w:rPr>
        <w:t>第四部分：</w:t>
      </w:r>
      <w:r>
        <w:rPr>
          <w:rFonts w:hint="eastAsia" w:ascii="黑体" w:hAnsi="宋体" w:eastAsia="黑体"/>
          <w:bCs/>
          <w:color w:val="auto"/>
          <w:szCs w:val="32"/>
          <w:lang w:eastAsia="zh-CN"/>
        </w:rPr>
        <w:t>柳州市柳江区</w:t>
      </w:r>
      <w:r>
        <w:rPr>
          <w:rFonts w:hint="eastAsia" w:ascii="黑体" w:hAnsi="宋体" w:eastAsia="黑体"/>
          <w:color w:val="auto"/>
          <w:szCs w:val="32"/>
          <w:lang w:eastAsia="zh-CN"/>
        </w:rPr>
        <w:t>百朋中心卫生院2025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358C9574">
      <w:pPr>
        <w:adjustRightInd w:val="0"/>
        <w:snapToGrid w:val="0"/>
        <w:spacing w:line="560" w:lineRule="exact"/>
        <w:ind w:right="-333" w:rightChars="-104"/>
        <w:rPr>
          <w:rFonts w:hint="eastAsia" w:ascii="黑体" w:hAnsi="宋体" w:eastAsia="黑体"/>
          <w:bCs/>
          <w:szCs w:val="32"/>
        </w:rPr>
      </w:pPr>
    </w:p>
    <w:p w14:paraId="06D8018C">
      <w:pPr>
        <w:keepNext w:val="0"/>
        <w:keepLines w:val="0"/>
        <w:pageBreakBefore w:val="0"/>
        <w:widowControl w:val="0"/>
        <w:kinsoku/>
        <w:wordWrap/>
        <w:overflowPunct/>
        <w:topLinePunct w:val="0"/>
        <w:autoSpaceDE/>
        <w:autoSpaceDN/>
        <w:bidi w:val="0"/>
        <w:adjustRightInd w:val="0"/>
        <w:snapToGrid w:val="0"/>
        <w:spacing w:line="66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第一部分：单位概况</w:t>
      </w:r>
    </w:p>
    <w:p w14:paraId="57ADE865">
      <w:pPr>
        <w:keepNext w:val="0"/>
        <w:keepLines w:val="0"/>
        <w:pageBreakBefore w:val="0"/>
        <w:widowControl w:val="0"/>
        <w:kinsoku/>
        <w:wordWrap/>
        <w:overflowPunct/>
        <w:topLinePunct w:val="0"/>
        <w:autoSpaceDE/>
        <w:autoSpaceDN/>
        <w:bidi w:val="0"/>
        <w:adjustRightInd w:val="0"/>
        <w:snapToGrid w:val="0"/>
        <w:spacing w:line="66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1564F680">
      <w:pPr>
        <w:keepNext w:val="0"/>
        <w:keepLines w:val="0"/>
        <w:pageBreakBefore w:val="0"/>
        <w:widowControl w:val="0"/>
        <w:kinsoku/>
        <w:wordWrap/>
        <w:overflowPunct/>
        <w:topLinePunct w:val="0"/>
        <w:autoSpaceDE/>
        <w:autoSpaceDN/>
        <w:bidi w:val="0"/>
        <w:adjustRightInd w:val="0"/>
        <w:snapToGrid w:val="0"/>
        <w:spacing w:line="660" w:lineRule="exact"/>
        <w:ind w:right="-333" w:rightChars="-104" w:firstLine="640" w:firstLineChars="200"/>
        <w:textAlignment w:val="auto"/>
        <w:rPr>
          <w:rFonts w:hint="eastAsia" w:ascii="仿宋_GB2312" w:hAnsi="宋体"/>
          <w:szCs w:val="32"/>
        </w:rPr>
      </w:pPr>
      <w:r>
        <w:rPr>
          <w:rFonts w:hint="eastAsia" w:ascii="仿宋_GB2312" w:hAnsi="宋体"/>
          <w:szCs w:val="32"/>
        </w:rPr>
        <w:t>（一）</w:t>
      </w:r>
      <w:r>
        <w:rPr>
          <w:rFonts w:hint="eastAsia" w:ascii="仿宋_GB2312" w:hAnsi="仿宋" w:eastAsia="仿宋_GB2312" w:cs="Times New Roman"/>
          <w:sz w:val="32"/>
          <w:szCs w:val="32"/>
          <w:lang w:val="en-US" w:eastAsia="zh-CN"/>
        </w:rPr>
        <w:t>常见病多发病诊治</w:t>
      </w:r>
      <w:r>
        <w:rPr>
          <w:rFonts w:hint="eastAsia" w:ascii="仿宋_GB2312" w:hAnsi="仿宋" w:cs="Times New Roman"/>
          <w:sz w:val="32"/>
          <w:szCs w:val="32"/>
          <w:lang w:val="en-US" w:eastAsia="zh-CN"/>
        </w:rPr>
        <w:t>和护理、</w:t>
      </w:r>
      <w:r>
        <w:rPr>
          <w:rFonts w:hint="eastAsia" w:ascii="仿宋_GB2312" w:hAnsi="宋体"/>
          <w:szCs w:val="32"/>
          <w:lang w:eastAsia="zh-CN"/>
        </w:rPr>
        <w:t>院前急救、巡回医疗；</w:t>
      </w:r>
    </w:p>
    <w:p w14:paraId="7A24C512">
      <w:pPr>
        <w:keepNext w:val="0"/>
        <w:keepLines w:val="0"/>
        <w:pageBreakBefore w:val="0"/>
        <w:widowControl w:val="0"/>
        <w:kinsoku/>
        <w:wordWrap/>
        <w:overflowPunct/>
        <w:topLinePunct w:val="0"/>
        <w:autoSpaceDE/>
        <w:autoSpaceDN/>
        <w:bidi w:val="0"/>
        <w:adjustRightInd w:val="0"/>
        <w:snapToGrid w:val="0"/>
        <w:spacing w:line="660" w:lineRule="exact"/>
        <w:ind w:right="-333" w:rightChars="-104" w:firstLine="640" w:firstLineChars="200"/>
        <w:textAlignment w:val="auto"/>
        <w:rPr>
          <w:rFonts w:hint="eastAsia" w:ascii="仿宋_GB2312" w:hAnsi="宋体" w:eastAsia="仿宋_GB2312"/>
          <w:szCs w:val="32"/>
          <w:lang w:eastAsia="zh-CN"/>
        </w:rPr>
      </w:pPr>
      <w:r>
        <w:rPr>
          <w:rFonts w:hint="eastAsia" w:ascii="仿宋_GB2312" w:hAnsi="宋体"/>
          <w:szCs w:val="32"/>
        </w:rPr>
        <w:t>（二）</w:t>
      </w:r>
      <w:r>
        <w:rPr>
          <w:rFonts w:hint="eastAsia" w:ascii="仿宋_GB2312" w:hAnsi="宋体"/>
          <w:szCs w:val="32"/>
          <w:lang w:eastAsia="zh-CN"/>
        </w:rPr>
        <w:t>开展基本公共卫生服务项目工作；</w:t>
      </w:r>
    </w:p>
    <w:p w14:paraId="0E9F008B">
      <w:pPr>
        <w:keepNext w:val="0"/>
        <w:keepLines w:val="0"/>
        <w:pageBreakBefore w:val="0"/>
        <w:widowControl w:val="0"/>
        <w:kinsoku/>
        <w:wordWrap/>
        <w:overflowPunct/>
        <w:topLinePunct w:val="0"/>
        <w:autoSpaceDE/>
        <w:autoSpaceDN/>
        <w:bidi w:val="0"/>
        <w:adjustRightInd w:val="0"/>
        <w:snapToGrid w:val="0"/>
        <w:spacing w:line="660" w:lineRule="exact"/>
        <w:ind w:right="-333" w:rightChars="-104" w:firstLine="640" w:firstLineChars="200"/>
        <w:textAlignment w:val="auto"/>
        <w:rPr>
          <w:rFonts w:hint="eastAsia" w:ascii="仿宋_GB2312" w:hAnsi="宋体" w:eastAsia="仿宋_GB2312"/>
          <w:szCs w:val="32"/>
          <w:lang w:eastAsia="zh-CN"/>
        </w:rPr>
      </w:pPr>
      <w:r>
        <w:rPr>
          <w:rFonts w:hint="eastAsia" w:ascii="仿宋_GB2312" w:hAnsi="宋体"/>
          <w:szCs w:val="32"/>
        </w:rPr>
        <w:t>（三）</w:t>
      </w:r>
      <w:r>
        <w:rPr>
          <w:rFonts w:hint="eastAsia" w:ascii="仿宋_GB2312" w:hAnsi="宋体"/>
          <w:szCs w:val="32"/>
          <w:lang w:eastAsia="zh-CN"/>
        </w:rPr>
        <w:t>预防保健、卫生防疫、妇幼保健、健康教育；</w:t>
      </w:r>
    </w:p>
    <w:p w14:paraId="21844F03">
      <w:pPr>
        <w:keepNext w:val="0"/>
        <w:keepLines w:val="0"/>
        <w:pageBreakBefore w:val="0"/>
        <w:widowControl w:val="0"/>
        <w:kinsoku/>
        <w:wordWrap/>
        <w:overflowPunct/>
        <w:topLinePunct w:val="0"/>
        <w:autoSpaceDE/>
        <w:autoSpaceDN/>
        <w:bidi w:val="0"/>
        <w:adjustRightInd w:val="0"/>
        <w:snapToGrid w:val="0"/>
        <w:spacing w:line="660" w:lineRule="exact"/>
        <w:ind w:right="-333" w:rightChars="-104" w:firstLine="640" w:firstLineChars="200"/>
        <w:textAlignment w:val="auto"/>
        <w:rPr>
          <w:rFonts w:hint="eastAsia" w:ascii="仿宋_GB2312" w:hAnsi="宋体" w:eastAsia="仿宋_GB2312"/>
          <w:szCs w:val="32"/>
          <w:lang w:eastAsia="zh-CN"/>
        </w:rPr>
      </w:pPr>
      <w:r>
        <w:rPr>
          <w:rFonts w:hint="eastAsia" w:ascii="仿宋_GB2312" w:hAnsi="宋体"/>
          <w:szCs w:val="32"/>
        </w:rPr>
        <w:t>（四）</w:t>
      </w:r>
      <w:r>
        <w:rPr>
          <w:rFonts w:hint="eastAsia" w:ascii="仿宋_GB2312" w:hAnsi="宋体"/>
          <w:szCs w:val="32"/>
          <w:lang w:eastAsia="zh-CN"/>
        </w:rPr>
        <w:t>卫生技术人员培训、乡村医生业务培训、卫生员业务培训、接生员业务培训与技术指导；</w:t>
      </w:r>
    </w:p>
    <w:p w14:paraId="763C50F5">
      <w:pPr>
        <w:keepNext w:val="0"/>
        <w:keepLines w:val="0"/>
        <w:pageBreakBefore w:val="0"/>
        <w:widowControl w:val="0"/>
        <w:kinsoku/>
        <w:wordWrap/>
        <w:overflowPunct/>
        <w:topLinePunct w:val="0"/>
        <w:autoSpaceDE/>
        <w:autoSpaceDN/>
        <w:bidi w:val="0"/>
        <w:adjustRightInd w:val="0"/>
        <w:snapToGrid w:val="0"/>
        <w:spacing w:line="660" w:lineRule="exact"/>
        <w:ind w:right="-333" w:rightChars="-104" w:firstLine="640" w:firstLineChars="200"/>
        <w:textAlignment w:val="auto"/>
        <w:rPr>
          <w:rFonts w:hint="eastAsia" w:ascii="仿宋_GB2312" w:hAnsi="宋体" w:eastAsia="仿宋_GB2312"/>
          <w:szCs w:val="32"/>
          <w:lang w:eastAsia="zh-CN"/>
        </w:rPr>
      </w:pPr>
      <w:r>
        <w:rPr>
          <w:rFonts w:hint="eastAsia" w:ascii="仿宋_GB2312" w:hAnsi="宋体"/>
          <w:szCs w:val="32"/>
        </w:rPr>
        <w:t>（五）</w:t>
      </w:r>
      <w:r>
        <w:rPr>
          <w:rFonts w:hint="eastAsia" w:ascii="仿宋_GB2312" w:hAnsi="宋体"/>
          <w:szCs w:val="32"/>
          <w:lang w:eastAsia="zh-CN"/>
        </w:rPr>
        <w:t>合作医疗组织与管理；</w:t>
      </w:r>
    </w:p>
    <w:p w14:paraId="09F8B5E7">
      <w:pPr>
        <w:keepNext w:val="0"/>
        <w:keepLines w:val="0"/>
        <w:pageBreakBefore w:val="0"/>
        <w:widowControl w:val="0"/>
        <w:kinsoku/>
        <w:wordWrap/>
        <w:overflowPunct/>
        <w:topLinePunct w:val="0"/>
        <w:autoSpaceDE/>
        <w:autoSpaceDN/>
        <w:bidi w:val="0"/>
        <w:adjustRightInd w:val="0"/>
        <w:snapToGrid w:val="0"/>
        <w:spacing w:line="660" w:lineRule="exact"/>
        <w:ind w:right="-333" w:rightChars="-104" w:firstLine="640" w:firstLineChars="200"/>
        <w:textAlignment w:val="auto"/>
        <w:rPr>
          <w:rFonts w:hint="eastAsia" w:ascii="黑体" w:hAnsi="宋体" w:eastAsia="黑体"/>
          <w:szCs w:val="32"/>
        </w:rPr>
      </w:pPr>
      <w:r>
        <w:rPr>
          <w:rFonts w:hint="eastAsia" w:ascii="仿宋_GB2312" w:hAnsi="宋体"/>
          <w:szCs w:val="32"/>
        </w:rPr>
        <w:t>（六）</w:t>
      </w:r>
      <w:r>
        <w:rPr>
          <w:rFonts w:hint="eastAsia" w:ascii="仿宋_GB2312" w:hAnsi="宋体"/>
          <w:szCs w:val="32"/>
          <w:lang w:eastAsia="zh-CN"/>
        </w:rPr>
        <w:t>卫生监督与卫生信息管理。</w:t>
      </w:r>
    </w:p>
    <w:p w14:paraId="44807F8E">
      <w:pPr>
        <w:keepNext w:val="0"/>
        <w:keepLines w:val="0"/>
        <w:pageBreakBefore w:val="0"/>
        <w:widowControl w:val="0"/>
        <w:kinsoku/>
        <w:wordWrap/>
        <w:overflowPunct/>
        <w:topLinePunct w:val="0"/>
        <w:autoSpaceDE/>
        <w:autoSpaceDN/>
        <w:bidi w:val="0"/>
        <w:spacing w:line="66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3BA93D66">
      <w:pPr>
        <w:keepNext w:val="0"/>
        <w:keepLines w:val="0"/>
        <w:pageBreakBefore w:val="0"/>
        <w:widowControl w:val="0"/>
        <w:kinsoku/>
        <w:wordWrap/>
        <w:overflowPunct/>
        <w:topLinePunct w:val="0"/>
        <w:autoSpaceDE/>
        <w:autoSpaceDN/>
        <w:bidi w:val="0"/>
        <w:adjustRightInd w:val="0"/>
        <w:snapToGrid w:val="0"/>
        <w:spacing w:line="660" w:lineRule="exact"/>
        <w:ind w:right="-333" w:rightChars="-104" w:firstLine="640"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我院业务科室设有公共卫生科、急诊科、内科、外科、妇产科、中医科、口腔科、耳鼻喉科、防保科、检验科、放射科、康复医学科等。</w:t>
      </w:r>
      <w:r>
        <w:rPr>
          <w:rFonts w:hint="eastAsia" w:ascii="仿宋_GB2312" w:hAnsi="宋体" w:cs="Times New Roman"/>
          <w:szCs w:val="32"/>
          <w:lang w:val="en-US" w:eastAsia="zh-CN"/>
        </w:rPr>
        <w:t>我单位核定编制数99名，现有在编人员69人，</w:t>
      </w:r>
      <w:r>
        <w:rPr>
          <w:rFonts w:hint="eastAsia" w:ascii="仿宋_GB2312" w:hAnsi="宋体" w:cs="Times New Roman"/>
          <w:szCs w:val="32"/>
          <w:lang w:eastAsia="zh-CN"/>
        </w:rPr>
        <w:t>聘用人员</w:t>
      </w:r>
      <w:r>
        <w:rPr>
          <w:rFonts w:hint="eastAsia" w:ascii="仿宋_GB2312" w:hAnsi="宋体" w:cs="Times New Roman"/>
          <w:szCs w:val="32"/>
          <w:lang w:val="en-US" w:eastAsia="zh-CN"/>
        </w:rPr>
        <w:t>36人</w:t>
      </w:r>
      <w:r>
        <w:rPr>
          <w:rFonts w:hint="eastAsia" w:ascii="仿宋_GB2312" w:hAnsi="宋体" w:cs="Times New Roman"/>
          <w:szCs w:val="32"/>
          <w:lang w:eastAsia="zh-CN"/>
        </w:rPr>
        <w:t>（卫技人员</w:t>
      </w:r>
      <w:r>
        <w:rPr>
          <w:rFonts w:hint="eastAsia" w:ascii="仿宋_GB2312" w:hAnsi="宋体" w:cs="Times New Roman"/>
          <w:szCs w:val="32"/>
          <w:lang w:val="en-US" w:eastAsia="zh-CN"/>
        </w:rPr>
        <w:t>90</w:t>
      </w:r>
      <w:r>
        <w:rPr>
          <w:rFonts w:hint="eastAsia" w:ascii="仿宋_GB2312" w:hAnsi="宋体" w:cs="Times New Roman"/>
          <w:szCs w:val="32"/>
          <w:lang w:eastAsia="zh-CN"/>
        </w:rPr>
        <w:t>人，后勤人员</w:t>
      </w:r>
      <w:r>
        <w:rPr>
          <w:rFonts w:hint="eastAsia" w:ascii="仿宋_GB2312" w:hAnsi="宋体" w:cs="Times New Roman"/>
          <w:szCs w:val="32"/>
          <w:lang w:val="en-US" w:eastAsia="zh-CN"/>
        </w:rPr>
        <w:t>15</w:t>
      </w:r>
      <w:r>
        <w:rPr>
          <w:rFonts w:hint="eastAsia" w:ascii="仿宋_GB2312" w:hAnsi="宋体" w:cs="Times New Roman"/>
          <w:szCs w:val="32"/>
          <w:lang w:eastAsia="zh-CN"/>
        </w:rPr>
        <w:t>人），退休人员</w:t>
      </w:r>
      <w:r>
        <w:rPr>
          <w:rFonts w:hint="eastAsia" w:ascii="仿宋_GB2312" w:hAnsi="宋体" w:cs="Times New Roman"/>
          <w:szCs w:val="32"/>
          <w:lang w:val="en-US" w:eastAsia="zh-CN"/>
        </w:rPr>
        <w:t>5人</w:t>
      </w:r>
      <w:r>
        <w:rPr>
          <w:rFonts w:hint="eastAsia" w:ascii="仿宋_GB2312" w:hAnsi="宋体" w:cs="Times New Roman"/>
          <w:szCs w:val="32"/>
          <w:lang w:eastAsia="zh-CN"/>
        </w:rPr>
        <w:t>。其中医师</w:t>
      </w:r>
      <w:r>
        <w:rPr>
          <w:rFonts w:hint="eastAsia" w:ascii="仿宋_GB2312" w:hAnsi="宋体" w:cs="Times New Roman"/>
          <w:szCs w:val="32"/>
          <w:lang w:val="en-US" w:eastAsia="zh-CN"/>
        </w:rPr>
        <w:t>34</w:t>
      </w:r>
      <w:r>
        <w:rPr>
          <w:rFonts w:hint="eastAsia" w:ascii="仿宋_GB2312" w:hAnsi="宋体" w:cs="Times New Roman"/>
          <w:szCs w:val="32"/>
          <w:lang w:eastAsia="zh-CN"/>
        </w:rPr>
        <w:t>人，护士</w:t>
      </w:r>
      <w:r>
        <w:rPr>
          <w:rFonts w:hint="eastAsia" w:ascii="仿宋_GB2312" w:hAnsi="宋体" w:cs="Times New Roman"/>
          <w:szCs w:val="32"/>
          <w:lang w:val="en-US" w:eastAsia="zh-CN"/>
        </w:rPr>
        <w:t>36</w:t>
      </w:r>
      <w:r>
        <w:rPr>
          <w:rFonts w:hint="eastAsia" w:ascii="仿宋_GB2312" w:hAnsi="宋体" w:cs="Times New Roman"/>
          <w:szCs w:val="32"/>
          <w:lang w:eastAsia="zh-CN"/>
        </w:rPr>
        <w:t>人，医技</w:t>
      </w:r>
      <w:r>
        <w:rPr>
          <w:rFonts w:hint="eastAsia" w:ascii="仿宋_GB2312" w:hAnsi="宋体" w:cs="Times New Roman"/>
          <w:szCs w:val="32"/>
          <w:lang w:val="en-US" w:eastAsia="zh-CN"/>
        </w:rPr>
        <w:t>16人，</w:t>
      </w:r>
      <w:r>
        <w:rPr>
          <w:rFonts w:hint="eastAsia" w:ascii="仿宋_GB2312" w:hAnsi="宋体" w:cs="Times New Roman"/>
          <w:szCs w:val="32"/>
          <w:lang w:eastAsia="zh-CN"/>
        </w:rPr>
        <w:t>在外规培生</w:t>
      </w:r>
      <w:r>
        <w:rPr>
          <w:rFonts w:hint="eastAsia" w:ascii="仿宋_GB2312" w:hAnsi="宋体" w:cs="Times New Roman"/>
          <w:szCs w:val="32"/>
          <w:lang w:val="en-US" w:eastAsia="zh-CN"/>
        </w:rPr>
        <w:t>3人</w:t>
      </w:r>
      <w:r>
        <w:rPr>
          <w:rFonts w:hint="eastAsia" w:ascii="仿宋_GB2312" w:hAnsi="宋体" w:cs="Times New Roman"/>
          <w:szCs w:val="32"/>
          <w:lang w:eastAsia="zh-CN"/>
        </w:rPr>
        <w:t>。</w:t>
      </w:r>
    </w:p>
    <w:p w14:paraId="00370884">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黑体" w:eastAsia="黑体"/>
          <w:szCs w:val="32"/>
        </w:rPr>
      </w:pPr>
    </w:p>
    <w:p w14:paraId="708EEA62">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eastAsia="zh-CN"/>
        </w:rPr>
        <w:t>柳州市柳江区</w:t>
      </w:r>
      <w:r>
        <w:rPr>
          <w:rFonts w:hint="default" w:ascii="黑体" w:hAnsi="宋体" w:eastAsia="黑体"/>
          <w:szCs w:val="32"/>
        </w:rPr>
        <w:t>百朋中心卫生院</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default" w:ascii="仿宋_GB2312"/>
          <w:sz w:val="32"/>
          <w:szCs w:val="32"/>
        </w:rPr>
        <w:t>1523.45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default" w:ascii="仿宋_GB2312"/>
          <w:sz w:val="32"/>
          <w:szCs w:val="32"/>
        </w:rPr>
        <w:t>1523.45</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default" w:ascii="仿宋_GB2312"/>
          <w:sz w:val="32"/>
          <w:szCs w:val="32"/>
          <w:lang w:eastAsia="zh-CN"/>
        </w:rPr>
        <w:t>55.28</w:t>
      </w:r>
      <w:r>
        <w:rPr>
          <w:rFonts w:hint="eastAsia" w:ascii="仿宋_GB2312"/>
          <w:sz w:val="32"/>
          <w:szCs w:val="32"/>
          <w:lang w:val="en" w:eastAsia="zh-CN"/>
        </w:rPr>
        <w:t>万元，</w:t>
      </w:r>
      <w:r>
        <w:rPr>
          <w:rFonts w:hint="eastAsia" w:ascii="仿宋_GB2312"/>
          <w:sz w:val="32"/>
          <w:szCs w:val="32"/>
          <w:lang w:eastAsia="zh-CN"/>
        </w:rPr>
        <w:t>增长</w:t>
      </w:r>
      <w:r>
        <w:rPr>
          <w:rFonts w:hint="default" w:ascii="仿宋_GB2312"/>
          <w:sz w:val="32"/>
          <w:szCs w:val="32"/>
          <w:lang w:eastAsia="zh-CN"/>
        </w:rPr>
        <w:t>3.77</w:t>
      </w:r>
      <w:r>
        <w:rPr>
          <w:rFonts w:hint="eastAsia" w:ascii="仿宋_GB2312"/>
          <w:sz w:val="32"/>
          <w:szCs w:val="32"/>
          <w:lang w:val="en-US" w:eastAsia="zh-CN"/>
        </w:rPr>
        <w:t>%，主要原因是</w:t>
      </w:r>
      <w:r>
        <w:rPr>
          <w:rFonts w:hint="default" w:ascii="仿宋_GB2312"/>
          <w:szCs w:val="32"/>
        </w:rPr>
        <w:t>事业收入增加</w:t>
      </w:r>
      <w:r>
        <w:rPr>
          <w:rFonts w:hint="eastAsia" w:ascii="仿宋_GB2312"/>
          <w:sz w:val="32"/>
          <w:szCs w:val="32"/>
          <w:lang w:val="en-US" w:eastAsia="zh-CN"/>
        </w:rPr>
        <w:t>。总支出</w:t>
      </w:r>
      <w:r>
        <w:rPr>
          <w:rFonts w:hint="eastAsia" w:ascii="仿宋_GB2312"/>
          <w:sz w:val="32"/>
          <w:szCs w:val="32"/>
          <w:lang w:eastAsia="zh-CN"/>
        </w:rPr>
        <w:t>较上年增长</w:t>
      </w:r>
      <w:r>
        <w:rPr>
          <w:rFonts w:hint="default" w:ascii="仿宋_GB2312"/>
          <w:sz w:val="32"/>
          <w:szCs w:val="32"/>
          <w:lang w:eastAsia="zh-CN"/>
        </w:rPr>
        <w:t>3.77</w:t>
      </w:r>
      <w:r>
        <w:rPr>
          <w:rFonts w:hint="eastAsia" w:ascii="仿宋_GB2312"/>
          <w:sz w:val="32"/>
          <w:szCs w:val="32"/>
          <w:lang w:val="en-US" w:eastAsia="zh-CN"/>
        </w:rPr>
        <w:t>%，主要原因是</w:t>
      </w:r>
      <w:r>
        <w:rPr>
          <w:rFonts w:hint="default" w:ascii="仿宋_GB2312"/>
          <w:szCs w:val="32"/>
        </w:rPr>
        <w:t>事业</w:t>
      </w:r>
      <w:r>
        <w:rPr>
          <w:rFonts w:hint="eastAsia" w:ascii="仿宋_GB2312"/>
          <w:szCs w:val="32"/>
          <w:lang w:eastAsia="zh-CN"/>
        </w:rPr>
        <w:t>支出</w:t>
      </w:r>
      <w:r>
        <w:rPr>
          <w:rFonts w:hint="default" w:ascii="仿宋_GB2312"/>
          <w:szCs w:val="32"/>
        </w:rPr>
        <w:t>增加</w:t>
      </w:r>
      <w:r>
        <w:rPr>
          <w:rFonts w:hint="eastAsia" w:ascii="仿宋_GB2312"/>
          <w:sz w:val="32"/>
          <w:szCs w:val="32"/>
          <w:lang w:val="en-US" w:eastAsia="zh-CN"/>
        </w:rPr>
        <w:t>。</w:t>
      </w:r>
    </w:p>
    <w:p w14:paraId="2FB6A1E0">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0B1D6B71">
      <w:pPr>
        <w:keepNext w:val="0"/>
        <w:keepLines w:val="0"/>
        <w:pageBreakBefore w:val="0"/>
        <w:widowControl w:val="0"/>
        <w:numPr>
          <w:ilvl w:val="0"/>
          <w:numId w:val="0"/>
        </w:numPr>
        <w:tabs>
          <w:tab w:val="center" w:pos="4475"/>
        </w:tabs>
        <w:kinsoku/>
        <w:wordWrap/>
        <w:overflowPunct/>
        <w:topLinePunct w:val="0"/>
        <w:autoSpaceDE/>
        <w:bidi w:val="0"/>
        <w:adjustRightInd/>
        <w:snapToGrid/>
        <w:spacing w:line="640" w:lineRule="exact"/>
        <w:ind w:firstLine="320" w:firstLineChars="100"/>
        <w:textAlignment w:val="auto"/>
        <w:rPr>
          <w:rFonts w:hint="eastAsia" w:ascii="仿宋_GB2312"/>
          <w:sz w:val="32"/>
          <w:szCs w:val="32"/>
          <w:lang w:val="en-US" w:eastAsia="zh-CN"/>
        </w:rPr>
      </w:pPr>
      <w:r>
        <w:rPr>
          <w:rFonts w:hint="eastAsia"/>
          <w:lang w:val="en-US" w:eastAsia="zh-CN"/>
        </w:rPr>
        <w:t xml:space="preserve"> </w:t>
      </w:r>
      <w:r>
        <w:rPr>
          <w:rFonts w:hint="eastAsia" w:ascii="仿宋_GB2312" w:hAnsi="宋体" w:cs="Times New Roman"/>
          <w:szCs w:val="32"/>
          <w:highlight w:val="none"/>
          <w:lang w:val="en-US" w:eastAsia="zh-CN"/>
        </w:rPr>
        <w:t>我单位总收入</w:t>
      </w:r>
      <w:r>
        <w:rPr>
          <w:rFonts w:hint="default" w:ascii="仿宋_GB2312"/>
          <w:sz w:val="32"/>
          <w:szCs w:val="32"/>
          <w:highlight w:val="none"/>
          <w:lang w:eastAsia="zh-CN"/>
        </w:rPr>
        <w:t>1523.45</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eastAsia="zh-CN"/>
        </w:rPr>
        <w:t>较上年增加</w:t>
      </w:r>
      <w:r>
        <w:rPr>
          <w:rFonts w:hint="eastAsia" w:ascii="仿宋_GB2312"/>
          <w:sz w:val="32"/>
          <w:szCs w:val="32"/>
          <w:lang w:val="en-US" w:eastAsia="zh-CN"/>
        </w:rPr>
        <w:t>55.28</w:t>
      </w:r>
      <w:r>
        <w:rPr>
          <w:rFonts w:hint="eastAsia" w:ascii="仿宋_GB2312"/>
          <w:sz w:val="32"/>
          <w:szCs w:val="32"/>
          <w:lang w:val="en" w:eastAsia="zh-CN"/>
        </w:rPr>
        <w:t>万元，</w:t>
      </w:r>
      <w:r>
        <w:rPr>
          <w:rFonts w:hint="eastAsia" w:ascii="仿宋_GB2312"/>
          <w:sz w:val="32"/>
          <w:szCs w:val="32"/>
          <w:highlight w:val="none"/>
          <w:lang w:eastAsia="zh-CN"/>
        </w:rPr>
        <w:t>增长</w:t>
      </w:r>
      <w:r>
        <w:rPr>
          <w:rFonts w:hint="default" w:ascii="仿宋_GB2312"/>
          <w:sz w:val="32"/>
          <w:szCs w:val="32"/>
          <w:highlight w:val="none"/>
          <w:lang w:eastAsia="zh-CN"/>
        </w:rPr>
        <w:t>3.77</w:t>
      </w:r>
      <w:r>
        <w:rPr>
          <w:rFonts w:hint="eastAsia" w:ascii="仿宋_GB2312"/>
          <w:sz w:val="32"/>
          <w:szCs w:val="32"/>
          <w:lang w:val="en-US" w:eastAsia="zh-CN"/>
        </w:rPr>
        <w:t>%，主要原因是事业收入和利息收入增加。单位收入主要包括：</w:t>
      </w:r>
      <w:r>
        <w:rPr>
          <w:rFonts w:hint="eastAsia" w:ascii="仿宋_GB2312" w:hAnsi="Times New Roman" w:eastAsia="仿宋_GB2312" w:cs="Times New Roman"/>
          <w:kern w:val="2"/>
          <w:sz w:val="32"/>
          <w:szCs w:val="32"/>
          <w:highlight w:val="none"/>
          <w:lang w:val="en-US" w:eastAsia="zh-CN" w:bidi="ar-SA"/>
        </w:rPr>
        <w:t>一般公共预算</w:t>
      </w:r>
      <w:r>
        <w:rPr>
          <w:rFonts w:hint="eastAsia" w:ascii="仿宋_GB2312" w:cs="Times New Roman"/>
          <w:kern w:val="2"/>
          <w:sz w:val="32"/>
          <w:szCs w:val="32"/>
          <w:highlight w:val="none"/>
          <w:lang w:val="en-US" w:eastAsia="zh-CN" w:bidi="ar-SA"/>
        </w:rPr>
        <w:t>拨款</w:t>
      </w:r>
      <w:r>
        <w:rPr>
          <w:rFonts w:hint="default" w:ascii="仿宋_GB2312" w:cs="Times New Roman"/>
          <w:kern w:val="2"/>
          <w:sz w:val="32"/>
          <w:szCs w:val="32"/>
          <w:highlight w:val="none"/>
          <w:lang w:eastAsia="zh-CN" w:bidi="ar-SA"/>
        </w:rPr>
        <w:t>423.13</w:t>
      </w:r>
      <w:r>
        <w:rPr>
          <w:rFonts w:hint="eastAsia" w:ascii="仿宋_GB2312" w:hAnsi="Times New Roman" w:eastAsia="仿宋_GB2312" w:cs="Times New Roman"/>
          <w:kern w:val="2"/>
          <w:sz w:val="32"/>
          <w:szCs w:val="32"/>
          <w:highlight w:val="none"/>
          <w:lang w:val="en-US" w:eastAsia="zh-CN" w:bidi="ar-SA"/>
        </w:rPr>
        <w:t>万元，</w:t>
      </w:r>
      <w:r>
        <w:rPr>
          <w:rFonts w:hint="eastAsia" w:ascii="仿宋_GB2312" w:cs="Times New Roman"/>
          <w:kern w:val="2"/>
          <w:sz w:val="32"/>
          <w:szCs w:val="32"/>
          <w:highlight w:val="none"/>
          <w:lang w:val="en-US" w:eastAsia="zh-CN" w:bidi="ar-SA"/>
        </w:rPr>
        <w:t>占总收入27.77%；</w:t>
      </w:r>
      <w:r>
        <w:rPr>
          <w:rFonts w:hint="eastAsia" w:ascii="仿宋_GB2312" w:hAnsi="Times New Roman" w:cs="Times New Roman"/>
          <w:kern w:val="2"/>
          <w:sz w:val="32"/>
          <w:szCs w:val="32"/>
          <w:highlight w:val="none"/>
          <w:lang w:val="en-US" w:eastAsia="zh-CN" w:bidi="ar-SA"/>
        </w:rPr>
        <w:t>单位资金</w:t>
      </w:r>
      <w:r>
        <w:rPr>
          <w:rFonts w:hint="default" w:ascii="仿宋_GB2312" w:cs="Times New Roman"/>
          <w:kern w:val="2"/>
          <w:sz w:val="32"/>
          <w:szCs w:val="32"/>
          <w:highlight w:val="none"/>
          <w:lang w:eastAsia="zh-CN" w:bidi="ar-SA"/>
        </w:rPr>
        <w:t>110</w:t>
      </w:r>
      <w:r>
        <w:rPr>
          <w:rFonts w:hint="eastAsia" w:ascii="仿宋_GB2312" w:cs="Times New Roman"/>
          <w:kern w:val="2"/>
          <w:sz w:val="32"/>
          <w:szCs w:val="32"/>
          <w:highlight w:val="none"/>
          <w:lang w:val="en-US" w:eastAsia="zh-CN" w:bidi="ar-SA"/>
        </w:rPr>
        <w:t>0.32</w:t>
      </w:r>
      <w:r>
        <w:rPr>
          <w:rFonts w:hint="eastAsia" w:ascii="仿宋_GB2312" w:hAnsi="Times New Roman" w:cs="Times New Roman"/>
          <w:kern w:val="2"/>
          <w:sz w:val="32"/>
          <w:szCs w:val="32"/>
          <w:highlight w:val="none"/>
          <w:lang w:val="en-US" w:eastAsia="zh-CN" w:bidi="ar-SA"/>
        </w:rPr>
        <w:t>万元，</w:t>
      </w:r>
      <w:r>
        <w:rPr>
          <w:rFonts w:hint="eastAsia" w:ascii="仿宋_GB2312" w:cs="Times New Roman"/>
          <w:kern w:val="2"/>
          <w:sz w:val="32"/>
          <w:szCs w:val="32"/>
          <w:highlight w:val="none"/>
          <w:lang w:val="en-US" w:eastAsia="zh-CN" w:bidi="ar-SA"/>
        </w:rPr>
        <w:t>占总收入72.23%。</w:t>
      </w:r>
    </w:p>
    <w:p w14:paraId="2E04A3E8">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6431502">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仿宋_GB2312"/>
          <w:sz w:val="32"/>
          <w:szCs w:val="32"/>
          <w:lang w:val="en-US" w:eastAsia="zh-CN"/>
        </w:rPr>
      </w:pPr>
      <w:r>
        <w:rPr>
          <w:rFonts w:hint="eastAsia" w:ascii="仿宋_GB2312" w:hAnsi="宋体" w:cs="Times New Roman"/>
          <w:szCs w:val="32"/>
          <w:highlight w:val="none"/>
          <w:lang w:val="en-US" w:eastAsia="zh-CN"/>
        </w:rPr>
        <w:t>我单位总支出</w:t>
      </w:r>
      <w:r>
        <w:rPr>
          <w:rFonts w:hint="eastAsia" w:ascii="仿宋_GB2312"/>
          <w:sz w:val="32"/>
          <w:szCs w:val="32"/>
          <w:lang w:val="en-US" w:eastAsia="zh-CN"/>
        </w:rPr>
        <w:t>1523.45</w:t>
      </w:r>
      <w:r>
        <w:rPr>
          <w:rFonts w:hint="eastAsia" w:ascii="仿宋_GB2312" w:eastAsia="仿宋_GB2312"/>
          <w:sz w:val="32"/>
          <w:szCs w:val="32"/>
        </w:rPr>
        <w:t>万元</w:t>
      </w:r>
      <w:r>
        <w:rPr>
          <w:rFonts w:hint="eastAsia" w:ascii="仿宋_GB2312"/>
          <w:sz w:val="32"/>
          <w:szCs w:val="32"/>
          <w:lang w:eastAsia="zh-CN"/>
        </w:rPr>
        <w:t>，较上年增加</w:t>
      </w:r>
      <w:r>
        <w:rPr>
          <w:rFonts w:hint="eastAsia" w:ascii="仿宋_GB2312"/>
          <w:sz w:val="32"/>
          <w:szCs w:val="32"/>
          <w:lang w:val="en-US" w:eastAsia="zh-CN"/>
        </w:rPr>
        <w:t>55.28</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3.77%，主要原因是</w:t>
      </w:r>
      <w:r>
        <w:rPr>
          <w:rFonts w:hint="eastAsia" w:ascii="仿宋_GB2312"/>
          <w:szCs w:val="32"/>
          <w:lang w:eastAsia="zh-CN"/>
        </w:rPr>
        <w:t>事业支出增加</w:t>
      </w:r>
      <w:r>
        <w:rPr>
          <w:rFonts w:hint="eastAsia" w:ascii="仿宋_GB2312"/>
          <w:sz w:val="32"/>
          <w:szCs w:val="32"/>
          <w:lang w:val="en-US" w:eastAsia="zh-CN"/>
        </w:rPr>
        <w:t>。单位支出主要包括：</w:t>
      </w:r>
    </w:p>
    <w:p w14:paraId="17A6E750">
      <w:pPr>
        <w:keepNext w:val="0"/>
        <w:keepLines w:val="0"/>
        <w:pageBreakBefore w:val="0"/>
        <w:widowControl w:val="0"/>
        <w:numPr>
          <w:ilvl w:val="0"/>
          <w:numId w:val="0"/>
        </w:numPr>
        <w:tabs>
          <w:tab w:val="center" w:pos="4475"/>
        </w:tabs>
        <w:kinsoku/>
        <w:wordWrap/>
        <w:overflowPunct/>
        <w:topLinePunct w:val="0"/>
        <w:autoSpaceDE/>
        <w:bidi w:val="0"/>
        <w:adjustRightInd/>
        <w:snapToGrid/>
        <w:spacing w:line="640" w:lineRule="exact"/>
        <w:textAlignment w:val="auto"/>
        <w:rPr>
          <w:rFonts w:hint="eastAsia" w:ascii="仿宋_GB2312"/>
          <w:sz w:val="32"/>
          <w:szCs w:val="32"/>
          <w:lang w:val="en-US" w:eastAsia="zh-CN"/>
        </w:rPr>
      </w:pPr>
      <w:r>
        <w:rPr>
          <w:rFonts w:hint="eastAsia" w:ascii="仿宋_GB2312" w:cs="Times New Roman"/>
          <w:kern w:val="2"/>
          <w:sz w:val="32"/>
          <w:szCs w:val="32"/>
          <w:highlight w:val="none"/>
          <w:lang w:val="en-US" w:eastAsia="zh-CN" w:bidi="ar-SA"/>
        </w:rPr>
        <w:t>社会保障和就业支出7.21</w:t>
      </w:r>
      <w:r>
        <w:rPr>
          <w:rFonts w:hint="eastAsia" w:ascii="仿宋_GB2312" w:hAnsi="Times New Roman" w:eastAsia="仿宋_GB2312" w:cs="Times New Roman"/>
          <w:kern w:val="2"/>
          <w:sz w:val="32"/>
          <w:szCs w:val="32"/>
          <w:highlight w:val="none"/>
          <w:lang w:val="en-US" w:eastAsia="zh-CN" w:bidi="ar-SA"/>
        </w:rPr>
        <w:t>万元，</w:t>
      </w:r>
      <w:r>
        <w:rPr>
          <w:rFonts w:hint="eastAsia" w:ascii="仿宋_GB2312" w:cs="Times New Roman"/>
          <w:kern w:val="2"/>
          <w:sz w:val="32"/>
          <w:szCs w:val="32"/>
          <w:highlight w:val="none"/>
          <w:lang w:val="en-US" w:eastAsia="zh-CN" w:bidi="ar-SA"/>
        </w:rPr>
        <w:t>占总支出0.47%；卫生健康支出1516.24</w:t>
      </w:r>
      <w:r>
        <w:rPr>
          <w:rFonts w:hint="eastAsia" w:ascii="仿宋_GB2312" w:hAnsi="Times New Roman" w:cs="Times New Roman"/>
          <w:kern w:val="2"/>
          <w:sz w:val="32"/>
          <w:szCs w:val="32"/>
          <w:highlight w:val="none"/>
          <w:lang w:val="en-US" w:eastAsia="zh-CN" w:bidi="ar-SA"/>
        </w:rPr>
        <w:t>万元，</w:t>
      </w:r>
      <w:r>
        <w:rPr>
          <w:rFonts w:hint="eastAsia" w:ascii="仿宋_GB2312" w:cs="Times New Roman"/>
          <w:kern w:val="2"/>
          <w:sz w:val="32"/>
          <w:szCs w:val="32"/>
          <w:highlight w:val="none"/>
          <w:lang w:val="en-US" w:eastAsia="zh-CN" w:bidi="ar-SA"/>
        </w:rPr>
        <w:t>占总支出99.53%</w:t>
      </w:r>
      <w:r>
        <w:rPr>
          <w:rFonts w:hint="eastAsia" w:ascii="仿宋_GB2312" w:hAnsi="Times New Roman" w:cs="Times New Roman"/>
          <w:kern w:val="2"/>
          <w:sz w:val="32"/>
          <w:szCs w:val="32"/>
          <w:highlight w:val="none"/>
          <w:lang w:val="en-US" w:eastAsia="zh-CN" w:bidi="ar-SA"/>
        </w:rPr>
        <w:t>。</w:t>
      </w:r>
    </w:p>
    <w:p w14:paraId="0B72479E">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5D2668D6">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黑体" w:eastAsia="黑体"/>
          <w:szCs w:val="32"/>
        </w:rPr>
      </w:pPr>
      <w:r>
        <w:rPr>
          <w:rFonts w:hint="eastAsia" w:ascii="仿宋_GB2312"/>
          <w:sz w:val="32"/>
          <w:szCs w:val="32"/>
          <w:highlight w:val="none"/>
          <w:lang w:val="en-US" w:eastAsia="zh-CN"/>
        </w:rPr>
        <w:t>我单位2025年无政府性基金预算</w:t>
      </w:r>
      <w:r>
        <w:rPr>
          <w:rFonts w:hint="eastAsia" w:ascii="仿宋_GB2312"/>
          <w:szCs w:val="32"/>
          <w:lang w:eastAsia="zh-CN"/>
        </w:rPr>
        <w:t>。</w:t>
      </w:r>
    </w:p>
    <w:p w14:paraId="6DB32C68">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0BD877E6">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黑体" w:eastAsia="黑体"/>
          <w:szCs w:val="32"/>
        </w:rPr>
      </w:pPr>
      <w:r>
        <w:rPr>
          <w:rFonts w:hint="eastAsia" w:ascii="仿宋_GB2312"/>
          <w:sz w:val="32"/>
          <w:szCs w:val="32"/>
          <w:lang w:val="en-US" w:eastAsia="zh-CN"/>
        </w:rPr>
        <w:t>我单位2025年无国有资本经营预算</w:t>
      </w:r>
      <w:r>
        <w:rPr>
          <w:rFonts w:hint="eastAsia" w:ascii="仿宋_GB2312"/>
          <w:szCs w:val="32"/>
          <w:lang w:eastAsia="zh-CN"/>
        </w:rPr>
        <w:t>。</w:t>
      </w:r>
    </w:p>
    <w:p w14:paraId="0BBE43BD">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仿宋_GB2312" w:hAnsi="宋体"/>
          <w:szCs w:val="32"/>
        </w:rPr>
      </w:pP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w:t>
      </w:r>
      <w:r>
        <w:rPr>
          <w:rFonts w:hint="eastAsia" w:ascii="仿宋_GB2312"/>
          <w:bCs/>
          <w:lang w:eastAsia="zh-CN"/>
        </w:rPr>
        <w:t>与上年持平</w:t>
      </w:r>
      <w:r>
        <w:rPr>
          <w:rFonts w:hint="eastAsia" w:ascii="仿宋_GB2312"/>
          <w:bCs/>
        </w:rPr>
        <w:t>，具体如下：</w:t>
      </w:r>
    </w:p>
    <w:p w14:paraId="3817793E">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14:paraId="24928716">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其中：</w:t>
      </w:r>
    </w:p>
    <w:p w14:paraId="45EA07CD">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14:paraId="49930F17">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14:paraId="4772B8B8">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14:paraId="13B95747">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lang w:eastAsia="zh-CN"/>
        </w:rPr>
        <w:t>事业单位相关</w:t>
      </w:r>
      <w:r>
        <w:rPr>
          <w:rFonts w:hint="eastAsia" w:ascii="黑体" w:hAnsi="黑体" w:eastAsia="黑体" w:cs="黑体"/>
          <w:szCs w:val="32"/>
        </w:rPr>
        <w:t>运行经费安排情况说明</w:t>
      </w:r>
    </w:p>
    <w:p w14:paraId="2A856E88">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我单位事业单位相关运行经费主要包括其他商品和服务支出，我单位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事业单位相关运行经费</w:t>
      </w:r>
      <w:r>
        <w:rPr>
          <w:rFonts w:hint="eastAsia" w:ascii="仿宋_GB2312" w:hAnsi="宋体" w:cs="Times New Roman"/>
          <w:szCs w:val="32"/>
          <w:highlight w:val="none"/>
          <w:lang w:val="en-US" w:eastAsia="zh-CN"/>
        </w:rPr>
        <w:t>预算0.25万元，较上年增加0.05</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25%，增长的主要原因是增加退休人员，事业单位离退休增加。</w:t>
      </w:r>
    </w:p>
    <w:p w14:paraId="0CBC84FC">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243</w:t>
      </w:r>
      <w:r>
        <w:rPr>
          <w:rFonts w:hint="eastAsia" w:ascii="仿宋_GB2312" w:hAnsi="宋体"/>
          <w:szCs w:val="32"/>
        </w:rPr>
        <w:t>万元。其中：货物类采购</w:t>
      </w:r>
      <w:r>
        <w:rPr>
          <w:rFonts w:hint="eastAsia" w:ascii="仿宋_GB2312" w:hAnsi="宋体"/>
          <w:szCs w:val="32"/>
          <w:lang w:val="en-US" w:eastAsia="zh-CN"/>
        </w:rPr>
        <w:t>224</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19</w:t>
      </w:r>
      <w:r>
        <w:rPr>
          <w:rFonts w:hint="eastAsia" w:ascii="仿宋_GB2312" w:hAnsi="宋体"/>
          <w:szCs w:val="32"/>
        </w:rPr>
        <w:t>万元。</w:t>
      </w:r>
    </w:p>
    <w:p w14:paraId="14EE837E">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43F63469">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截至202</w:t>
      </w:r>
      <w:r>
        <w:rPr>
          <w:rFonts w:hint="eastAsia" w:ascii="仿宋_GB2312" w:cs="Times New Roman"/>
          <w:sz w:val="32"/>
          <w:szCs w:val="32"/>
          <w:lang w:val="en-US" w:eastAsia="zh-CN"/>
        </w:rPr>
        <w:t>4</w:t>
      </w:r>
      <w:r>
        <w:rPr>
          <w:rFonts w:hint="eastAsia" w:ascii="仿宋_GB2312" w:hAnsi="Times New Roman" w:cs="Times New Roman"/>
          <w:sz w:val="32"/>
          <w:szCs w:val="32"/>
          <w:lang w:val="en-US" w:eastAsia="zh-CN"/>
        </w:rPr>
        <w:t>年底，本单位共有车辆3辆，其中：应急保障用车0辆、特种专业技术用车0辆、其他用车3辆，其他用车主要是120急救和下乡用车；单价100万元（含）以上设备1台（套）。202</w:t>
      </w:r>
      <w:r>
        <w:rPr>
          <w:rFonts w:hint="eastAsia" w:ascii="仿宋_GB2312" w:cs="Times New Roman"/>
          <w:sz w:val="32"/>
          <w:szCs w:val="32"/>
          <w:lang w:val="en-US" w:eastAsia="zh-CN"/>
        </w:rPr>
        <w:t>5</w:t>
      </w:r>
      <w:r>
        <w:rPr>
          <w:rFonts w:hint="eastAsia" w:ascii="仿宋_GB2312" w:hAnsi="Times New Roman" w:cs="Times New Roman"/>
          <w:sz w:val="32"/>
          <w:szCs w:val="32"/>
          <w:lang w:val="en-US" w:eastAsia="zh-CN"/>
        </w:rPr>
        <w:t>单位预算：安排购置车辆0台；安排购置单位价值100万元以上的专用设备0台（套）。</w:t>
      </w:r>
    </w:p>
    <w:p w14:paraId="348E10FD">
      <w:pPr>
        <w:keepNext w:val="0"/>
        <w:keepLines w:val="0"/>
        <w:pageBreakBefore w:val="0"/>
        <w:widowControl w:val="0"/>
        <w:tabs>
          <w:tab w:val="center" w:pos="4475"/>
        </w:tabs>
        <w:kinsoku/>
        <w:wordWrap/>
        <w:overflowPunct/>
        <w:topLinePunct w:val="0"/>
        <w:autoSpaceDE/>
        <w:bidi w:val="0"/>
        <w:adjustRightInd/>
        <w:snapToGrid/>
        <w:spacing w:line="640" w:lineRule="exact"/>
        <w:ind w:firstLine="645"/>
        <w:textAlignment w:val="auto"/>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keepNext w:val="0"/>
        <w:keepLines w:val="0"/>
        <w:pageBreakBefore w:val="0"/>
        <w:widowControl w:val="0"/>
        <w:tabs>
          <w:tab w:val="center" w:pos="4475"/>
        </w:tabs>
        <w:suppressAutoHyphens w:val="0"/>
        <w:kinsoku/>
        <w:wordWrap/>
        <w:overflowPunct/>
        <w:topLinePunct w:val="0"/>
        <w:autoSpaceDE/>
        <w:autoSpaceDN w:val="0"/>
        <w:bidi w:val="0"/>
        <w:adjustRightInd/>
        <w:snapToGrid/>
        <w:spacing w:line="640" w:lineRule="exact"/>
        <w:ind w:firstLine="645"/>
        <w:textAlignment w:val="auto"/>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w:t>
      </w:r>
      <w:bookmarkStart w:id="0" w:name="_GoBack"/>
      <w:bookmarkEnd w:id="0"/>
      <w:r>
        <w:rPr>
          <w:rFonts w:hint="eastAsia" w:ascii="仿宋_GB2312" w:hAnsi="Times New Roman" w:eastAsia="仿宋_GB2312" w:cs="仿宋_GB2312"/>
          <w:b w:val="0"/>
          <w:bCs w:val="0"/>
          <w:caps w:val="0"/>
          <w:color w:val="auto"/>
          <w:kern w:val="2"/>
          <w:sz w:val="32"/>
          <w:szCs w:val="32"/>
          <w:vertAlign w:val="baseline"/>
          <w:lang w:val="en-US" w:eastAsia="zh-CN" w:bidi="ar"/>
        </w:rPr>
        <w:t>本级项目</w:t>
      </w:r>
      <w:r>
        <w:rPr>
          <w:rFonts w:hint="eastAsia" w:ascii="仿宋_GB2312" w:cs="仿宋_GB2312"/>
          <w:b w:val="0"/>
          <w:bCs w:val="0"/>
          <w:caps w:val="0"/>
          <w:color w:val="auto"/>
          <w:kern w:val="2"/>
          <w:sz w:val="32"/>
          <w:szCs w:val="32"/>
          <w:vertAlign w:val="baseline"/>
          <w:lang w:val="en-US" w:eastAsia="zh-CN" w:bidi="ar"/>
        </w:rPr>
        <w:t>3</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1314.32</w:t>
      </w:r>
      <w:r>
        <w:rPr>
          <w:rFonts w:hint="eastAsia" w:ascii="仿宋_GB2312" w:hAnsi="Times New Roman" w:eastAsia="仿宋_GB2312" w:cs="仿宋_GB2312"/>
          <w:b w:val="0"/>
          <w:bCs w:val="0"/>
          <w:caps w:val="0"/>
          <w:color w:val="auto"/>
          <w:kern w:val="2"/>
          <w:sz w:val="32"/>
          <w:szCs w:val="32"/>
          <w:vertAlign w:val="baseline"/>
          <w:lang w:val="en-US" w:eastAsia="zh-CN" w:bidi="ar"/>
        </w:rPr>
        <w:t>万元</w:t>
      </w:r>
      <w:r>
        <w:rPr>
          <w:rFonts w:hint="eastAsia" w:ascii="仿宋_GB2312" w:cs="仿宋_GB2312"/>
          <w:b w:val="0"/>
          <w:bCs w:val="0"/>
          <w:caps w:val="0"/>
          <w:color w:val="auto"/>
          <w:kern w:val="2"/>
          <w:sz w:val="32"/>
          <w:szCs w:val="32"/>
          <w:vertAlign w:val="baseline"/>
          <w:lang w:val="en-US" w:eastAsia="zh-CN" w:bidi="ar"/>
        </w:rPr>
        <w:t>，</w:t>
      </w:r>
      <w:r>
        <w:rPr>
          <w:rFonts w:hint="eastAsia" w:ascii="仿宋_GB2312" w:hAnsi="Times New Roman" w:eastAsia="仿宋_GB2312" w:cs="仿宋_GB2312"/>
          <w:b w:val="0"/>
          <w:bCs w:val="0"/>
          <w:caps w:val="0"/>
          <w:color w:val="auto"/>
          <w:kern w:val="2"/>
          <w:sz w:val="32"/>
          <w:szCs w:val="32"/>
          <w:vertAlign w:val="baseline"/>
          <w:lang w:val="en-US" w:eastAsia="zh-CN" w:bidi="ar"/>
        </w:rPr>
        <w:t>绩效目标情况详见报表。</w:t>
      </w:r>
    </w:p>
    <w:p w14:paraId="111D9D22">
      <w:pPr>
        <w:keepNext w:val="0"/>
        <w:keepLines w:val="0"/>
        <w:pageBreakBefore w:val="0"/>
        <w:widowControl w:val="0"/>
        <w:tabs>
          <w:tab w:val="center" w:pos="4475"/>
        </w:tabs>
        <w:kinsoku/>
        <w:wordWrap/>
        <w:overflowPunct/>
        <w:topLinePunct w:val="0"/>
        <w:autoSpaceDE/>
        <w:bidi w:val="0"/>
        <w:adjustRightInd/>
        <w:snapToGrid/>
        <w:spacing w:line="640" w:lineRule="exact"/>
        <w:ind w:firstLine="640" w:firstLineChars="200"/>
        <w:textAlignment w:val="auto"/>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879"/>
        <w:gridCol w:w="5598"/>
      </w:tblGrid>
      <w:tr w14:paraId="69D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top"/>
          </w:tcPr>
          <w:p w14:paraId="08DA8C2E">
            <w:pPr>
              <w:tabs>
                <w:tab w:val="center" w:pos="4475"/>
              </w:tabs>
              <w:spacing w:line="560" w:lineRule="exact"/>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项目名称</w:t>
            </w:r>
          </w:p>
        </w:tc>
        <w:tc>
          <w:tcPr>
            <w:tcW w:w="1879" w:type="dxa"/>
            <w:noWrap w:val="0"/>
            <w:vAlign w:val="top"/>
          </w:tcPr>
          <w:p w14:paraId="195C7948">
            <w:pPr>
              <w:tabs>
                <w:tab w:val="center" w:pos="4475"/>
              </w:tabs>
              <w:spacing w:line="560" w:lineRule="exact"/>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预算数（单位：万元）</w:t>
            </w:r>
          </w:p>
        </w:tc>
        <w:tc>
          <w:tcPr>
            <w:tcW w:w="5598" w:type="dxa"/>
            <w:noWrap w:val="0"/>
            <w:vAlign w:val="top"/>
          </w:tcPr>
          <w:p w14:paraId="420371F2">
            <w:pPr>
              <w:tabs>
                <w:tab w:val="center" w:pos="4475"/>
              </w:tabs>
              <w:spacing w:line="560" w:lineRule="exact"/>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绩效目标</w:t>
            </w:r>
          </w:p>
        </w:tc>
      </w:tr>
      <w:tr w14:paraId="1979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top"/>
          </w:tcPr>
          <w:p w14:paraId="7BBDF8A9">
            <w:pPr>
              <w:tabs>
                <w:tab w:val="center" w:pos="4475"/>
              </w:tabs>
              <w:spacing w:line="560" w:lineRule="exact"/>
              <w:jc w:val="center"/>
              <w:rPr>
                <w:rFonts w:hint="eastAsia" w:ascii="仿宋_GB2312" w:hAnsi="仿宋_GB2312" w:eastAsia="仿宋_GB2312" w:cs="仿宋_GB2312"/>
                <w:sz w:val="28"/>
                <w:szCs w:val="28"/>
                <w:vertAlign w:val="baseline"/>
              </w:rPr>
            </w:pPr>
          </w:p>
          <w:p w14:paraId="332FD69D">
            <w:pPr>
              <w:tabs>
                <w:tab w:val="center" w:pos="4475"/>
              </w:tabs>
              <w:spacing w:line="560" w:lineRule="exact"/>
              <w:jc w:val="center"/>
              <w:rPr>
                <w:rFonts w:hint="eastAsia" w:ascii="仿宋_GB2312" w:hAnsi="仿宋_GB2312" w:eastAsia="仿宋_GB2312" w:cs="仿宋_GB2312"/>
                <w:sz w:val="28"/>
                <w:szCs w:val="28"/>
                <w:vertAlign w:val="baseline"/>
              </w:rPr>
            </w:pPr>
          </w:p>
          <w:p w14:paraId="025CE18A">
            <w:pPr>
              <w:tabs>
                <w:tab w:val="center" w:pos="4475"/>
              </w:tabs>
              <w:spacing w:line="56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cs="仿宋_GB2312"/>
                <w:sz w:val="28"/>
                <w:szCs w:val="28"/>
                <w:vertAlign w:val="baseline"/>
                <w:lang w:eastAsia="zh-CN"/>
              </w:rPr>
              <w:t>预防接种服务费</w:t>
            </w:r>
          </w:p>
        </w:tc>
        <w:tc>
          <w:tcPr>
            <w:tcW w:w="1879" w:type="dxa"/>
            <w:noWrap w:val="0"/>
            <w:vAlign w:val="top"/>
          </w:tcPr>
          <w:p w14:paraId="22BBB21B">
            <w:pPr>
              <w:tabs>
                <w:tab w:val="center" w:pos="4475"/>
              </w:tabs>
              <w:spacing w:line="560" w:lineRule="exact"/>
              <w:jc w:val="center"/>
              <w:rPr>
                <w:rFonts w:hint="eastAsia" w:ascii="仿宋_GB2312" w:hAnsi="仿宋_GB2312" w:cs="仿宋_GB2312"/>
                <w:sz w:val="28"/>
                <w:szCs w:val="28"/>
                <w:vertAlign w:val="baseline"/>
                <w:lang w:val="en-US" w:eastAsia="zh-CN"/>
              </w:rPr>
            </w:pPr>
          </w:p>
          <w:p w14:paraId="043CBA19">
            <w:pPr>
              <w:tabs>
                <w:tab w:val="center" w:pos="4475"/>
              </w:tabs>
              <w:spacing w:line="560" w:lineRule="exact"/>
              <w:jc w:val="center"/>
              <w:rPr>
                <w:rFonts w:hint="eastAsia" w:ascii="仿宋_GB2312" w:hAnsi="仿宋_GB2312" w:cs="仿宋_GB2312"/>
                <w:sz w:val="28"/>
                <w:szCs w:val="28"/>
                <w:vertAlign w:val="baseline"/>
                <w:lang w:val="en-US" w:eastAsia="zh-CN"/>
              </w:rPr>
            </w:pPr>
          </w:p>
          <w:p w14:paraId="7E2CDC1B">
            <w:pPr>
              <w:tabs>
                <w:tab w:val="center" w:pos="4475"/>
              </w:tabs>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14</w:t>
            </w:r>
          </w:p>
        </w:tc>
        <w:tc>
          <w:tcPr>
            <w:tcW w:w="5598" w:type="dxa"/>
            <w:shd w:val="clear" w:color="auto" w:fill="auto"/>
            <w:noWrap w:val="0"/>
            <w:vAlign w:val="center"/>
          </w:tcPr>
          <w:p w14:paraId="4D29F03A">
            <w:pPr>
              <w:tabs>
                <w:tab w:val="center" w:pos="4475"/>
              </w:tabs>
              <w:spacing w:line="560" w:lineRule="exact"/>
              <w:jc w:val="both"/>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通过2023年和2024年二类疫苗接种针次统计，实现2025年绩效目标。年度绩效目标：</w:t>
            </w:r>
            <w:r>
              <w:rPr>
                <w:rFonts w:hint="default" w:ascii="仿宋_GB2312" w:hAnsi="仿宋_GB2312" w:cs="仿宋_GB2312"/>
                <w:sz w:val="28"/>
                <w:szCs w:val="28"/>
                <w:vertAlign w:val="baseline"/>
                <w:lang w:val="en-US" w:eastAsia="zh-CN"/>
              </w:rPr>
              <w:t>第二类疫苗接种服务费上缴财政后返回，纳入一般公共预算管理的非纳税收入安排资金。</w:t>
            </w:r>
            <w:r>
              <w:rPr>
                <w:rFonts w:hint="eastAsia" w:ascii="仿宋_GB2312" w:hAnsi="仿宋_GB2312" w:cs="仿宋_GB2312"/>
                <w:sz w:val="28"/>
                <w:szCs w:val="28"/>
                <w:vertAlign w:val="baseline"/>
                <w:lang w:val="en-US" w:eastAsia="zh-CN"/>
              </w:rPr>
              <w:t>数量指标：二类疫苗接种针次(≤7668针次)；质量指标：二类疫苗接种计划完成率(≥90%)；时效指标：2025年完成；成本指标：完成成本(支出小于收入)；社会效益指标：群体免疫(不断提高)；可持续效益指标：疫苗接种工作(持续进行)；服务对象满意度指标：群众对医护人员接种服务质量满意度(≥85%)。</w:t>
            </w:r>
          </w:p>
        </w:tc>
      </w:tr>
    </w:tbl>
    <w:p w14:paraId="0E9BBC50">
      <w:pPr>
        <w:keepNext w:val="0"/>
        <w:keepLines w:val="0"/>
        <w:pageBreakBefore w:val="0"/>
        <w:widowControl w:val="0"/>
        <w:tabs>
          <w:tab w:val="center" w:pos="4475"/>
        </w:tabs>
        <w:kinsoku/>
        <w:wordWrap/>
        <w:overflowPunct/>
        <w:topLinePunct w:val="0"/>
        <w:autoSpaceDE/>
        <w:autoSpaceDN/>
        <w:bidi w:val="0"/>
        <w:adjustRightInd/>
        <w:snapToGrid/>
        <w:spacing w:line="640" w:lineRule="exact"/>
        <w:ind w:firstLine="645"/>
        <w:textAlignment w:val="auto"/>
        <w:rPr>
          <w:rFonts w:hint="eastAsia" w:ascii="黑体" w:eastAsia="黑体"/>
          <w:szCs w:val="32"/>
        </w:rPr>
      </w:pPr>
    </w:p>
    <w:p w14:paraId="32596E56">
      <w:pPr>
        <w:keepNext w:val="0"/>
        <w:keepLines w:val="0"/>
        <w:pageBreakBefore w:val="0"/>
        <w:widowControl w:val="0"/>
        <w:tabs>
          <w:tab w:val="center" w:pos="4475"/>
        </w:tabs>
        <w:kinsoku/>
        <w:wordWrap/>
        <w:overflowPunct/>
        <w:topLinePunct w:val="0"/>
        <w:autoSpaceDE/>
        <w:autoSpaceDN/>
        <w:bidi w:val="0"/>
        <w:adjustRightInd/>
        <w:snapToGrid/>
        <w:spacing w:line="640" w:lineRule="exact"/>
        <w:ind w:firstLine="645"/>
        <w:textAlignment w:val="auto"/>
        <w:rPr>
          <w:rFonts w:hint="eastAsia" w:ascii="黑体" w:eastAsia="黑体"/>
          <w:szCs w:val="32"/>
        </w:rPr>
      </w:pPr>
    </w:p>
    <w:p w14:paraId="14702682">
      <w:pPr>
        <w:keepNext w:val="0"/>
        <w:keepLines w:val="0"/>
        <w:pageBreakBefore w:val="0"/>
        <w:widowControl w:val="0"/>
        <w:tabs>
          <w:tab w:val="center" w:pos="4475"/>
        </w:tabs>
        <w:kinsoku/>
        <w:wordWrap/>
        <w:overflowPunct/>
        <w:topLinePunct w:val="0"/>
        <w:autoSpaceDE/>
        <w:autoSpaceDN/>
        <w:bidi w:val="0"/>
        <w:adjustRightInd/>
        <w:snapToGrid/>
        <w:spacing w:line="640" w:lineRule="exact"/>
        <w:ind w:firstLine="645"/>
        <w:textAlignment w:val="auto"/>
        <w:rPr>
          <w:rFonts w:hint="eastAsia" w:ascii="黑体" w:eastAsia="黑体"/>
          <w:szCs w:val="32"/>
        </w:rPr>
      </w:pPr>
      <w:r>
        <w:rPr>
          <w:rFonts w:hint="eastAsia" w:ascii="黑体" w:eastAsia="黑体"/>
          <w:szCs w:val="32"/>
        </w:rPr>
        <w:t>第三部分：名词解释</w:t>
      </w:r>
    </w:p>
    <w:p w14:paraId="658CED03">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ascii="黑体" w:eastAsia="黑体"/>
          <w:sz w:val="32"/>
          <w:szCs w:val="32"/>
          <w:highlight w:val="none"/>
        </w:rPr>
      </w:pPr>
      <w:r>
        <w:rPr>
          <w:rFonts w:hint="eastAsia" w:ascii="黑体" w:eastAsia="黑体"/>
          <w:sz w:val="32"/>
          <w:szCs w:val="32"/>
          <w:highlight w:val="none"/>
        </w:rPr>
        <w:t>十五、支出类常用科目的说明</w:t>
      </w:r>
    </w:p>
    <w:p w14:paraId="2B902B03">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65D39EDF">
      <w:pPr>
        <w:adjustRightInd w:val="0"/>
        <w:snapToGrid w:val="0"/>
        <w:spacing w:line="560" w:lineRule="exact"/>
        <w:ind w:right="-333" w:rightChars="-104" w:firstLine="640" w:firstLineChars="200"/>
        <w:rPr>
          <w:rFonts w:hint="eastAsia" w:ascii="黑体" w:hAnsi="宋体" w:eastAsia="黑体"/>
          <w:szCs w:val="32"/>
          <w:lang w:eastAsia="zh-CN"/>
        </w:rPr>
      </w:pPr>
    </w:p>
    <w:p w14:paraId="7933285E">
      <w:pPr>
        <w:adjustRightInd w:val="0"/>
        <w:snapToGrid w:val="0"/>
        <w:spacing w:line="560" w:lineRule="exact"/>
        <w:ind w:right="-333" w:rightChars="-104" w:firstLine="640" w:firstLineChars="200"/>
        <w:rPr>
          <w:rFonts w:hint="eastAsia" w:ascii="黑体" w:hAnsi="宋体" w:eastAsia="黑体"/>
          <w:szCs w:val="32"/>
          <w:lang w:eastAsia="zh-CN"/>
        </w:rPr>
      </w:pPr>
    </w:p>
    <w:p w14:paraId="35BAB9BC">
      <w:pPr>
        <w:adjustRightInd w:val="0"/>
        <w:snapToGrid w:val="0"/>
        <w:spacing w:line="560" w:lineRule="exact"/>
        <w:ind w:right="-333" w:rightChars="-104" w:firstLine="640" w:firstLineChars="200"/>
        <w:rPr>
          <w:rFonts w:hint="eastAsia" w:ascii="黑体" w:hAnsi="宋体" w:eastAsia="黑体"/>
          <w:szCs w:val="32"/>
          <w:lang w:eastAsia="zh-CN"/>
        </w:rPr>
      </w:pPr>
    </w:p>
    <w:p w14:paraId="7D8E5EFC">
      <w:pPr>
        <w:adjustRightInd w:val="0"/>
        <w:snapToGrid w:val="0"/>
        <w:spacing w:line="560" w:lineRule="exact"/>
        <w:ind w:right="-333" w:rightChars="-104"/>
        <w:rPr>
          <w:rFonts w:hint="eastAsia" w:ascii="黑体" w:hAnsi="宋体" w:eastAsia="黑体"/>
          <w:szCs w:val="32"/>
          <w:lang w:eastAsia="zh-CN"/>
        </w:rPr>
      </w:pPr>
    </w:p>
    <w:p w14:paraId="18AD0BE4">
      <w:pPr>
        <w:adjustRightInd w:val="0"/>
        <w:snapToGrid w:val="0"/>
        <w:spacing w:line="560" w:lineRule="exact"/>
        <w:ind w:right="-333" w:rightChars="-104"/>
        <w:rPr>
          <w:rFonts w:hint="eastAsia" w:ascii="黑体" w:hAnsi="宋体" w:eastAsia="黑体"/>
          <w:szCs w:val="32"/>
          <w:lang w:eastAsia="zh-CN"/>
        </w:rPr>
      </w:pPr>
    </w:p>
    <w:p w14:paraId="435CA211">
      <w:pPr>
        <w:adjustRightInd w:val="0"/>
        <w:snapToGrid w:val="0"/>
        <w:spacing w:line="560" w:lineRule="exact"/>
        <w:ind w:right="-333" w:rightChars="-104"/>
        <w:rPr>
          <w:rFonts w:hint="eastAsia" w:ascii="黑体" w:hAnsi="宋体" w:eastAsia="黑体"/>
          <w:szCs w:val="32"/>
          <w:lang w:eastAsia="zh-CN"/>
        </w:rPr>
      </w:pPr>
    </w:p>
    <w:p w14:paraId="4689CB9F">
      <w:pPr>
        <w:adjustRightInd w:val="0"/>
        <w:snapToGrid w:val="0"/>
        <w:spacing w:line="560" w:lineRule="exact"/>
        <w:ind w:right="-333" w:rightChars="-104"/>
        <w:rPr>
          <w:rFonts w:hint="eastAsia" w:ascii="黑体" w:hAnsi="宋体" w:eastAsia="黑体"/>
          <w:szCs w:val="32"/>
          <w:lang w:eastAsia="zh-CN"/>
        </w:rPr>
      </w:pPr>
    </w:p>
    <w:p w14:paraId="3EEB7908">
      <w:pPr>
        <w:adjustRightInd w:val="0"/>
        <w:snapToGrid w:val="0"/>
        <w:spacing w:line="560" w:lineRule="exact"/>
        <w:ind w:right="-333" w:rightChars="-104"/>
        <w:rPr>
          <w:rFonts w:hint="eastAsia" w:ascii="黑体" w:hAnsi="宋体" w:eastAsia="黑体"/>
          <w:szCs w:val="32"/>
          <w:lang w:eastAsia="zh-CN"/>
        </w:rPr>
      </w:pPr>
    </w:p>
    <w:p w14:paraId="630E028F">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color w:val="auto"/>
          <w:szCs w:val="32"/>
          <w:lang w:eastAsia="zh-CN"/>
        </w:rPr>
        <w:t>柳州市柳江区百朋中心卫生院2025</w:t>
      </w:r>
      <w:r>
        <w:rPr>
          <w:rFonts w:hint="eastAsia" w:ascii="黑体" w:hAnsi="宋体" w:eastAsia="黑体"/>
          <w:color w:val="auto"/>
          <w:szCs w:val="32"/>
        </w:rPr>
        <w:t>年</w:t>
      </w:r>
      <w:r>
        <w:rPr>
          <w:rFonts w:hint="eastAsia" w:ascii="黑体" w:eastAsia="黑体"/>
          <w:color w:val="auto"/>
          <w:szCs w:val="32"/>
          <w:lang w:eastAsia="zh-CN"/>
        </w:rPr>
        <w:t>单</w:t>
      </w:r>
      <w:r>
        <w:rPr>
          <w:rFonts w:hint="eastAsia" w:ascii="黑体" w:eastAsia="黑体"/>
          <w:szCs w:val="32"/>
          <w:lang w:eastAsia="zh-CN"/>
        </w:rPr>
        <w:t>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94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68205">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668205">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62922"/>
    <w:rsid w:val="09D27E0F"/>
    <w:rsid w:val="0CB97065"/>
    <w:rsid w:val="1031756B"/>
    <w:rsid w:val="10F6522F"/>
    <w:rsid w:val="15DD7808"/>
    <w:rsid w:val="16940FBF"/>
    <w:rsid w:val="204A5756"/>
    <w:rsid w:val="21690C6D"/>
    <w:rsid w:val="22FA4207"/>
    <w:rsid w:val="233314C7"/>
    <w:rsid w:val="236A005D"/>
    <w:rsid w:val="28163239"/>
    <w:rsid w:val="2F0E7201"/>
    <w:rsid w:val="2F1F1BFA"/>
    <w:rsid w:val="3127080F"/>
    <w:rsid w:val="36190BE4"/>
    <w:rsid w:val="392A132F"/>
    <w:rsid w:val="3FE016D0"/>
    <w:rsid w:val="46BA08EF"/>
    <w:rsid w:val="47254DC0"/>
    <w:rsid w:val="485821FA"/>
    <w:rsid w:val="4AC234C0"/>
    <w:rsid w:val="4B4D1689"/>
    <w:rsid w:val="4D7D77BF"/>
    <w:rsid w:val="4E3B534E"/>
    <w:rsid w:val="4F15037D"/>
    <w:rsid w:val="582F285D"/>
    <w:rsid w:val="5E2534D0"/>
    <w:rsid w:val="60793BB8"/>
    <w:rsid w:val="61790893"/>
    <w:rsid w:val="64761A5E"/>
    <w:rsid w:val="6659351C"/>
    <w:rsid w:val="6A3E1DEA"/>
    <w:rsid w:val="6B822BB4"/>
    <w:rsid w:val="6C0F2BD0"/>
    <w:rsid w:val="6DAE2E3A"/>
    <w:rsid w:val="6F13110F"/>
    <w:rsid w:val="734D525A"/>
    <w:rsid w:val="76DC4839"/>
    <w:rsid w:val="779D2BAA"/>
    <w:rsid w:val="791C6669"/>
    <w:rsid w:val="79E24222"/>
    <w:rsid w:val="79F17082"/>
    <w:rsid w:val="7C332D56"/>
    <w:rsid w:val="7EDF7266"/>
    <w:rsid w:val="7F0D1D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2223</Words>
  <Characters>2420</Characters>
  <Lines>0</Lines>
  <Paragraphs>0</Paragraphs>
  <TotalTime>2</TotalTime>
  <ScaleCrop>false</ScaleCrop>
  <LinksUpToDate>false</LinksUpToDate>
  <CharactersWithSpaces>2422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dcterms:modified xsi:type="dcterms:W3CDTF">2025-02-14T12:13:00Z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286B267F401B4F7FB174246DCD3A729D_13</vt:lpwstr>
  </property>
</Properties>
</file>