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柳州市柳江区市政设施维护所2025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val="en-US" w:eastAsia="zh-CN"/>
        </w:rPr>
        <w:t>柳州市柳江区市政设施维护所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val="en-US" w:eastAsia="zh-CN"/>
        </w:rPr>
        <w:t>柳州市柳江区市政设施维护所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876D5D2">
      <w:pPr>
        <w:adjustRightInd w:val="0"/>
        <w:snapToGrid w:val="0"/>
        <w:spacing w:line="560" w:lineRule="exact"/>
        <w:ind w:right="-333" w:rightChars="-104" w:firstLine="640" w:firstLineChars="200"/>
        <w:rPr>
          <w:rFonts w:hint="eastAsia" w:ascii="黑体" w:hAnsi="宋体" w:eastAsia="黑体"/>
          <w:bCs/>
          <w:szCs w:val="32"/>
        </w:rPr>
      </w:pPr>
    </w:p>
    <w:p w14:paraId="6396B691">
      <w:pPr>
        <w:adjustRightInd w:val="0"/>
        <w:snapToGrid w:val="0"/>
        <w:spacing w:line="560" w:lineRule="exact"/>
        <w:ind w:right="-333" w:rightChars="-104" w:firstLine="640" w:firstLineChars="200"/>
        <w:rPr>
          <w:rFonts w:hint="eastAsia" w:ascii="黑体" w:hAnsi="宋体" w:eastAsia="黑体"/>
          <w:bCs/>
          <w:szCs w:val="32"/>
        </w:rPr>
      </w:pPr>
    </w:p>
    <w:p w14:paraId="2215EB3E">
      <w:pPr>
        <w:adjustRightInd w:val="0"/>
        <w:snapToGrid w:val="0"/>
        <w:spacing w:line="560" w:lineRule="exact"/>
        <w:ind w:right="-333" w:rightChars="-104" w:firstLine="640" w:firstLineChars="200"/>
        <w:rPr>
          <w:rFonts w:hint="eastAsia" w:ascii="黑体" w:hAnsi="宋体" w:eastAsia="黑体"/>
          <w:bCs/>
          <w:szCs w:val="32"/>
        </w:rPr>
      </w:pPr>
    </w:p>
    <w:p w14:paraId="65EDBB38">
      <w:pPr>
        <w:adjustRightInd w:val="0"/>
        <w:snapToGrid w:val="0"/>
        <w:spacing w:line="560" w:lineRule="exact"/>
        <w:ind w:right="-333" w:rightChars="-104" w:firstLine="640" w:firstLineChars="200"/>
        <w:rPr>
          <w:rFonts w:hint="eastAsia" w:ascii="黑体" w:hAnsi="宋体" w:eastAsia="黑体"/>
          <w:bCs/>
          <w:szCs w:val="32"/>
        </w:rPr>
      </w:pPr>
    </w:p>
    <w:p w14:paraId="2BFAD2EE">
      <w:pPr>
        <w:adjustRightInd w:val="0"/>
        <w:snapToGrid w:val="0"/>
        <w:spacing w:line="560" w:lineRule="exact"/>
        <w:ind w:right="-333" w:rightChars="-104" w:firstLine="640" w:firstLineChars="200"/>
        <w:rPr>
          <w:rFonts w:hint="eastAsia" w:ascii="黑体" w:hAnsi="宋体" w:eastAsia="黑体"/>
          <w:bCs/>
          <w:szCs w:val="32"/>
        </w:rPr>
      </w:pP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5EA63DFB">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一）负责全区市政设施维护管理、城市照明管理、燃气管理工作，贯彻执行中央、自治区、柳州市关于市政设施维护管理、城市照明管理、燃气管理的法律法规、方针政策和规范性文件，参与拟订市政设施维护管理、城市照明管理、燃气管理有关规划并组织实施。</w:t>
      </w:r>
    </w:p>
    <w:p w14:paraId="0EBD51E1">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（二）负责柳江区市政公用设施及城市道路的监督管理工作，对占用、挖掘城市道路、桥梁和新、扩建下水道的现场进行勘察和审查，对违反市政设施管理条例的行为进行巡查，参与整改和处理的工作。</w:t>
      </w:r>
    </w:p>
    <w:p w14:paraId="77A58D53">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（三）负责辖区内道路、排水设施和桥梁桥涵及其附属设施的日常养护维修。</w:t>
      </w:r>
    </w:p>
    <w:p w14:paraId="4A171566">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（四）参与市政公用设施重点工程建设项目立项、可行性研究、方案评审等工作。</w:t>
      </w:r>
    </w:p>
    <w:p w14:paraId="71360DDA">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（五）参与重点市政工程项目的初步设计、施工建设管理等工作。</w:t>
      </w:r>
    </w:p>
    <w:p w14:paraId="6AC6FD23">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（六）负责组织市政设施管理中，规程、规范、标准实施情况的信息收集、分析、整理和反馈。</w:t>
      </w:r>
    </w:p>
    <w:p w14:paraId="75FC4A59">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（七）参与组织辖区内市政设施的检测和普查，并提出评价报告。</w:t>
      </w:r>
    </w:p>
    <w:p w14:paraId="2E303E25">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（八）参与城区防汛工作，参与市政设施工程项目的竣工验收工作。</w:t>
      </w:r>
    </w:p>
    <w:p w14:paraId="163F70B3">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（九）负责本区市政设施维修、改造计划及资金计划的编制。</w:t>
      </w:r>
    </w:p>
    <w:p w14:paraId="2407BA3A">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（十）负责制定城市道路照明设施的规划、建设和改造计划，积极采用新光源、新技术、新设备。</w:t>
      </w:r>
    </w:p>
    <w:p w14:paraId="77BC63BB">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（十一）负责新建、改建和扩建的路灯安装工程，按照国家有关标准规范建设。</w:t>
      </w:r>
    </w:p>
    <w:p w14:paraId="03CAAED3">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（十二）负责对城市照明设施进行维修和管理，保证城市照明设施的运行正常。</w:t>
      </w:r>
    </w:p>
    <w:p w14:paraId="22A3958B">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（十三）负责监督检查城市道路照明设施的安全运行与维护，依法参与查处道路照明设施管理中的违法行为。</w:t>
      </w:r>
    </w:p>
    <w:p w14:paraId="4E5E3893">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（十四）负责对辖区内燃气供应站点日常安全管理、安全检查工作，对燃气经营许可证的申报材料进行前置初审及实地勘查等工作。</w:t>
      </w:r>
    </w:p>
    <w:p w14:paraId="1EF4813C">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（十五）负责对辖区内燃气供应企业的安全生产制度实施情况及安全措施落实情况进行监督。</w:t>
      </w:r>
    </w:p>
    <w:p w14:paraId="7A683768">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（十六）负责制定燃气事故应急预案，组织燃气事故应急演练，进行事故应急处置并通报事故处理结果，上报上级主管部门。</w:t>
      </w:r>
    </w:p>
    <w:p w14:paraId="1EA98269">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（十七）完成区委、区人民政府、区住房和城乡建设局交办的其他工作。</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7DF3D0BB">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区市政设施维护所</w:t>
      </w:r>
      <w:r>
        <w:rPr>
          <w:rFonts w:hint="eastAsia" w:ascii="仿宋_GB2312"/>
          <w:sz w:val="32"/>
          <w:szCs w:val="32"/>
          <w:lang w:val="zh-CN" w:eastAsia="zh-CN"/>
        </w:rPr>
        <w:t>为全额拨款公益一类事业单位，</w:t>
      </w:r>
      <w:r>
        <w:rPr>
          <w:rFonts w:hint="eastAsia" w:ascii="仿宋_GB2312"/>
          <w:sz w:val="32"/>
          <w:szCs w:val="32"/>
          <w:lang w:val="en-US" w:eastAsia="zh-CN"/>
        </w:rPr>
        <w:t>编制数25名，设所长1名，副所长2名。</w:t>
      </w:r>
    </w:p>
    <w:p w14:paraId="0517E5B9">
      <w:pPr>
        <w:tabs>
          <w:tab w:val="center" w:pos="4475"/>
        </w:tabs>
        <w:spacing w:line="560" w:lineRule="exact"/>
        <w:ind w:firstLine="645"/>
        <w:rPr>
          <w:rFonts w:hint="eastAsia" w:ascii="黑体" w:eastAsia="黑体"/>
          <w:szCs w:val="32"/>
        </w:rPr>
      </w:pPr>
    </w:p>
    <w:p w14:paraId="37E4F4A8">
      <w:pPr>
        <w:tabs>
          <w:tab w:val="center" w:pos="4475"/>
        </w:tabs>
        <w:spacing w:line="560" w:lineRule="exact"/>
        <w:ind w:firstLine="645"/>
        <w:rPr>
          <w:rFonts w:hint="eastAsia" w:ascii="黑体" w:eastAsia="黑体"/>
          <w:szCs w:val="32"/>
        </w:rPr>
      </w:pP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val="en-US" w:eastAsia="zh-CN"/>
        </w:rPr>
        <w:t>柳州市柳江区市政设施维护所</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888.05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888.05</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211.69</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30.3%，主要原因是增加新城区电费以及路灯损坏维修增加，导致预算增加。总支出</w:t>
      </w:r>
      <w:r>
        <w:rPr>
          <w:rFonts w:hint="eastAsia" w:ascii="仿宋_GB2312"/>
          <w:sz w:val="32"/>
          <w:szCs w:val="32"/>
          <w:lang w:eastAsia="zh-CN"/>
        </w:rPr>
        <w:t>较上年增长</w:t>
      </w:r>
      <w:r>
        <w:rPr>
          <w:rFonts w:hint="eastAsia" w:ascii="仿宋_GB2312"/>
          <w:sz w:val="32"/>
          <w:szCs w:val="32"/>
          <w:lang w:val="en-US" w:eastAsia="zh-CN"/>
        </w:rPr>
        <w:t>30.3%，主要原因是增加新城区电费以及路灯损坏维修增加，导致预算增加。</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08A0F076">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888.05</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211.69</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30.3%，主要原因是增加新城区电费以及路灯损坏维修增加，收入增加。单位收入主要包括：</w:t>
      </w:r>
      <w:r>
        <w:rPr>
          <w:rFonts w:hint="eastAsia" w:ascii="仿宋_GB2312" w:hAnsi="宋体"/>
          <w:szCs w:val="32"/>
          <w:lang w:val="en-US" w:eastAsia="zh-CN"/>
        </w:rPr>
        <w:t>一般公共预算拨款收入358.05万元，占比40.32%；政府性基金预算拨款530万元，占比59.68%。</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6431502">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888.05</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211.69</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30.3%，主要原因是增加新城区电费以及路灯损坏维修增加，支出增加。单位支出主要包括：</w:t>
      </w:r>
      <w:r>
        <w:rPr>
          <w:rFonts w:hint="eastAsia" w:ascii="仿宋_GB2312" w:hAnsi="宋体"/>
          <w:szCs w:val="32"/>
          <w:lang w:val="en-US" w:eastAsia="zh-CN"/>
        </w:rPr>
        <w:t>社会保障和就业支出57.01万元，占支出总预算6.42%，同比减少9.34万元，下降14.08%；卫生健康支出15.85万元，占支出总预算1.78%，同比减少9.55万元，下降50.56%；城乡社区支出261.08万元，占支出总预算29.4%，同比减少1.26万元，下降0.48%；住房保障支出24.1万元, 占支出总预算2.71%，同比减少4.67万元，下降16.23%。</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5D2668D6">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530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230</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76.67%，主要原因是增加新城区电费以及路灯损坏维修增加，预算支出增加</w:t>
      </w:r>
      <w:r>
        <w:rPr>
          <w:rFonts w:hint="eastAsia" w:ascii="仿宋_GB2312"/>
          <w:szCs w:val="32"/>
          <w:lang w:eastAsia="zh-CN"/>
        </w:rPr>
        <w:t>。</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1AA61388">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国有资本经营预算支出</w:t>
      </w:r>
      <w:r>
        <w:rPr>
          <w:rFonts w:hint="eastAsia" w:ascii="仿宋_GB2312"/>
          <w:sz w:val="32"/>
          <w:szCs w:val="32"/>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3.5</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0.88</w:t>
      </w:r>
      <w:r>
        <w:rPr>
          <w:rFonts w:hint="eastAsia" w:ascii="仿宋_GB2312"/>
          <w:bCs/>
        </w:rPr>
        <w:t>万元，下降</w:t>
      </w:r>
      <w:r>
        <w:rPr>
          <w:rFonts w:hint="eastAsia" w:ascii="仿宋_GB2312"/>
          <w:bCs/>
          <w:lang w:val="en-US" w:eastAsia="zh-CN"/>
        </w:rPr>
        <w:t>20.09</w:t>
      </w:r>
      <w:r>
        <w:rPr>
          <w:rFonts w:hint="eastAsia" w:ascii="仿宋_GB2312"/>
          <w:bCs/>
        </w:rPr>
        <w:t>%，具体如下：</w:t>
      </w:r>
    </w:p>
    <w:p w14:paraId="28083549">
      <w:pPr>
        <w:numPr>
          <w:ilvl w:val="0"/>
          <w:numId w:val="1"/>
        </w:numPr>
        <w:tabs>
          <w:tab w:val="center" w:pos="4475"/>
        </w:tabs>
        <w:spacing w:line="560" w:lineRule="exact"/>
        <w:ind w:firstLine="645"/>
        <w:rPr>
          <w:rFonts w:hint="eastAsia" w:ascii="仿宋_GB2312" w:hAnsi="宋体"/>
          <w:szCs w:val="32"/>
        </w:rPr>
      </w:pP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24928716">
      <w:pPr>
        <w:numPr>
          <w:ilvl w:val="0"/>
          <w:numId w:val="1"/>
        </w:numPr>
        <w:tabs>
          <w:tab w:val="center" w:pos="4475"/>
        </w:tabs>
        <w:spacing w:line="560" w:lineRule="exact"/>
        <w:ind w:firstLine="645"/>
        <w:rPr>
          <w:rFonts w:hint="eastAsia" w:ascii="仿宋_GB2312" w:hAnsi="宋体"/>
          <w:szCs w:val="32"/>
        </w:rPr>
      </w:pP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2.88</w:t>
      </w:r>
      <w:r>
        <w:rPr>
          <w:rFonts w:hint="eastAsia" w:ascii="仿宋_GB2312" w:hAnsi="宋体"/>
          <w:szCs w:val="32"/>
        </w:rPr>
        <w:t>万元，比上年减少</w:t>
      </w:r>
      <w:r>
        <w:rPr>
          <w:rFonts w:hint="eastAsia" w:ascii="仿宋_GB2312" w:hAnsi="宋体"/>
          <w:szCs w:val="32"/>
          <w:lang w:val="en-US" w:eastAsia="zh-CN"/>
        </w:rPr>
        <w:t>0.72</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45EA07CD">
      <w:pPr>
        <w:tabs>
          <w:tab w:val="center" w:pos="4475"/>
        </w:tabs>
        <w:spacing w:line="560" w:lineRule="exact"/>
        <w:ind w:firstLine="645"/>
        <w:rPr>
          <w:rFonts w:hint="eastAsia" w:ascii="仿宋_GB2312" w:hAnsi="Arial" w:eastAsia="仿宋_GB2312" w:cs="Arial"/>
          <w:kern w:val="0"/>
          <w:lang w:eastAsia="zh-CN"/>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p>
    <w:p w14:paraId="49930F1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2.88</w:t>
      </w:r>
      <w:r>
        <w:rPr>
          <w:rFonts w:hint="eastAsia" w:ascii="仿宋_GB2312" w:hAnsi="宋体"/>
          <w:szCs w:val="32"/>
        </w:rPr>
        <w:t>万元，比上年减少</w:t>
      </w:r>
      <w:r>
        <w:rPr>
          <w:rFonts w:hint="eastAsia" w:ascii="仿宋_GB2312" w:hAnsi="宋体"/>
          <w:szCs w:val="32"/>
          <w:lang w:val="en-US" w:eastAsia="zh-CN"/>
        </w:rPr>
        <w:t>0.72</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厉行节约，压缩经费</w:t>
      </w:r>
      <w:r>
        <w:rPr>
          <w:rFonts w:hint="eastAsia" w:ascii="仿宋_GB2312" w:hAnsi="Arial" w:cs="Arial"/>
          <w:kern w:val="0"/>
        </w:rPr>
        <w:t>。</w:t>
      </w:r>
    </w:p>
    <w:p w14:paraId="4772B8B8">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0.62</w:t>
      </w:r>
      <w:r>
        <w:rPr>
          <w:rFonts w:hint="eastAsia" w:ascii="仿宋_GB2312" w:hAnsi="宋体"/>
          <w:szCs w:val="32"/>
        </w:rPr>
        <w:t>万元，比上年减少</w:t>
      </w:r>
      <w:r>
        <w:rPr>
          <w:rFonts w:hint="eastAsia" w:ascii="仿宋_GB2312" w:hAnsi="宋体"/>
          <w:szCs w:val="32"/>
          <w:lang w:val="en-US" w:eastAsia="zh-CN"/>
        </w:rPr>
        <w:t>0.16</w:t>
      </w:r>
      <w:r>
        <w:rPr>
          <w:rFonts w:hint="eastAsia" w:ascii="仿宋_GB2312" w:hAnsi="宋体"/>
          <w:szCs w:val="32"/>
        </w:rPr>
        <w:t>万元，下降</w:t>
      </w:r>
      <w:r>
        <w:rPr>
          <w:rFonts w:hint="eastAsia" w:ascii="仿宋_GB2312" w:hAnsi="宋体"/>
          <w:szCs w:val="32"/>
          <w:lang w:val="en-US" w:eastAsia="zh-CN"/>
        </w:rPr>
        <w:t>20.51</w:t>
      </w:r>
      <w:r>
        <w:rPr>
          <w:rFonts w:hint="eastAsia" w:ascii="仿宋_GB2312" w:hAnsi="宋体"/>
          <w:szCs w:val="32"/>
        </w:rPr>
        <w:t>%，</w:t>
      </w:r>
      <w:r>
        <w:rPr>
          <w:rFonts w:hint="eastAsia" w:ascii="仿宋_GB2312" w:hAnsi="Arial" w:cs="Arial"/>
          <w:kern w:val="0"/>
        </w:rPr>
        <w:t>减少的主要原因是</w:t>
      </w:r>
      <w:r>
        <w:rPr>
          <w:rFonts w:hint="eastAsia" w:ascii="仿宋_GB2312"/>
          <w:sz w:val="32"/>
          <w:szCs w:val="32"/>
          <w:lang w:val="en-US" w:eastAsia="zh-CN"/>
        </w:rPr>
        <w:t>是</w:t>
      </w:r>
      <w:r>
        <w:rPr>
          <w:rFonts w:hint="eastAsia" w:ascii="仿宋_GB2312"/>
          <w:szCs w:val="32"/>
          <w:lang w:val="en-US" w:eastAsia="zh-CN"/>
        </w:rPr>
        <w:t>严格贯彻执行“过紧日子”政策，压缩三公经费</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我事业单位运行经费主要包括</w:t>
      </w:r>
      <w:r>
        <w:rPr>
          <w:rFonts w:hint="eastAsia" w:ascii="仿宋_GB2312"/>
          <w:szCs w:val="32"/>
          <w:highlight w:val="none"/>
        </w:rPr>
        <w:t>办公费、印刷费、水电费、邮电费、邮电费、差旅费、维修（护）费、会议费、培训费、公务接待费、公务用车运行维护费及其他商品和服务支出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运行经费预算39.66万元，较上年减少1.17</w:t>
      </w:r>
      <w:r>
        <w:rPr>
          <w:rFonts w:hint="eastAsia" w:ascii="仿宋_GB2312"/>
          <w:sz w:val="32"/>
          <w:szCs w:val="32"/>
          <w:highlight w:val="none"/>
          <w:lang w:val="en" w:eastAsia="zh-CN"/>
        </w:rPr>
        <w:t>万元，</w:t>
      </w:r>
      <w:r>
        <w:rPr>
          <w:rFonts w:hint="eastAsia" w:ascii="仿宋_GB2312"/>
          <w:sz w:val="32"/>
          <w:szCs w:val="32"/>
          <w:highlight w:val="none"/>
          <w:lang w:eastAsia="zh-CN"/>
        </w:rPr>
        <w:t>减少</w:t>
      </w:r>
      <w:r>
        <w:rPr>
          <w:rFonts w:hint="eastAsia" w:ascii="仿宋_GB2312"/>
          <w:sz w:val="32"/>
          <w:szCs w:val="32"/>
          <w:highlight w:val="none"/>
          <w:lang w:val="en-US" w:eastAsia="zh-CN"/>
        </w:rPr>
        <w:t>2.86%，减少的主要原因是</w:t>
      </w:r>
      <w:r>
        <w:rPr>
          <w:rFonts w:hint="eastAsia" w:ascii="仿宋_GB2312"/>
          <w:sz w:val="32"/>
          <w:szCs w:val="32"/>
          <w:lang w:val="en-US" w:eastAsia="zh-CN"/>
        </w:rPr>
        <w:t>是</w:t>
      </w:r>
      <w:r>
        <w:rPr>
          <w:rFonts w:hint="eastAsia" w:ascii="仿宋_GB2312"/>
          <w:szCs w:val="32"/>
          <w:lang w:val="en-US" w:eastAsia="zh-CN"/>
        </w:rPr>
        <w:t>严格贯彻执行“过紧日子”政策，压缩经费</w:t>
      </w:r>
      <w:r>
        <w:rPr>
          <w:rFonts w:hint="eastAsia" w:ascii="仿宋_GB2312"/>
          <w:sz w:val="32"/>
          <w:szCs w:val="32"/>
          <w:highlight w:val="none"/>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6.13</w:t>
      </w:r>
      <w:r>
        <w:rPr>
          <w:rFonts w:hint="eastAsia" w:ascii="仿宋_GB2312" w:hAnsi="宋体"/>
          <w:szCs w:val="32"/>
        </w:rPr>
        <w:t>万元。其中：货物类采购</w:t>
      </w:r>
      <w:r>
        <w:rPr>
          <w:rFonts w:hint="eastAsia" w:ascii="仿宋_GB2312" w:hAnsi="宋体"/>
          <w:szCs w:val="32"/>
          <w:lang w:val="en-US" w:eastAsia="zh-CN"/>
        </w:rPr>
        <w:t>2.63</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3.51</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1DCD8DA2">
      <w:pPr>
        <w:spacing w:line="460" w:lineRule="exact"/>
        <w:ind w:firstLine="640" w:firstLineChars="200"/>
        <w:rPr>
          <w:rFonts w:hint="eastAsia" w:ascii="仿宋_GB2312"/>
          <w:szCs w:val="32"/>
        </w:rPr>
      </w:pPr>
      <w:r>
        <w:rPr>
          <w:rFonts w:hint="eastAsia" w:ascii="仿宋_GB2312"/>
          <w:szCs w:val="32"/>
        </w:rPr>
        <w:t>目前，本单位共有在编公务用车2辆，其他办公设备共42台（套）。</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901FA47">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2</w:t>
      </w:r>
      <w:r>
        <w:rPr>
          <w:rFonts w:hint="eastAsia" w:ascii="仿宋_GB2312" w:hAnsi="Times New Roman" w:eastAsia="仿宋_GB2312" w:cs="仿宋_GB2312"/>
          <w:b w:val="0"/>
          <w:bCs w:val="0"/>
          <w:caps w:val="0"/>
          <w:color w:val="auto"/>
          <w:kern w:val="2"/>
          <w:sz w:val="32"/>
          <w:szCs w:val="32"/>
          <w:vertAlign w:val="baseline"/>
          <w:lang w:val="en-US" w:eastAsia="zh-CN" w:bidi="ar"/>
        </w:rPr>
        <w:t>个</w:t>
      </w:r>
      <w:bookmarkStart w:id="0" w:name="_GoBack"/>
      <w:bookmarkEnd w:id="0"/>
      <w:r>
        <w:rPr>
          <w:rFonts w:hint="eastAsia" w:ascii="仿宋_GB2312" w:hAnsi="Times New Roman" w:eastAsia="仿宋_GB2312" w:cs="仿宋_GB2312"/>
          <w:b w:val="0"/>
          <w:bCs w:val="0"/>
          <w:caps w:val="0"/>
          <w:color w:val="auto"/>
          <w:kern w:val="2"/>
          <w:sz w:val="32"/>
          <w:szCs w:val="32"/>
          <w:vertAlign w:val="baseline"/>
          <w:lang w:val="en-US" w:eastAsia="zh-CN" w:bidi="ar"/>
        </w:rPr>
        <w:t>，预算资金</w:t>
      </w:r>
      <w:r>
        <w:rPr>
          <w:rFonts w:hint="eastAsia" w:ascii="仿宋_GB2312" w:cs="仿宋_GB2312"/>
          <w:b w:val="0"/>
          <w:bCs w:val="0"/>
          <w:caps w:val="0"/>
          <w:color w:val="auto"/>
          <w:kern w:val="2"/>
          <w:sz w:val="32"/>
          <w:szCs w:val="32"/>
          <w:vertAlign w:val="baseline"/>
          <w:lang w:val="en-US" w:eastAsia="zh-CN" w:bidi="ar"/>
        </w:rPr>
        <w:t>530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万元；绩效目标情况详见报表（敏感涉密项目除外）。</w:t>
      </w:r>
    </w:p>
    <w:p w14:paraId="111D9D22">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8DA8C2E">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2841" w:type="dxa"/>
            <w:noWrap w:val="0"/>
            <w:vAlign w:val="top"/>
          </w:tcPr>
          <w:p w14:paraId="195C7948">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2841" w:type="dxa"/>
            <w:noWrap w:val="0"/>
            <w:vAlign w:val="top"/>
          </w:tcPr>
          <w:p w14:paraId="420371F2">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7AED4798">
            <w:pPr>
              <w:tabs>
                <w:tab w:val="center" w:pos="4475"/>
              </w:tabs>
              <w:spacing w:line="560" w:lineRule="exact"/>
              <w:jc w:val="center"/>
              <w:rPr>
                <w:rFonts w:hint="default" w:ascii="仿宋_GB2312" w:hAnsi="仿宋_GB2312" w:eastAsia="仿宋_GB2312" w:cs="仿宋_GB2312"/>
                <w:szCs w:val="32"/>
                <w:vertAlign w:val="baseline"/>
                <w:lang w:eastAsia="zh-CN"/>
              </w:rPr>
            </w:pPr>
            <w:r>
              <w:rPr>
                <w:rFonts w:hint="eastAsia" w:ascii="仿宋_GB2312" w:hAnsi="宋体"/>
                <w:szCs w:val="32"/>
              </w:rPr>
              <w:t>柳江区全区电费</w:t>
            </w:r>
          </w:p>
        </w:tc>
        <w:tc>
          <w:tcPr>
            <w:tcW w:w="2841" w:type="dxa"/>
            <w:noWrap w:val="0"/>
            <w:vAlign w:val="center"/>
          </w:tcPr>
          <w:p w14:paraId="368821C9">
            <w:pPr>
              <w:tabs>
                <w:tab w:val="center" w:pos="4475"/>
              </w:tabs>
              <w:spacing w:line="56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430</w:t>
            </w:r>
          </w:p>
        </w:tc>
        <w:tc>
          <w:tcPr>
            <w:tcW w:w="2841" w:type="dxa"/>
            <w:noWrap w:val="0"/>
            <w:vAlign w:val="top"/>
          </w:tcPr>
          <w:p w14:paraId="067D28DE">
            <w:pPr>
              <w:tabs>
                <w:tab w:val="center" w:pos="4475"/>
              </w:tabs>
              <w:spacing w:line="560" w:lineRule="exact"/>
              <w:ind w:firstLine="645"/>
              <w:rPr>
                <w:rFonts w:hint="eastAsia" w:ascii="仿宋_GB2312" w:hAnsi="宋体"/>
                <w:szCs w:val="32"/>
              </w:rPr>
            </w:pPr>
            <w:r>
              <w:rPr>
                <w:rFonts w:hint="eastAsia" w:ascii="仿宋_GB2312" w:hAnsi="仿宋_GB2312" w:cs="仿宋_GB2312"/>
                <w:szCs w:val="32"/>
                <w:vertAlign w:val="baseline"/>
                <w:lang w:eastAsia="zh-CN"/>
              </w:rPr>
              <w:t>通过实施</w:t>
            </w:r>
            <w:r>
              <w:rPr>
                <w:rFonts w:hint="eastAsia" w:ascii="仿宋_GB2312" w:hAnsi="宋体"/>
                <w:szCs w:val="32"/>
              </w:rPr>
              <w:t>柳江区全区电费</w:t>
            </w:r>
            <w:r>
              <w:rPr>
                <w:rFonts w:hint="eastAsia" w:ascii="仿宋_GB2312" w:hAnsi="仿宋_GB2312" w:cs="仿宋_GB2312"/>
                <w:szCs w:val="32"/>
                <w:vertAlign w:val="baseline"/>
                <w:lang w:val="en-US" w:eastAsia="zh-CN"/>
              </w:rPr>
              <w:t>工作，实现</w:t>
            </w:r>
            <w:r>
              <w:rPr>
                <w:rFonts w:hint="eastAsia" w:ascii="仿宋_GB2312" w:hAnsi="宋体"/>
                <w:szCs w:val="32"/>
              </w:rPr>
              <w:t>保证了路灯亮灯率，安全生产零事故</w:t>
            </w:r>
            <w:r>
              <w:rPr>
                <w:rFonts w:hint="eastAsia" w:ascii="仿宋_GB2312" w:hAnsi="仿宋_GB2312" w:cs="仿宋_GB2312"/>
                <w:szCs w:val="32"/>
                <w:vertAlign w:val="baseline"/>
                <w:lang w:val="en-US" w:eastAsia="zh-CN"/>
              </w:rPr>
              <w:t>的目标。</w:t>
            </w:r>
            <w:r>
              <w:rPr>
                <w:rFonts w:hint="eastAsia" w:ascii="仿宋_GB2312" w:hAnsi="宋体"/>
                <w:szCs w:val="32"/>
              </w:rPr>
              <w:t>设1条数量指标：数量指标全区路灯≥</w:t>
            </w:r>
            <w:r>
              <w:rPr>
                <w:rFonts w:ascii="仿宋_GB2312" w:hAnsi="宋体"/>
                <w:szCs w:val="32"/>
              </w:rPr>
              <w:t>6000</w:t>
            </w:r>
            <w:r>
              <w:rPr>
                <w:rFonts w:hint="eastAsia" w:ascii="仿宋_GB2312" w:hAnsi="宋体"/>
                <w:szCs w:val="32"/>
              </w:rPr>
              <w:t>盏；设1条质量指标：质量指标路灯质量定性合格；设1条时效指标：时效指标按期完成路灯维护工作；设1条成本指标：成本指标预算控制率≤100%；设1条社会效益指标：社会效益指标保障城区道路夜间照明正常运行；设1条满意度指标：满意度指标市民满意率≥</w:t>
            </w:r>
            <w:r>
              <w:rPr>
                <w:rFonts w:ascii="仿宋_GB2312" w:hAnsi="宋体"/>
                <w:szCs w:val="32"/>
              </w:rPr>
              <w:t>90%。</w:t>
            </w:r>
          </w:p>
          <w:p w14:paraId="48C63259">
            <w:pPr>
              <w:tabs>
                <w:tab w:val="center" w:pos="4475"/>
              </w:tabs>
              <w:spacing w:line="560" w:lineRule="exact"/>
              <w:rPr>
                <w:rFonts w:hint="default" w:ascii="仿宋_GB2312" w:hAnsi="仿宋_GB2312" w:eastAsia="仿宋_GB2312" w:cs="仿宋_GB2312"/>
                <w:szCs w:val="32"/>
                <w:vertAlign w:val="baseline"/>
              </w:rPr>
            </w:pPr>
          </w:p>
        </w:tc>
      </w:tr>
    </w:tbl>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361418C3">
      <w:pPr>
        <w:adjustRightInd w:val="0"/>
        <w:snapToGrid w:val="0"/>
        <w:spacing w:line="560" w:lineRule="exact"/>
        <w:ind w:right="-333" w:rightChars="-104"/>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lang w:val="en-US" w:eastAsia="zh-CN"/>
        </w:rPr>
        <w:t>柳州市柳江区市政设施维护所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4844ABF0">
      <w:pPr>
        <w:spacing w:before="312" w:beforeLines="100" w:after="312" w:afterLines="100" w:line="360" w:lineRule="exact"/>
        <w:ind w:firstLine="640" w:firstLineChars="200"/>
      </w:pPr>
      <w:r>
        <w:rPr>
          <w:rFonts w:hint="eastAsia" w:ascii="仿宋_GB2312" w:eastAsia="仿宋_GB2312"/>
          <w:bCs/>
          <w:sz w:val="32"/>
          <w:szCs w:val="32"/>
          <w:highlight w:val="none"/>
          <w:lang w:eastAsia="zh-CN"/>
        </w:rPr>
        <w:t>（详见附表）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A562B"/>
    <w:multiLevelType w:val="singleLevel"/>
    <w:tmpl w:val="CB7A56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01866"/>
    <w:rsid w:val="15DD7808"/>
    <w:rsid w:val="18B01E98"/>
    <w:rsid w:val="1E2B02DF"/>
    <w:rsid w:val="21690C6D"/>
    <w:rsid w:val="2F0E7201"/>
    <w:rsid w:val="36190BE4"/>
    <w:rsid w:val="392A132F"/>
    <w:rsid w:val="4E267E92"/>
    <w:rsid w:val="4E3B534E"/>
    <w:rsid w:val="61790893"/>
    <w:rsid w:val="6A3E1DEA"/>
    <w:rsid w:val="6DAE2E3A"/>
    <w:rsid w:val="7CBA3C5F"/>
    <w:rsid w:val="7EE60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5093</Words>
  <Characters>5367</Characters>
  <Lines>0</Lines>
  <Paragraphs>0</Paragraphs>
  <TotalTime>6</TotalTime>
  <ScaleCrop>false</ScaleCrop>
  <LinksUpToDate>false</LinksUpToDate>
  <CharactersWithSpaces>5407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细水长流</cp:lastModifiedBy>
  <cp:lastPrinted>2025-02-11T08:24:00Z</cp:lastPrinted>
  <dcterms:modified xsi:type="dcterms:W3CDTF">2025-02-14T03:51:15Z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eyJoZGlkIjoiODlmYWRmMDhkNjA4ODhjYzg4YmE2ZTNlZTk3NjYyYTgiLCJ1c2VySWQiOiI3MDMwNjkxNDIifQ==</vt:lpwstr>
  </property>
  <property fmtid="{D5CDD505-2E9C-101B-9397-08002B2CF9AE}" pid="4" name="ICV">
    <vt:lpwstr>E723BE59CE2C4E01A4D68AF4D8692EE9_13</vt:lpwstr>
  </property>
</Properties>
</file>