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Cs w:val="32"/>
        </w:rPr>
      </w:pPr>
      <w:r>
        <w:rPr>
          <w:rFonts w:hint="eastAsia" w:ascii="黑体" w:hAnsi="宋体" w:eastAsia="黑体"/>
          <w:bCs/>
          <w:sz w:val="44"/>
          <w:szCs w:val="44"/>
          <w:highlight w:val="none"/>
          <w:lang w:eastAsia="zh-CN"/>
        </w:rPr>
        <w:t>柳江区文化馆</w:t>
      </w:r>
      <w:r>
        <w:rPr>
          <w:rFonts w:hint="eastAsia" w:ascii="黑体" w:hAnsi="宋体" w:eastAsia="黑体"/>
          <w:bCs/>
          <w:sz w:val="44"/>
          <w:szCs w:val="44"/>
          <w:highlight w:val="none"/>
          <w:lang w:val="en-US" w:eastAsia="zh-CN"/>
        </w:rPr>
        <w:t>2026年</w:t>
      </w: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预算公开说明</w:t>
      </w: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w:t>
      </w:r>
      <w:r>
        <w:rPr>
          <w:rFonts w:hint="eastAsia" w:ascii="仿宋_GB2312" w:hAnsi="仿宋" w:cs="宋体"/>
          <w:color w:val="000000"/>
          <w:kern w:val="0"/>
          <w:sz w:val="32"/>
          <w:szCs w:val="32"/>
          <w:lang w:val="en-US" w:eastAsia="zh-CN"/>
        </w:rPr>
        <w:t>单位</w:t>
      </w:r>
      <w:r>
        <w:rPr>
          <w:rFonts w:hint="eastAsia" w:ascii="仿宋_GB2312" w:hAnsi="仿宋" w:eastAsia="仿宋_GB2312" w:cs="宋体"/>
          <w:color w:val="000000"/>
          <w:kern w:val="0"/>
          <w:sz w:val="32"/>
          <w:szCs w:val="32"/>
          <w:lang w:val="zh-CN"/>
        </w:rPr>
        <w:t>主要职能</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柳江区文化馆2026年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单位</w:t>
      </w:r>
      <w:r>
        <w:rPr>
          <w:rFonts w:hint="eastAsia" w:ascii="仿宋_GB2312" w:hAnsi="仿宋" w:eastAsia="仿宋_GB2312" w:cs="宋体"/>
          <w:color w:val="auto"/>
          <w:sz w:val="32"/>
          <w:szCs w:val="32"/>
        </w:rPr>
        <w:t>预算收支增减变化情况说明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二、单位收入总体情况说明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三、单位支出总体情况说明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四、财政拨款收支总体情况说明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（一）机关运行经费安排情况说明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eastAsia="黑体"/>
          <w:szCs w:val="32"/>
        </w:rPr>
      </w:pPr>
      <w:r>
        <w:rPr>
          <w:rFonts w:hint="eastAsia" w:ascii="黑体" w:hAnsi="宋体" w:eastAsia="黑体"/>
          <w:bCs/>
          <w:szCs w:val="32"/>
        </w:rPr>
        <w:t>第四部分：</w:t>
      </w:r>
      <w:r>
        <w:rPr>
          <w:rFonts w:hint="eastAsia" w:ascii="黑体" w:hAnsi="宋体" w:eastAsia="黑体"/>
          <w:szCs w:val="32"/>
          <w:lang w:eastAsia="zh-CN"/>
        </w:rPr>
        <w:t>柳江区文化馆2026年</w:t>
      </w:r>
      <w:r>
        <w:rPr>
          <w:rFonts w:hint="eastAsia" w:ascii="黑体" w:eastAsia="黑体"/>
          <w:szCs w:val="32"/>
          <w:lang w:eastAsia="zh-CN"/>
        </w:rPr>
        <w:t>单位</w:t>
      </w:r>
      <w:r>
        <w:rPr>
          <w:rFonts w:hint="eastAsia" w:ascii="黑体" w:eastAsia="黑体"/>
          <w:szCs w:val="32"/>
        </w:rPr>
        <w:t>预算报表</w:t>
      </w:r>
    </w:p>
    <w:p>
      <w:pPr>
        <w:pStyle w:val="2"/>
        <w:rPr>
          <w:rFonts w:hint="eastAsia"/>
        </w:rPr>
      </w:pPr>
    </w:p>
    <w:p>
      <w:pPr>
        <w:keepNext w:val="0"/>
        <w:keepLines w:val="0"/>
        <w:pageBreakBefore w:val="0"/>
        <w:kinsoku/>
        <w:wordWrap/>
        <w:overflowPunct/>
        <w:topLinePunct w:val="0"/>
        <w:autoSpaceDE/>
        <w:autoSpaceDN/>
        <w:bidi w:val="0"/>
        <w:adjustRightInd w:val="0"/>
        <w:snapToGrid w:val="0"/>
        <w:spacing w:line="240" w:lineRule="auto"/>
        <w:ind w:right="0" w:rightChars="0"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keepNext w:val="0"/>
        <w:keepLines w:val="0"/>
        <w:pageBreakBefore w:val="0"/>
        <w:kinsoku/>
        <w:wordWrap/>
        <w:overflowPunct/>
        <w:topLinePunct w:val="0"/>
        <w:autoSpaceDE/>
        <w:autoSpaceDN/>
        <w:bidi w:val="0"/>
        <w:adjustRightInd w:val="0"/>
        <w:snapToGrid w:val="0"/>
        <w:spacing w:line="240" w:lineRule="auto"/>
        <w:ind w:right="0" w:rightChars="0" w:firstLine="640" w:firstLineChars="200"/>
        <w:textAlignment w:val="auto"/>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pPr>
        <w:pStyle w:val="9"/>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 xml:space="preserve">负责全区文化宣传的业务指导，配合县委、县政府的中心工作，积极开展文化宣传活动。 </w:t>
      </w:r>
    </w:p>
    <w:p>
      <w:pPr>
        <w:pStyle w:val="9"/>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指导基层文化工作，开展各种群众文化活动，培训基层文化骨干。</w:t>
      </w:r>
    </w:p>
    <w:p>
      <w:pPr>
        <w:pStyle w:val="9"/>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 xml:space="preserve">组织开展群众性文化演出、比赛活动;积极开展艺术创作并推出艺术精品，参加各级文化艺术比赛。 </w:t>
      </w:r>
    </w:p>
    <w:p>
      <w:pPr>
        <w:pStyle w:val="9"/>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 xml:space="preserve">举办各门类文化艺术培训班，培养文化艺术后备人才。 </w:t>
      </w:r>
    </w:p>
    <w:p>
      <w:pPr>
        <w:pStyle w:val="9"/>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 xml:space="preserve">负责全区非遗普查、保护和传承工作。 </w:t>
      </w:r>
    </w:p>
    <w:p>
      <w:pPr>
        <w:pStyle w:val="9"/>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 xml:space="preserve">承办或协办各级、各类文艺演出、比赛活动。 </w:t>
      </w:r>
    </w:p>
    <w:p>
      <w:pPr>
        <w:pStyle w:val="9"/>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组建馆办艺术团。</w:t>
      </w:r>
    </w:p>
    <w:p>
      <w:pPr>
        <w:pStyle w:val="9"/>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黑体" w:eastAsia="黑体"/>
          <w:sz w:val="32"/>
          <w:szCs w:val="32"/>
          <w:highlight w:val="none"/>
        </w:rPr>
      </w:pPr>
      <w:r>
        <w:rPr>
          <w:rFonts w:hint="eastAsia" w:ascii="仿宋_GB2312" w:hAnsi="仿宋_GB2312" w:eastAsia="仿宋_GB2312" w:cs="仿宋_GB2312"/>
          <w:color w:val="auto"/>
          <w:kern w:val="2"/>
          <w:sz w:val="32"/>
          <w:szCs w:val="32"/>
          <w:lang w:val="en-US" w:eastAsia="zh-CN" w:bidi="ar-SA"/>
        </w:rPr>
        <w:t>8</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完成上级交办的其它工作。</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黑体" w:hAnsi="宋体" w:eastAsia="黑体"/>
          <w:szCs w:val="32"/>
        </w:rPr>
      </w:pPr>
      <w:r>
        <w:rPr>
          <w:rFonts w:hint="eastAsia" w:ascii="黑体" w:hAnsi="宋体" w:eastAsia="黑体"/>
          <w:szCs w:val="32"/>
        </w:rPr>
        <w:t>二、机构设置情况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cs="仿宋_GB2312"/>
          <w:sz w:val="32"/>
          <w:szCs w:val="32"/>
          <w:lang w:val="en-US" w:eastAsia="zh-CN"/>
        </w:rPr>
        <w:t>内设机构情况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本馆共设5个内设机构，具体名称及职能如下：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办公室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 xml:space="preserve"> 负责馆内日常行政事务统筹，包括公文处理、会务组织、印章管理、档案归集、人事劳资</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 xml:space="preserve"> 牵头制定馆内各项规章制度、发展规划及年度工作计划，监督落实各项工作任务；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 xml:space="preserve"> 承担对外联络、政务公开、后勤保障、安全保卫及应急处置等综合性工作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艺术培训部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制定年度公益性艺术培训计划，开设舞蹈、美术、书法、声乐、器乐等面向不同年龄段群众的培训课程；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 xml:space="preserve"> 组织培训学员开展汇报演出、作品展览等成果展示活动，搭建学员艺术实践平台；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3</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针对特殊群体（未成年人、老年人、残疾人等）开展定制化公益艺术培训服务。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sz w:val="32"/>
          <w:szCs w:val="32"/>
          <w:lang w:val="en-US" w:eastAsia="zh-CN"/>
        </w:rPr>
        <w:t>3.</w:t>
      </w:r>
      <w:r>
        <w:rPr>
          <w:rFonts w:hint="eastAsia" w:ascii="仿宋_GB2312" w:hAnsi="仿宋_GB2312" w:eastAsia="仿宋_GB2312" w:cs="仿宋_GB2312"/>
          <w:color w:val="000000" w:themeColor="text1"/>
          <w:sz w:val="32"/>
          <w:szCs w:val="32"/>
          <w14:textFill>
            <w14:solidFill>
              <w14:schemeClr w14:val="tx1"/>
            </w14:solidFill>
          </w14:textFill>
        </w:rPr>
        <w:t>艺术</w:t>
      </w:r>
      <w:r>
        <w:rPr>
          <w:rFonts w:hint="eastAsia" w:ascii="仿宋_GB2312" w:hAnsi="仿宋_GB2312" w:eastAsia="仿宋_GB2312" w:cs="仿宋_GB2312"/>
          <w:color w:val="000000" w:themeColor="text1"/>
          <w:sz w:val="32"/>
          <w:szCs w:val="32"/>
          <w:lang w:eastAsia="zh-CN"/>
          <w14:textFill>
            <w14:solidFill>
              <w14:schemeClr w14:val="tx1"/>
            </w14:solidFill>
          </w14:textFill>
        </w:rPr>
        <w:t>活动</w:t>
      </w:r>
      <w:r>
        <w:rPr>
          <w:rFonts w:hint="eastAsia" w:ascii="仿宋_GB2312" w:hAnsi="仿宋_GB2312" w:eastAsia="仿宋_GB2312" w:cs="仿宋_GB2312"/>
          <w:color w:val="000000" w:themeColor="text1"/>
          <w:sz w:val="32"/>
          <w:szCs w:val="32"/>
          <w14:textFill>
            <w14:solidFill>
              <w14:schemeClr w14:val="tx1"/>
            </w14:solidFill>
          </w14:textFill>
        </w:rPr>
        <w:t>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负责大、中型文艺活动</w:t>
      </w:r>
      <w:r>
        <w:rPr>
          <w:rFonts w:hint="eastAsia" w:ascii="仿宋_GB2312" w:hAnsi="仿宋_GB2312" w:eastAsia="仿宋_GB2312" w:cs="仿宋_GB2312"/>
          <w:color w:val="000000" w:themeColor="text1"/>
          <w:sz w:val="32"/>
          <w:szCs w:val="32"/>
          <w14:textFill>
            <w14:solidFill>
              <w14:schemeClr w14:val="tx1"/>
            </w14:solidFill>
          </w14:textFill>
        </w:rPr>
        <w:t>方案的策划、组织与实施；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组织我区创作作品汇演、展览、比赛，并创作、选拔、推荐重点作品参加各类展演、赛事活动；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承担艺术展演交流活动和馆办团队下基层（群众性宣传推广演出）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仿宋_GB2312" w:cs="宋体"/>
          <w:color w:val="000000" w:themeColor="text1"/>
          <w:sz w:val="24"/>
          <w:szCs w:val="24"/>
          <w:lang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负责各类活动资料的收集整理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非遗部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 xml:space="preserve"> 承担本地区非物质文化遗产的普查、挖掘、整理、建档工作，建立非遗资源数据库；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负责非遗代表性项目、代表性传承人的申报、评审及日常管理服务工作；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组织开展非遗展示展演、传承体验等活动，推动非遗进校园、进社区、进乡村；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探索非遗活态传承与创新发展路径，助力非遗与文旅融合、文创开发相结合。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数字</w:t>
      </w:r>
      <w:r>
        <w:rPr>
          <w:rFonts w:hint="eastAsia" w:ascii="仿宋_GB2312" w:hAnsi="仿宋_GB2312" w:eastAsia="仿宋_GB2312" w:cs="仿宋_GB2312"/>
          <w:sz w:val="32"/>
          <w:szCs w:val="32"/>
          <w:lang w:val="en-US" w:eastAsia="zh-CN"/>
        </w:rPr>
        <w:t>化技术</w:t>
      </w:r>
      <w:r>
        <w:rPr>
          <w:rFonts w:hint="eastAsia" w:ascii="仿宋_GB2312" w:hAnsi="仿宋_GB2312" w:eastAsia="仿宋_GB2312" w:cs="仿宋_GB2312"/>
          <w:sz w:val="32"/>
          <w:szCs w:val="32"/>
        </w:rPr>
        <w:t>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负责馆内数字文化资源的建设、采集、加工与推广，包括数字培训课程、文艺资源库等内容制作；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运营管理文化馆微信公众号、视频号等新媒体平台，发布文化活动信息、推送优质文化资源；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 xml:space="preserve"> 组织开展线上公共文化服务活动，搭建线上线下融合的文化服务渠道；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负责馆内信息化设备、网络系统的日常维护与技术保障。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单位所属单位</w:t>
      </w:r>
      <w:r>
        <w:rPr>
          <w:rFonts w:hint="eastAsia" w:ascii="仿宋_GB2312" w:hAnsi="仿宋_GB2312" w:cs="仿宋_GB2312"/>
          <w:sz w:val="32"/>
          <w:szCs w:val="32"/>
          <w:lang w:val="en-US" w:eastAsia="zh-CN"/>
        </w:rPr>
        <w:t>及人员构成情况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1.单位性质：柳州市柳江区文化馆是柳州市柳江区文化体育广电和旅游局</w:t>
      </w:r>
      <w:r>
        <w:rPr>
          <w:rFonts w:hint="eastAsia" w:ascii="仿宋_GB2312" w:hAnsi="仿宋_GB2312" w:eastAsia="仿宋_GB2312" w:cs="仿宋_GB2312"/>
          <w:sz w:val="32"/>
          <w:szCs w:val="32"/>
          <w:lang w:val="en-US" w:eastAsia="zh-CN"/>
        </w:rPr>
        <w:t>下属</w:t>
      </w:r>
      <w:r>
        <w:rPr>
          <w:rFonts w:hint="eastAsia" w:ascii="仿宋_GB2312" w:hAnsi="仿宋_GB2312" w:eastAsia="仿宋_GB2312" w:cs="仿宋_GB2312"/>
          <w:sz w:val="32"/>
          <w:szCs w:val="32"/>
        </w:rPr>
        <w:t>的副科级公益一类财政全额拨款事业单位。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2.单位职能：文艺创作、培训实践、活动开展，承担大型</w:t>
      </w:r>
      <w:r>
        <w:rPr>
          <w:rFonts w:hint="eastAsia" w:ascii="仿宋_GB2312" w:hAnsi="仿宋_GB2312" w:eastAsia="仿宋_GB2312" w:cs="仿宋_GB2312"/>
          <w:sz w:val="32"/>
          <w:szCs w:val="32"/>
          <w:lang w:eastAsia="zh-CN"/>
        </w:rPr>
        <w:t>、中性</w:t>
      </w:r>
      <w:r>
        <w:rPr>
          <w:rFonts w:hint="eastAsia" w:ascii="仿宋_GB2312" w:hAnsi="仿宋_GB2312" w:eastAsia="仿宋_GB2312" w:cs="仿宋_GB2312"/>
          <w:sz w:val="32"/>
          <w:szCs w:val="32"/>
        </w:rPr>
        <w:t>文艺演出排练、非遗传承实践、基层文艺骨干</w:t>
      </w:r>
      <w:r>
        <w:rPr>
          <w:rFonts w:hint="eastAsia" w:ascii="仿宋_GB2312" w:hAnsi="仿宋_GB2312" w:eastAsia="仿宋_GB2312" w:cs="仿宋_GB2312"/>
          <w:sz w:val="32"/>
          <w:szCs w:val="32"/>
          <w:lang w:val="en-US" w:eastAsia="zh-CN"/>
        </w:rPr>
        <w:t>培训</w:t>
      </w:r>
      <w:r>
        <w:rPr>
          <w:rFonts w:hint="eastAsia" w:ascii="仿宋_GB2312" w:hAnsi="仿宋_GB2312" w:eastAsia="仿宋_GB2312" w:cs="仿宋_GB2312"/>
          <w:sz w:val="32"/>
          <w:szCs w:val="32"/>
        </w:rPr>
        <w:t>等工作；开展公益性文化活动，承接部分社会化艺术实践项目，助力本地区群众文化事业多元化发展。</w:t>
      </w:r>
    </w:p>
    <w:p>
      <w:pPr>
        <w:keepNext w:val="0"/>
        <w:keepLines w:val="0"/>
        <w:pageBreakBefore w:val="0"/>
        <w:widowControl w:val="0"/>
        <w:tabs>
          <w:tab w:val="center" w:pos="4475"/>
        </w:tabs>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lang w:val="en-US" w:eastAsia="zh-CN"/>
        </w:rPr>
        <w:t>3.</w:t>
      </w:r>
      <w:r>
        <w:rPr>
          <w:rFonts w:hint="eastAsia" w:ascii="仿宋" w:hAnsi="仿宋" w:eastAsia="仿宋" w:cs="仿宋"/>
          <w:szCs w:val="32"/>
        </w:rPr>
        <w:t>人员编制和领导职数</w:t>
      </w:r>
    </w:p>
    <w:p>
      <w:pPr>
        <w:keepNext w:val="0"/>
        <w:keepLines w:val="0"/>
        <w:pageBreakBefore w:val="0"/>
        <w:widowControl w:val="0"/>
        <w:tabs>
          <w:tab w:val="center" w:pos="4475"/>
        </w:tabs>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lang w:eastAsia="zh-CN"/>
        </w:rPr>
        <w:t>柳江区文化馆</w:t>
      </w:r>
      <w:r>
        <w:rPr>
          <w:rFonts w:hint="eastAsia" w:ascii="仿宋" w:hAnsi="仿宋" w:eastAsia="仿宋" w:cs="仿宋"/>
          <w:szCs w:val="32"/>
        </w:rPr>
        <w:t>编制</w:t>
      </w:r>
      <w:r>
        <w:rPr>
          <w:rFonts w:hint="eastAsia" w:ascii="仿宋" w:hAnsi="仿宋" w:eastAsia="仿宋" w:cs="仿宋"/>
          <w:szCs w:val="32"/>
          <w:lang w:val="en-US" w:eastAsia="zh-CN"/>
        </w:rPr>
        <w:t>19</w:t>
      </w:r>
      <w:r>
        <w:rPr>
          <w:rFonts w:hint="eastAsia" w:ascii="仿宋" w:hAnsi="仿宋" w:eastAsia="仿宋" w:cs="仿宋"/>
          <w:szCs w:val="32"/>
        </w:rPr>
        <w:t>名。其中：馆长1名，副馆长</w:t>
      </w:r>
      <w:r>
        <w:rPr>
          <w:rFonts w:hint="eastAsia" w:ascii="仿宋" w:hAnsi="仿宋" w:eastAsia="仿宋" w:cs="仿宋"/>
          <w:szCs w:val="32"/>
          <w:lang w:val="en-US" w:eastAsia="zh-CN"/>
        </w:rPr>
        <w:t>3</w:t>
      </w:r>
      <w:r>
        <w:rPr>
          <w:rFonts w:hint="eastAsia" w:ascii="仿宋" w:hAnsi="仿宋" w:eastAsia="仿宋" w:cs="仿宋"/>
          <w:szCs w:val="32"/>
        </w:rPr>
        <w:t>名。</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第二部分：</w:t>
      </w:r>
      <w:r>
        <w:rPr>
          <w:rFonts w:hint="eastAsia" w:ascii="黑体" w:eastAsia="黑体"/>
          <w:szCs w:val="32"/>
          <w:lang w:val="en-US" w:eastAsia="zh-CN"/>
        </w:rPr>
        <w:t>柳州市</w:t>
      </w:r>
      <w:r>
        <w:rPr>
          <w:rFonts w:hint="eastAsia" w:ascii="黑体" w:hAnsi="宋体" w:eastAsia="黑体"/>
          <w:szCs w:val="32"/>
          <w:lang w:eastAsia="zh-CN"/>
        </w:rPr>
        <w:t>柳江区文化馆2026年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黑体" w:eastAsia="黑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356.79</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356.79</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总收入较上年增长</w:t>
      </w:r>
      <w:r>
        <w:rPr>
          <w:rFonts w:hint="eastAsia" w:ascii="仿宋_GB2312"/>
          <w:sz w:val="32"/>
          <w:szCs w:val="32"/>
          <w:lang w:val="en-US" w:eastAsia="zh-CN"/>
        </w:rPr>
        <w:t>0.54%，主要原因是</w:t>
      </w:r>
      <w:r>
        <w:rPr>
          <w:rFonts w:hint="eastAsia" w:ascii="仿宋_GB2312"/>
          <w:szCs w:val="32"/>
          <w:lang w:val="en-US" w:eastAsia="zh-CN"/>
        </w:rPr>
        <w:t>2025年基数上调，五险一金较上年有所增加</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0.54%，主要原因是</w:t>
      </w:r>
      <w:r>
        <w:rPr>
          <w:rFonts w:hint="eastAsia" w:ascii="仿宋_GB2312"/>
          <w:szCs w:val="32"/>
          <w:lang w:val="en-US" w:eastAsia="zh-CN"/>
        </w:rPr>
        <w:t>2025年基数上调，五险一金较上年有所增加</w:t>
      </w:r>
      <w:r>
        <w:rPr>
          <w:rFonts w:hint="eastAsia" w:ascii="仿宋_GB2312"/>
          <w:sz w:val="32"/>
          <w:szCs w:val="32"/>
          <w:lang w:val="en-US"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356.79</w:t>
      </w:r>
      <w:r>
        <w:rPr>
          <w:rFonts w:hint="eastAsia" w:ascii="仿宋_GB2312" w:eastAsia="仿宋_GB2312"/>
          <w:sz w:val="32"/>
          <w:szCs w:val="32"/>
          <w:highlight w:val="none"/>
        </w:rPr>
        <w:t>万元</w:t>
      </w:r>
      <w:r>
        <w:rPr>
          <w:rFonts w:hint="eastAsia" w:ascii="仿宋_GB2312"/>
          <w:sz w:val="32"/>
          <w:szCs w:val="32"/>
          <w:highlight w:val="none"/>
          <w:lang w:eastAsia="zh-CN"/>
        </w:rPr>
        <w:t>，较上年增长</w:t>
      </w:r>
      <w:r>
        <w:rPr>
          <w:rFonts w:hint="eastAsia" w:ascii="仿宋_GB2312"/>
          <w:sz w:val="32"/>
          <w:szCs w:val="32"/>
          <w:lang w:val="en-US" w:eastAsia="zh-CN"/>
        </w:rPr>
        <w:t>0.54%，主要原因是</w:t>
      </w:r>
      <w:r>
        <w:rPr>
          <w:rFonts w:hint="eastAsia" w:ascii="仿宋_GB2312"/>
          <w:szCs w:val="32"/>
          <w:lang w:val="en-US" w:eastAsia="zh-CN"/>
        </w:rPr>
        <w:t>2025年基数上调，五险一金较上年有所增加</w:t>
      </w:r>
      <w:r>
        <w:rPr>
          <w:rFonts w:hint="eastAsia" w:ascii="仿宋_GB2312"/>
          <w:sz w:val="32"/>
          <w:szCs w:val="32"/>
          <w:lang w:val="en-US"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356.79</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0.54%，主要原因是</w:t>
      </w:r>
      <w:r>
        <w:rPr>
          <w:rFonts w:hint="eastAsia" w:ascii="仿宋_GB2312"/>
          <w:szCs w:val="32"/>
          <w:lang w:val="en-US" w:eastAsia="zh-CN"/>
        </w:rPr>
        <w:t>2025年基数上调，五险一金较上年有所增加</w:t>
      </w:r>
      <w:r>
        <w:rPr>
          <w:rFonts w:hint="eastAsia" w:ascii="仿宋_GB2312"/>
          <w:sz w:val="32"/>
          <w:szCs w:val="32"/>
          <w:lang w:val="en-US" w:eastAsia="zh-CN"/>
        </w:rPr>
        <w:t>。主要包括：1.文化旅游体育与传媒支出214.02万元，占总支出的59.98%；2.社会保障和就业支出87.35万元，占总支出的24.48%；3.卫生健康支出21.37万元，占总支出的5.99%；4.城乡社区支出1.80万元，占总支出的0.50%；5.住房保障支出32.25万元，占总支出的9.04%</w:t>
      </w:r>
      <w:r>
        <w:rPr>
          <w:rFonts w:hint="eastAsia" w:ascii="仿宋_GB2312" w:hAnsi="宋体"/>
          <w:szCs w:val="32"/>
          <w:highlight w:val="none"/>
          <w:lang w:val="en-US"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四、财政拨款收支总体情况说明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lang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val="en-US" w:eastAsia="zh-CN"/>
        </w:rPr>
        <w:t>356.79</w:t>
      </w:r>
      <w:r>
        <w:rPr>
          <w:rFonts w:hint="eastAsia" w:ascii="仿宋_GB2312" w:eastAsia="仿宋_GB2312"/>
          <w:sz w:val="32"/>
          <w:szCs w:val="32"/>
          <w:lang w:val="en-US" w:eastAsia="zh-CN"/>
        </w:rPr>
        <w:t>万元，总支出</w:t>
      </w:r>
      <w:r>
        <w:rPr>
          <w:rFonts w:hint="eastAsia" w:ascii="仿宋_GB2312"/>
          <w:sz w:val="32"/>
          <w:szCs w:val="32"/>
          <w:lang w:val="en-US" w:eastAsia="zh-CN"/>
        </w:rPr>
        <w:t>356.79</w:t>
      </w:r>
      <w:r>
        <w:rPr>
          <w:rFonts w:hint="eastAsia" w:ascii="仿宋_GB2312" w:eastAsia="仿宋_GB2312"/>
          <w:sz w:val="32"/>
          <w:szCs w:val="32"/>
          <w:lang w:val="en-US" w:eastAsia="zh-CN"/>
        </w:rPr>
        <w:t>万元</w:t>
      </w:r>
      <w:r>
        <w:rPr>
          <w:rFonts w:hint="eastAsia" w:ascii="仿宋_GB2312" w:eastAsia="仿宋_GB2312"/>
          <w:sz w:val="32"/>
          <w:szCs w:val="32"/>
          <w:highlight w:val="none"/>
          <w:lang w:eastAsia="zh-CN"/>
        </w:rPr>
        <w:t>（不含财政拨款上年未列支结转收支数）</w:t>
      </w:r>
      <w:r>
        <w:rPr>
          <w:rFonts w:hint="eastAsia" w:ascii="仿宋_GB2312"/>
          <w:sz w:val="32"/>
          <w:szCs w:val="32"/>
          <w:highlight w:val="none"/>
          <w:lang w:eastAsia="zh-CN"/>
        </w:rPr>
        <w:t>。</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eastAsia="zh-CN"/>
        </w:rPr>
        <w:t>较上年增长</w:t>
      </w:r>
      <w:r>
        <w:rPr>
          <w:rFonts w:hint="eastAsia" w:ascii="仿宋_GB2312"/>
          <w:sz w:val="32"/>
          <w:szCs w:val="32"/>
          <w:lang w:val="en-US" w:eastAsia="zh-CN"/>
        </w:rPr>
        <w:t>0.54%，主要原因是</w:t>
      </w:r>
      <w:r>
        <w:rPr>
          <w:rFonts w:hint="eastAsia" w:ascii="仿宋_GB2312"/>
          <w:szCs w:val="32"/>
          <w:lang w:val="en-US" w:eastAsia="zh-CN"/>
        </w:rPr>
        <w:t>2025年基数上调，五险一金较上年有所增加</w:t>
      </w:r>
      <w:r>
        <w:rPr>
          <w:rFonts w:hint="eastAsia" w:ascii="仿宋_GB2312"/>
          <w:sz w:val="32"/>
          <w:szCs w:val="32"/>
          <w:lang w:val="en-US" w:eastAsia="zh-CN"/>
        </w:rPr>
        <w:t>。</w:t>
      </w:r>
      <w:r>
        <w:rPr>
          <w:rFonts w:hint="eastAsia" w:ascii="仿宋_GB2312" w:eastAsia="仿宋_GB2312"/>
          <w:sz w:val="32"/>
          <w:szCs w:val="32"/>
        </w:rPr>
        <w:t>财政拨款</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0.54%，主要原因是</w:t>
      </w:r>
      <w:r>
        <w:rPr>
          <w:rFonts w:hint="eastAsia" w:ascii="仿宋_GB2312"/>
          <w:szCs w:val="32"/>
          <w:lang w:val="en-US" w:eastAsia="zh-CN"/>
        </w:rPr>
        <w:t>2025年基数上调，五险一金较上年有所增加</w:t>
      </w:r>
      <w:r>
        <w:rPr>
          <w:rFonts w:hint="eastAsia" w:ascii="仿宋_GB2312"/>
          <w:sz w:val="32"/>
          <w:szCs w:val="32"/>
          <w:lang w:val="en-US"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五、一般公共预算支出情况说明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eastAsia="仿宋_GB2312"/>
          <w:sz w:val="32"/>
          <w:szCs w:val="32"/>
        </w:rPr>
        <w:t>一般公共预算支出</w:t>
      </w:r>
      <w:r>
        <w:rPr>
          <w:rFonts w:hint="eastAsia" w:ascii="仿宋_GB2312" w:eastAsia="仿宋_GB2312"/>
          <w:sz w:val="32"/>
          <w:szCs w:val="32"/>
          <w:lang w:eastAsia="zh-CN"/>
        </w:rPr>
        <w:t>共</w:t>
      </w:r>
      <w:r>
        <w:rPr>
          <w:rFonts w:hint="eastAsia" w:ascii="仿宋_GB2312"/>
          <w:sz w:val="32"/>
          <w:szCs w:val="32"/>
          <w:lang w:val="en-US" w:eastAsia="zh-CN"/>
        </w:rPr>
        <w:t>354.99</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0.54%，主要原因是</w:t>
      </w:r>
      <w:r>
        <w:rPr>
          <w:rFonts w:hint="eastAsia" w:ascii="仿宋_GB2312"/>
          <w:szCs w:val="32"/>
          <w:lang w:val="en-US" w:eastAsia="zh-CN"/>
        </w:rPr>
        <w:t>2025年基数上调，五险一金较上年有所增加</w:t>
      </w:r>
      <w:r>
        <w:rPr>
          <w:rFonts w:hint="eastAsia" w:ascii="仿宋_GB2312"/>
          <w:szCs w:val="32"/>
          <w:lang w:eastAsia="zh-CN"/>
        </w:rPr>
        <w:t>。</w:t>
      </w:r>
      <w:r>
        <w:rPr>
          <w:rFonts w:hint="eastAsia" w:ascii="仿宋_GB2312"/>
          <w:sz w:val="32"/>
          <w:szCs w:val="32"/>
          <w:lang w:eastAsia="zh-CN"/>
        </w:rPr>
        <w:t>具体情况为：</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（1）</w:t>
      </w:r>
      <w:r>
        <w:rPr>
          <w:rFonts w:hint="eastAsia" w:ascii="仿宋_GB2312" w:hAnsi="Times New Roman" w:cs="Times New Roman"/>
          <w:kern w:val="2"/>
          <w:sz w:val="32"/>
          <w:szCs w:val="32"/>
          <w:highlight w:val="none"/>
          <w:lang w:val="en-US" w:eastAsia="zh-CN"/>
        </w:rPr>
        <w:t>群众文化</w:t>
      </w:r>
      <w:r>
        <w:rPr>
          <w:rFonts w:hint="eastAsia" w:ascii="仿宋_GB2312" w:hAnsi="Times New Roman" w:eastAsia="仿宋_GB2312" w:cs="Times New Roman"/>
          <w:kern w:val="2"/>
          <w:sz w:val="32"/>
          <w:szCs w:val="32"/>
          <w:highlight w:val="none"/>
        </w:rPr>
        <w:t>类科目支出预算</w:t>
      </w:r>
      <w:r>
        <w:rPr>
          <w:rFonts w:hint="eastAsia" w:ascii="仿宋_GB2312" w:hAnsi="Times New Roman" w:cs="Times New Roman"/>
          <w:kern w:val="2"/>
          <w:sz w:val="32"/>
          <w:szCs w:val="32"/>
          <w:highlight w:val="none"/>
          <w:lang w:val="en-US" w:eastAsia="zh-CN"/>
        </w:rPr>
        <w:t>212.02</w:t>
      </w:r>
      <w:r>
        <w:rPr>
          <w:rFonts w:hint="eastAsia" w:ascii="仿宋_GB2312" w:hAnsi="Times New Roman" w:eastAsia="仿宋_GB2312" w:cs="Times New Roman"/>
          <w:kern w:val="2"/>
          <w:sz w:val="32"/>
          <w:szCs w:val="32"/>
          <w:highlight w:val="none"/>
        </w:rPr>
        <w:t>万元，占支出总预算</w:t>
      </w:r>
      <w:r>
        <w:rPr>
          <w:rFonts w:hint="eastAsia" w:ascii="仿宋_GB2312" w:hAnsi="Times New Roman" w:cs="Times New Roman"/>
          <w:kern w:val="2"/>
          <w:sz w:val="32"/>
          <w:szCs w:val="32"/>
          <w:highlight w:val="none"/>
          <w:lang w:val="en-US" w:eastAsia="zh-CN"/>
        </w:rPr>
        <w:t>的59.42</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val="en-US" w:eastAsia="zh-CN"/>
        </w:rPr>
        <w:t>减少33.39</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下降13.61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主要原因是2025年有三位在职干部退休，人员经费有所下降</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default" w:ascii="仿宋_GB2312" w:hAnsi="Times New Roman" w:eastAsia="仿宋_GB2312" w:cs="Times New Roman"/>
          <w:kern w:val="2"/>
          <w:sz w:val="32"/>
          <w:szCs w:val="32"/>
          <w:highlight w:val="none"/>
          <w:lang w:val="en-US" w:eastAsia="zh-CN"/>
        </w:rPr>
      </w:pPr>
      <w:r>
        <w:rPr>
          <w:rFonts w:hint="eastAsia" w:ascii="仿宋_GB2312" w:hAnsi="Times New Roman" w:eastAsia="仿宋_GB2312" w:cs="Times New Roman"/>
          <w:kern w:val="2"/>
          <w:sz w:val="32"/>
          <w:szCs w:val="32"/>
          <w:highlight w:val="none"/>
        </w:rPr>
        <w:t>（2）</w:t>
      </w:r>
      <w:r>
        <w:rPr>
          <w:rFonts w:hint="eastAsia" w:ascii="仿宋_GB2312" w:hAnsi="Times New Roman" w:cs="Times New Roman"/>
          <w:kern w:val="2"/>
          <w:sz w:val="32"/>
          <w:szCs w:val="32"/>
          <w:highlight w:val="none"/>
          <w:lang w:val="en-US" w:eastAsia="zh-CN"/>
        </w:rPr>
        <w:t>其他文化和旅游支出类科目支出预算2万元，占支出总预算的0.56%，同比持平；</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3）事业单位离退休</w:t>
      </w:r>
      <w:r>
        <w:rPr>
          <w:rFonts w:hint="eastAsia" w:ascii="仿宋_GB2312" w:hAnsi="Times New Roman" w:eastAsia="仿宋_GB2312" w:cs="Times New Roman"/>
          <w:kern w:val="2"/>
          <w:sz w:val="32"/>
          <w:szCs w:val="32"/>
          <w:highlight w:val="none"/>
        </w:rPr>
        <w:t>类科目支出预算</w:t>
      </w:r>
      <w:r>
        <w:rPr>
          <w:rFonts w:hint="eastAsia" w:ascii="仿宋_GB2312" w:hAnsi="Times New Roman" w:cs="Times New Roman"/>
          <w:kern w:val="2"/>
          <w:sz w:val="32"/>
          <w:szCs w:val="32"/>
          <w:highlight w:val="none"/>
          <w:lang w:val="en-US" w:eastAsia="zh-CN"/>
        </w:rPr>
        <w:t>22.84</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的6.40</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val="en-US" w:eastAsia="zh-CN"/>
        </w:rPr>
        <w:t>增加4.51万元，同比增长24.59%，主要原因是</w:t>
      </w:r>
      <w:r>
        <w:rPr>
          <w:rFonts w:hint="eastAsia" w:ascii="仿宋_GB2312"/>
          <w:sz w:val="32"/>
          <w:szCs w:val="32"/>
          <w:lang w:val="en-US" w:eastAsia="zh-CN"/>
        </w:rPr>
        <w:t>2025年有三位在职干部退休，事业单位离退休经费有所增加</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4）</w:t>
      </w:r>
      <w:bookmarkStart w:id="0" w:name="OLE_LINK2"/>
      <w:r>
        <w:rPr>
          <w:rFonts w:hint="eastAsia" w:ascii="仿宋_GB2312" w:hAnsi="Times New Roman" w:cs="Times New Roman"/>
          <w:kern w:val="2"/>
          <w:sz w:val="32"/>
          <w:szCs w:val="32"/>
          <w:highlight w:val="none"/>
          <w:lang w:val="en-US" w:eastAsia="zh-CN"/>
        </w:rPr>
        <w:t>机关事业单位基本养老保险缴费</w:t>
      </w:r>
      <w:bookmarkEnd w:id="0"/>
      <w:r>
        <w:rPr>
          <w:rFonts w:hint="eastAsia" w:ascii="仿宋_GB2312" w:hAnsi="Times New Roman" w:cs="Times New Roman"/>
          <w:kern w:val="2"/>
          <w:sz w:val="32"/>
          <w:szCs w:val="32"/>
          <w:highlight w:val="none"/>
          <w:lang w:val="en-US" w:eastAsia="zh-CN"/>
        </w:rPr>
        <w:t>科目支出43.01万元，占支出总预算的12.05%，同比增加11.16万元，同比增长35.05%，主要原因是</w:t>
      </w:r>
      <w:r>
        <w:rPr>
          <w:rFonts w:hint="eastAsia" w:ascii="仿宋_GB2312"/>
          <w:sz w:val="32"/>
          <w:szCs w:val="32"/>
          <w:lang w:val="en-US" w:eastAsia="zh-CN"/>
        </w:rPr>
        <w:t>2025年基数上调，</w:t>
      </w:r>
      <w:r>
        <w:rPr>
          <w:rFonts w:hint="eastAsia" w:ascii="仿宋_GB2312" w:hAnsi="Times New Roman" w:cs="Times New Roman"/>
          <w:kern w:val="2"/>
          <w:sz w:val="32"/>
          <w:szCs w:val="32"/>
          <w:highlight w:val="none"/>
          <w:lang w:val="en-US" w:eastAsia="zh-CN"/>
        </w:rPr>
        <w:t>机关事业单位基本养老保险缴费</w:t>
      </w:r>
      <w:r>
        <w:rPr>
          <w:rFonts w:hint="eastAsia" w:ascii="仿宋_GB2312"/>
          <w:sz w:val="32"/>
          <w:szCs w:val="32"/>
          <w:lang w:val="en-US" w:eastAsia="zh-CN"/>
        </w:rPr>
        <w:t>较上年有所增加</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5）机关事业单位职业年金缴费科目支出21.50万元，占支出总预算的6.03%，同比增加5.58万元，同比增长35.05%，主要原因是</w:t>
      </w:r>
      <w:r>
        <w:rPr>
          <w:rFonts w:hint="eastAsia" w:ascii="仿宋_GB2312"/>
          <w:sz w:val="32"/>
          <w:szCs w:val="32"/>
          <w:lang w:val="en-US" w:eastAsia="zh-CN"/>
        </w:rPr>
        <w:t>2025年基数上调，</w:t>
      </w:r>
      <w:r>
        <w:rPr>
          <w:rFonts w:hint="eastAsia" w:ascii="仿宋_GB2312" w:hAnsi="Times New Roman" w:cs="Times New Roman"/>
          <w:kern w:val="2"/>
          <w:sz w:val="32"/>
          <w:szCs w:val="32"/>
          <w:highlight w:val="none"/>
          <w:lang w:val="en-US" w:eastAsia="zh-CN"/>
        </w:rPr>
        <w:t>机关事业单位职业年金缴费</w:t>
      </w:r>
      <w:r>
        <w:rPr>
          <w:rFonts w:hint="eastAsia" w:ascii="仿宋_GB2312"/>
          <w:sz w:val="32"/>
          <w:szCs w:val="32"/>
          <w:lang w:val="en-US" w:eastAsia="zh-CN"/>
        </w:rPr>
        <w:t>较上年有所增加</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6）事业单位医疗科目支出21.37万元，占支出总预算的5.99%，同比增加5.68万元，同比增长36.21%，主要原因是</w:t>
      </w:r>
      <w:r>
        <w:rPr>
          <w:rFonts w:hint="eastAsia" w:ascii="仿宋_GB2312"/>
          <w:sz w:val="32"/>
          <w:szCs w:val="32"/>
          <w:lang w:val="en-US" w:eastAsia="zh-CN"/>
        </w:rPr>
        <w:t>2025年基数上调，</w:t>
      </w:r>
      <w:r>
        <w:rPr>
          <w:rFonts w:hint="eastAsia" w:ascii="仿宋_GB2312" w:hAnsi="Times New Roman" w:cs="Times New Roman"/>
          <w:kern w:val="2"/>
          <w:sz w:val="32"/>
          <w:szCs w:val="32"/>
          <w:highlight w:val="none"/>
          <w:lang w:val="en-US" w:eastAsia="zh-CN"/>
        </w:rPr>
        <w:t>事业单位医疗</w:t>
      </w:r>
      <w:r>
        <w:rPr>
          <w:rFonts w:hint="eastAsia" w:ascii="仿宋_GB2312"/>
          <w:sz w:val="32"/>
          <w:szCs w:val="32"/>
          <w:lang w:val="en-US" w:eastAsia="zh-CN"/>
        </w:rPr>
        <w:t>较上年有所增加</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7）住房公积金科目支出32.25万元，占支出总预算的9.04%，同比增加8.37万元，同比增长35.05%，主要原因是</w:t>
      </w:r>
      <w:r>
        <w:rPr>
          <w:rFonts w:hint="eastAsia" w:ascii="仿宋_GB2312"/>
          <w:sz w:val="32"/>
          <w:szCs w:val="32"/>
          <w:lang w:val="en-US" w:eastAsia="zh-CN"/>
        </w:rPr>
        <w:t>2025年基数上调，</w:t>
      </w:r>
      <w:r>
        <w:rPr>
          <w:rFonts w:hint="eastAsia" w:ascii="仿宋_GB2312" w:hAnsi="Times New Roman" w:cs="Times New Roman"/>
          <w:kern w:val="2"/>
          <w:sz w:val="32"/>
          <w:szCs w:val="32"/>
          <w:highlight w:val="none"/>
          <w:lang w:val="en-US" w:eastAsia="zh-CN"/>
        </w:rPr>
        <w:t>住房公积金</w:t>
      </w:r>
      <w:r>
        <w:rPr>
          <w:rFonts w:hint="eastAsia" w:ascii="仿宋_GB2312"/>
          <w:sz w:val="32"/>
          <w:szCs w:val="32"/>
          <w:lang w:val="en-US" w:eastAsia="zh-CN"/>
        </w:rPr>
        <w:t>较上年有所增加。</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六、一般公共预算基本支出情况说明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szCs w:val="32"/>
        </w:rPr>
        <w:t>一般公共预算基本支出</w:t>
      </w:r>
      <w:r>
        <w:rPr>
          <w:rFonts w:hint="eastAsia" w:ascii="仿宋_GB2312" w:eastAsia="仿宋_GB2312"/>
          <w:sz w:val="32"/>
          <w:szCs w:val="32"/>
          <w:lang w:eastAsia="zh-CN"/>
        </w:rPr>
        <w:t>共</w:t>
      </w:r>
      <w:r>
        <w:rPr>
          <w:rFonts w:hint="eastAsia" w:ascii="仿宋_GB2312"/>
          <w:sz w:val="32"/>
          <w:szCs w:val="32"/>
          <w:lang w:val="en-US" w:eastAsia="zh-CN"/>
        </w:rPr>
        <w:t>352.99</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0.54%，主要原因是2025年基数上调，</w:t>
      </w:r>
      <w:r>
        <w:rPr>
          <w:rFonts w:hint="eastAsia" w:ascii="仿宋_GB2312" w:cs="Times New Roman"/>
          <w:kern w:val="2"/>
          <w:sz w:val="32"/>
          <w:szCs w:val="32"/>
          <w:highlight w:val="none"/>
          <w:lang w:val="en-US" w:eastAsia="zh-CN"/>
        </w:rPr>
        <w:t>基本支出</w:t>
      </w:r>
      <w:r>
        <w:rPr>
          <w:rFonts w:hint="eastAsia" w:ascii="仿宋_GB2312"/>
          <w:sz w:val="32"/>
          <w:szCs w:val="32"/>
          <w:lang w:val="en-US" w:eastAsia="zh-CN"/>
        </w:rPr>
        <w:t>较上年有所增加</w:t>
      </w:r>
      <w:r>
        <w:rPr>
          <w:rFonts w:hint="eastAsia" w:ascii="仿宋_GB2312"/>
          <w:szCs w:val="32"/>
          <w:lang w:eastAsia="zh-CN"/>
        </w:rPr>
        <w:t>。</w:t>
      </w:r>
      <w:r>
        <w:rPr>
          <w:rFonts w:hint="eastAsia" w:ascii="仿宋_GB2312"/>
          <w:sz w:val="32"/>
          <w:szCs w:val="32"/>
          <w:lang w:eastAsia="zh-CN"/>
        </w:rPr>
        <w:t>具体情况为：</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基本工资90.56万元，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减少10.52</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下降10.41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主要原因是2025年有三位在职干部退休，基本工资较上年有所减少</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 津贴补贴38.37万元，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减少9.08</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下降19.14%</w:t>
      </w:r>
      <w:r>
        <w:rPr>
          <w:rFonts w:hint="eastAsia" w:ascii="仿宋_GB2312"/>
          <w:sz w:val="32"/>
          <w:szCs w:val="32"/>
          <w:highlight w:val="none"/>
          <w:lang w:eastAsia="zh-CN"/>
        </w:rPr>
        <w:t>，</w:t>
      </w:r>
      <w:r>
        <w:rPr>
          <w:rFonts w:hint="eastAsia" w:ascii="仿宋_GB2312"/>
          <w:sz w:val="32"/>
          <w:szCs w:val="32"/>
          <w:lang w:val="en-US" w:eastAsia="zh-CN"/>
        </w:rPr>
        <w:t>主要原因是2025年有三位在职干部退休，津贴补贴较上年有所减少</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奖金7.55万元，</w:t>
      </w:r>
      <w:bookmarkStart w:id="1" w:name="OLE_LINK1"/>
      <w:r>
        <w:rPr>
          <w:rFonts w:hint="eastAsia" w:ascii="仿宋_GB2312" w:eastAsia="仿宋_GB2312"/>
          <w:sz w:val="32"/>
          <w:szCs w:val="32"/>
          <w:highlight w:val="none"/>
        </w:rPr>
        <w:t>同比</w:t>
      </w:r>
      <w:r>
        <w:rPr>
          <w:rFonts w:hint="eastAsia" w:ascii="仿宋_GB2312"/>
          <w:sz w:val="32"/>
          <w:szCs w:val="32"/>
          <w:highlight w:val="none"/>
          <w:lang w:val="en-US" w:eastAsia="zh-CN"/>
        </w:rPr>
        <w:t>减少0.88</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下降10.41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主要原因是2025年有三位在职干部退休，奖金较上年有所</w:t>
      </w:r>
      <w:bookmarkEnd w:id="1"/>
      <w:r>
        <w:rPr>
          <w:rFonts w:hint="eastAsia" w:ascii="仿宋_GB2312"/>
          <w:sz w:val="32"/>
          <w:szCs w:val="32"/>
          <w:lang w:val="en-US" w:eastAsia="zh-CN"/>
        </w:rPr>
        <w:t>减少</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绩效工资43.03万元，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减少9.49</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下降18.06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主要原因是2025年有三位在职干部退休，绩效工资较上年有所减少</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机关事业单位基本养老保险缴费43.01万元，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加11.16</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35.05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主要原因是2025年基数上调，机关事业单位基本养老保险缴费较上年有所增加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职业年金缴费21.50万元，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加5.58</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35.05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主要原因是2025年基数上调，职业年金较上年有所增加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职工基本医疗保险缴费21.23万元，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加5.71</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36.78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主要原因是2025年基数上调，职工基本医疗保险缴费较上年有所增加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其他社会保障缴费2.02万元，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加0.46</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29.47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主要原因是2025年基数上调，其他社会保障缴费较上年有所增加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住房公积金32.25万元，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加8.37</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35.05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主要原因是2025年基数上调，住房公积金较上年有所增加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bookmarkStart w:id="2" w:name="OLE_LINK3"/>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办公费2.38万元，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减少0.50</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下降17.39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主要原因是2025年有三位在职干部退休，办公费较上年有所减少</w:t>
      </w:r>
      <w:r>
        <w:rPr>
          <w:rFonts w:hint="eastAsia" w:ascii="仿宋_GB2312" w:hAnsi="Times New Roman" w:eastAsia="仿宋_GB2312" w:cs="Times New Roman"/>
          <w:kern w:val="2"/>
          <w:sz w:val="32"/>
          <w:szCs w:val="32"/>
          <w:highlight w:val="none"/>
        </w:rPr>
        <w:t>；</w:t>
      </w:r>
    </w:p>
    <w:bookmarkEnd w:id="2"/>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印刷费0.57万元，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减少0.12</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下降17.39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主要原因是2025年有三位在职干部退休，印刷费较上年有所减少</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邮电费1.24万元，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减少0.26</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下降17.39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主要原因是2025年有三位在职干部退休，邮电费较上年有所减少</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差旅费6.84万元，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减少1.44</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下降17.39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主要原因是2025年有三位在职干部退休，差旅费较上年有所减少</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维修（护）费0.76万元，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减少0.16</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下降17.39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主要原因是2025年有三位在职干部退休，维修（护）费较上年有所减少</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会议费0.38万元，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减少0.08</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下降17.39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主要原因是2025年有三位在职干部退休，会议费较上年有所减少</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培训费0.46万元，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减少0.10</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下降17.39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主要原因是2025年有三位在职干部退休，培训费较上年有所减少</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公务接待费0.46万元，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减少0.10</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下降17.39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主要原因是2025年有三位在职干部退休，公务接待费较上年有所减少</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工会经费5.38万元，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加1.40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35.05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主要原因是2025年基数上调，工会经费较上年有所增加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福利费0元，</w:t>
      </w:r>
      <w:r>
        <w:rPr>
          <w:rFonts w:hint="eastAsia" w:ascii="仿宋_GB2312" w:eastAsia="仿宋_GB2312"/>
          <w:sz w:val="32"/>
          <w:szCs w:val="32"/>
          <w:highlight w:val="none"/>
        </w:rPr>
        <w:t>同比</w:t>
      </w:r>
      <w:r>
        <w:rPr>
          <w:rFonts w:hint="eastAsia" w:ascii="仿宋_GB2312"/>
          <w:sz w:val="32"/>
          <w:szCs w:val="32"/>
          <w:highlight w:val="none"/>
          <w:lang w:val="en-US" w:eastAsia="zh-CN"/>
        </w:rPr>
        <w:t>减少0.69</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主要原因是2026年起不再列支福利费</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其他商品和服务支出12.86万元，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减少1.77</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下降12.10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主要原因是2025年有三位在职干部退休，其他商品和服务支出较上年有所减少</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对个人和家庭的补助 - 退休费22.14万元，</w:t>
      </w:r>
      <w:r>
        <w:rPr>
          <w:rFonts w:hint="eastAsia" w:ascii="仿宋_GB2312" w:eastAsia="仿宋_GB2312"/>
          <w:sz w:val="32"/>
          <w:szCs w:val="32"/>
          <w:highlight w:val="none"/>
        </w:rPr>
        <w:t>同比</w:t>
      </w:r>
      <w:r>
        <w:rPr>
          <w:rFonts w:hint="eastAsia" w:ascii="仿宋_GB2312"/>
          <w:sz w:val="32"/>
          <w:szCs w:val="32"/>
          <w:highlight w:val="none"/>
          <w:lang w:val="en-US" w:eastAsia="zh-CN"/>
        </w:rPr>
        <w:t>增加4.41万元，同比增长24.85%，主要原因是2025年</w:t>
      </w:r>
      <w:r>
        <w:rPr>
          <w:rFonts w:hint="eastAsia" w:ascii="仿宋_GB2312"/>
          <w:sz w:val="32"/>
          <w:szCs w:val="32"/>
          <w:lang w:val="en-US" w:eastAsia="zh-CN"/>
        </w:rPr>
        <w:t>有三位在职干部退休</w:t>
      </w:r>
      <w:r>
        <w:rPr>
          <w:rFonts w:hint="eastAsia" w:ascii="仿宋_GB2312"/>
          <w:sz w:val="32"/>
          <w:szCs w:val="32"/>
          <w:highlight w:val="none"/>
          <w:lang w:val="en-US" w:eastAsia="zh-CN"/>
        </w:rPr>
        <w:t>，退休费较上年有所增加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对个人和家庭的补助 - 奖励金0.03万元，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七、一般公共预算“三公”经费支出情况说明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0.46</w:t>
      </w:r>
      <w:r>
        <w:rPr>
          <w:rFonts w:hint="eastAsia" w:ascii="仿宋_GB2312"/>
          <w:bCs/>
        </w:rPr>
        <w:t>万元，同口径</w:t>
      </w:r>
      <w:r>
        <w:rPr>
          <w:rFonts w:hint="eastAsia" w:ascii="仿宋_GB2312"/>
          <w:bCs/>
          <w:lang w:val="en-US" w:eastAsia="zh-CN"/>
        </w:rPr>
        <w:t>比</w:t>
      </w:r>
      <w:r>
        <w:rPr>
          <w:rFonts w:hint="eastAsia" w:ascii="仿宋_GB2312"/>
          <w:bCs/>
        </w:rPr>
        <w:t>202</w:t>
      </w:r>
      <w:r>
        <w:rPr>
          <w:rFonts w:hint="eastAsia" w:ascii="仿宋_GB2312"/>
          <w:bCs/>
          <w:lang w:val="en-US" w:eastAsia="zh-CN"/>
        </w:rPr>
        <w:t>5</w:t>
      </w:r>
      <w:r>
        <w:rPr>
          <w:rFonts w:hint="eastAsia" w:ascii="仿宋_GB2312"/>
          <w:bCs/>
        </w:rPr>
        <w:t>年</w:t>
      </w:r>
      <w:r>
        <w:rPr>
          <w:rFonts w:hint="eastAsia" w:ascii="仿宋_GB2312"/>
          <w:bCs/>
          <w:lang w:val="en-US" w:eastAsia="zh-CN"/>
        </w:rPr>
        <w:t>下降16.36%</w:t>
      </w:r>
      <w:r>
        <w:rPr>
          <w:rFonts w:hint="eastAsia" w:ascii="仿宋_GB2312"/>
          <w:bCs/>
        </w:rPr>
        <w:t>，具体如下：</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Arial" w:cs="Arial"/>
          <w:kern w:val="0"/>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Arial" w:cs="Arial"/>
          <w:kern w:val="0"/>
        </w:rPr>
      </w:pPr>
      <w:r>
        <w:rPr>
          <w:rFonts w:hint="eastAsia" w:ascii="仿宋_GB2312"/>
        </w:rPr>
        <w:t>2.公务接待费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0.46</w:t>
      </w:r>
      <w:r>
        <w:rPr>
          <w:rFonts w:hint="eastAsia" w:ascii="仿宋_GB2312" w:hAnsi="宋体"/>
          <w:szCs w:val="32"/>
        </w:rPr>
        <w:t>万元，</w:t>
      </w:r>
      <w:r>
        <w:rPr>
          <w:rFonts w:hint="eastAsia" w:ascii="仿宋_GB2312" w:hAnsi="宋体"/>
          <w:szCs w:val="32"/>
          <w:lang w:val="en-US" w:eastAsia="zh-CN"/>
        </w:rPr>
        <w:t>比上年减少0.09万元，下降16.36%，减少的主要原因是2025年我单位有三位在职干部退休，年初预算按人数按比例减少</w:t>
      </w:r>
      <w:r>
        <w:rPr>
          <w:rFonts w:hint="eastAsia" w:ascii="仿宋_GB2312" w:hAnsi="Arial" w:cs="Arial"/>
          <w:kern w:val="0"/>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宋体"/>
          <w:szCs w:val="32"/>
          <w:lang w:eastAsia="zh-CN"/>
        </w:rPr>
        <w:t>，</w:t>
      </w:r>
      <w:r>
        <w:rPr>
          <w:rFonts w:hint="eastAsia" w:ascii="仿宋_GB2312" w:hAnsi="宋体"/>
          <w:szCs w:val="32"/>
        </w:rPr>
        <w:t>其中：</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Arial" w:cs="Arial"/>
          <w:kern w:val="0"/>
        </w:rPr>
      </w:pPr>
      <w:r>
        <w:rPr>
          <w:rFonts w:hint="eastAsia" w:ascii="仿宋_GB2312" w:hAnsi="宋体"/>
          <w:szCs w:val="32"/>
        </w:rPr>
        <w:t>公务用车购置费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Arial" w:cs="Arial"/>
          <w:kern w:val="0"/>
        </w:rPr>
      </w:pPr>
      <w:r>
        <w:rPr>
          <w:rFonts w:hint="eastAsia" w:ascii="仿宋_GB2312" w:hAnsi="宋体"/>
          <w:szCs w:val="32"/>
        </w:rPr>
        <w:t>公务用车运行维护费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八、政府性基金预算支出情况说明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highlight w:val="yellow"/>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1.80</w:t>
      </w:r>
      <w:r>
        <w:rPr>
          <w:rFonts w:hint="eastAsia" w:ascii="仿宋_GB2312" w:eastAsia="仿宋_GB2312"/>
          <w:sz w:val="32"/>
          <w:szCs w:val="32"/>
        </w:rPr>
        <w:t>万元，</w:t>
      </w:r>
      <w:r>
        <w:rPr>
          <w:rFonts w:hint="eastAsia" w:ascii="仿宋_GB2312"/>
          <w:sz w:val="32"/>
          <w:szCs w:val="32"/>
          <w:lang w:val="en-US" w:eastAsia="zh-CN"/>
        </w:rPr>
        <w:t>与上年持平</w:t>
      </w:r>
      <w:r>
        <w:rPr>
          <w:rFonts w:hint="eastAsia" w:ascii="仿宋_GB2312"/>
          <w:szCs w:val="32"/>
          <w:lang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仿宋_GB2312"/>
          <w:sz w:val="32"/>
          <w:szCs w:val="32"/>
          <w:lang w:eastAsia="zh-CN"/>
        </w:rPr>
        <w:t>我单位</w:t>
      </w:r>
      <w:r>
        <w:rPr>
          <w:rFonts w:hint="eastAsia" w:ascii="仿宋_GB2312"/>
          <w:szCs w:val="32"/>
        </w:rPr>
        <w:t>国有资本经营预算支出</w:t>
      </w:r>
      <w:r>
        <w:rPr>
          <w:rFonts w:hint="eastAsia" w:ascii="仿宋_GB2312" w:eastAsia="仿宋_GB2312"/>
          <w:sz w:val="32"/>
          <w:szCs w:val="32"/>
          <w:lang w:eastAsia="zh-CN"/>
        </w:rPr>
        <w:t>共</w:t>
      </w:r>
      <w:r>
        <w:rPr>
          <w:rFonts w:hint="eastAsia" w:ascii="仿宋_GB2312"/>
          <w:sz w:val="32"/>
          <w:szCs w:val="32"/>
          <w:lang w:val="en-US" w:eastAsia="zh-CN"/>
        </w:rPr>
        <w:t>0</w:t>
      </w:r>
      <w:r>
        <w:rPr>
          <w:rFonts w:hint="eastAsia" w:ascii="仿宋_GB2312" w:eastAsia="仿宋_GB2312"/>
          <w:sz w:val="32"/>
          <w:szCs w:val="32"/>
        </w:rPr>
        <w:t>万元，</w:t>
      </w:r>
      <w:r>
        <w:rPr>
          <w:rFonts w:hint="eastAsia" w:ascii="仿宋_GB2312"/>
          <w:sz w:val="32"/>
          <w:szCs w:val="32"/>
          <w:lang w:val="en-US" w:eastAsia="zh-CN"/>
        </w:rPr>
        <w:t>2026年单位预算无国有资本经营预算</w:t>
      </w:r>
      <w:r>
        <w:rPr>
          <w:rFonts w:hint="eastAsia" w:ascii="仿宋_GB2312"/>
          <w:szCs w:val="32"/>
          <w:lang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sz w:val="32"/>
          <w:szCs w:val="32"/>
          <w:highlight w:val="none"/>
          <w:lang w:eastAsia="zh-CN"/>
        </w:rPr>
        <w:t>单位</w:t>
      </w:r>
      <w:r>
        <w:rPr>
          <w:rFonts w:hint="eastAsia" w:ascii="仿宋_GB2312" w:eastAsia="仿宋_GB2312"/>
          <w:sz w:val="32"/>
          <w:szCs w:val="32"/>
          <w:highlight w:val="none"/>
        </w:rPr>
        <w:t>的运行经费预算共</w:t>
      </w:r>
      <w:r>
        <w:rPr>
          <w:rFonts w:hint="eastAsia" w:ascii="仿宋_GB2312"/>
          <w:sz w:val="32"/>
          <w:szCs w:val="32"/>
          <w:highlight w:val="none"/>
          <w:lang w:val="en-US" w:eastAsia="zh-CN"/>
        </w:rPr>
        <w:t>31.31</w:t>
      </w:r>
      <w:r>
        <w:rPr>
          <w:rFonts w:hint="eastAsia" w:ascii="仿宋_GB2312" w:eastAsia="仿宋_GB2312"/>
          <w:sz w:val="32"/>
          <w:szCs w:val="32"/>
          <w:highlight w:val="none"/>
        </w:rPr>
        <w:t>万元，同比</w:t>
      </w:r>
      <w:r>
        <w:rPr>
          <w:rFonts w:hint="eastAsia" w:ascii="仿宋_GB2312"/>
          <w:sz w:val="32"/>
          <w:szCs w:val="32"/>
          <w:highlight w:val="none"/>
          <w:lang w:val="en-US" w:eastAsia="zh-CN"/>
        </w:rPr>
        <w:t>减少3.82</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下降10.87</w:t>
      </w:r>
      <w:r>
        <w:rPr>
          <w:rFonts w:hint="eastAsia" w:ascii="仿宋_GB2312" w:eastAsia="仿宋_GB2312"/>
          <w:sz w:val="32"/>
          <w:szCs w:val="32"/>
          <w:highlight w:val="none"/>
        </w:rPr>
        <w:t>%</w:t>
      </w:r>
      <w:r>
        <w:rPr>
          <w:rFonts w:hint="eastAsia" w:ascii="仿宋_GB2312"/>
          <w:sz w:val="32"/>
          <w:szCs w:val="32"/>
          <w:highlight w:val="none"/>
          <w:lang w:eastAsia="zh-CN"/>
        </w:rPr>
        <w:t>，主要原因是</w:t>
      </w:r>
      <w:r>
        <w:rPr>
          <w:rFonts w:hint="eastAsia" w:ascii="仿宋_GB2312" w:hAnsi="宋体"/>
          <w:szCs w:val="32"/>
          <w:lang w:val="en-US" w:eastAsia="zh-CN"/>
        </w:rPr>
        <w:t>2025年我单位有三位在职干部退休，年初预算按人数按比例减少</w:t>
      </w:r>
      <w:r>
        <w:rPr>
          <w:rFonts w:hint="eastAsia" w:ascii="仿宋_GB2312" w:eastAsia="仿宋_GB2312"/>
          <w:sz w:val="32"/>
          <w:szCs w:val="32"/>
          <w:highlight w:val="none"/>
        </w:rPr>
        <w:t>。主要包括办公费、印刷费、邮电费、差旅费、维修（护）费、会议费、培训费、公务接待费、</w:t>
      </w:r>
      <w:r>
        <w:rPr>
          <w:rFonts w:hint="eastAsia" w:ascii="仿宋_GB2312"/>
          <w:sz w:val="32"/>
          <w:szCs w:val="32"/>
          <w:highlight w:val="none"/>
          <w:lang w:val="en-US" w:eastAsia="zh-CN"/>
        </w:rPr>
        <w:t>工会经费</w:t>
      </w:r>
      <w:r>
        <w:rPr>
          <w:rFonts w:hint="eastAsia" w:ascii="仿宋_GB2312" w:eastAsia="仿宋_GB2312"/>
          <w:sz w:val="32"/>
          <w:szCs w:val="32"/>
          <w:highlight w:val="none"/>
        </w:rPr>
        <w:t>及其他商品和服务支出。</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2.95</w:t>
      </w:r>
      <w:r>
        <w:rPr>
          <w:rFonts w:hint="eastAsia" w:ascii="仿宋_GB2312" w:hAnsi="宋体"/>
          <w:szCs w:val="32"/>
        </w:rPr>
        <w:t>万元。其中：货物类采购</w:t>
      </w:r>
      <w:r>
        <w:rPr>
          <w:rFonts w:hint="eastAsia" w:ascii="仿宋_GB2312" w:hAnsi="宋体"/>
          <w:szCs w:val="32"/>
          <w:lang w:val="en-US" w:eastAsia="zh-CN"/>
        </w:rPr>
        <w:t>2.38</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0.57</w:t>
      </w:r>
      <w:r>
        <w:rPr>
          <w:rFonts w:hint="eastAsia" w:ascii="仿宋_GB2312" w:hAnsi="宋体"/>
          <w:szCs w:val="32"/>
        </w:rPr>
        <w:t>万元。</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pPr>
        <w:keepNext w:val="0"/>
        <w:keepLines w:val="0"/>
        <w:pageBreakBefore w:val="0"/>
        <w:numPr>
          <w:ilvl w:val="0"/>
          <w:numId w:val="0"/>
        </w:numPr>
        <w:kinsoku/>
        <w:wordWrap/>
        <w:overflowPunct/>
        <w:topLinePunct w:val="0"/>
        <w:autoSpaceDE/>
        <w:autoSpaceDN/>
        <w:bidi w:val="0"/>
        <w:spacing w:line="240" w:lineRule="auto"/>
        <w:ind w:right="0" w:rightChars="0" w:firstLine="640" w:firstLineChars="200"/>
        <w:textAlignment w:val="auto"/>
        <w:rPr>
          <w:rFonts w:hint="eastAsia" w:ascii="仿宋_GB2312" w:hAnsi="宋体"/>
          <w:szCs w:val="32"/>
          <w:highlight w:val="none"/>
          <w:u w:val="single"/>
          <w:lang w:val="en-US" w:eastAsia="zh-CN"/>
        </w:rPr>
      </w:pP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eastAsia="仿宋_GB2312"/>
          <w:sz w:val="32"/>
          <w:szCs w:val="32"/>
          <w:highlight w:val="none"/>
          <w:lang w:eastAsia="zh-CN"/>
        </w:rPr>
        <w:t>单位的</w:t>
      </w:r>
      <w:r>
        <w:rPr>
          <w:rFonts w:hint="eastAsia" w:ascii="仿宋_GB2312" w:eastAsia="仿宋_GB2312"/>
          <w:sz w:val="32"/>
          <w:szCs w:val="32"/>
          <w:highlight w:val="none"/>
        </w:rPr>
        <w:t>政府</w:t>
      </w:r>
      <w:r>
        <w:rPr>
          <w:rFonts w:hint="eastAsia" w:ascii="仿宋_GB2312" w:eastAsia="仿宋_GB2312"/>
          <w:sz w:val="32"/>
          <w:szCs w:val="32"/>
          <w:highlight w:val="none"/>
          <w:lang w:eastAsia="zh-CN"/>
        </w:rPr>
        <w:t>购买</w:t>
      </w:r>
      <w:r>
        <w:rPr>
          <w:rFonts w:hint="eastAsia" w:ascii="仿宋_GB2312" w:eastAsia="仿宋_GB2312"/>
          <w:sz w:val="32"/>
          <w:szCs w:val="32"/>
          <w:highlight w:val="none"/>
        </w:rPr>
        <w:t>预算共</w:t>
      </w:r>
      <w:r>
        <w:rPr>
          <w:rFonts w:hint="eastAsia" w:ascii="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sz w:val="32"/>
          <w:szCs w:val="32"/>
          <w:highlight w:val="none"/>
          <w:lang w:val="en-US" w:eastAsia="zh-CN"/>
        </w:rPr>
        <w:t>与上年持平</w:t>
      </w:r>
      <w:r>
        <w:rPr>
          <w:rFonts w:hint="eastAsia" w:ascii="仿宋_GB2312" w:eastAsia="仿宋_GB231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hAnsi="Arial" w:eastAsia="黑体" w:cs="Arial"/>
          <w:b w:val="0"/>
          <w:bCs w:val="0"/>
          <w:kern w:val="0"/>
          <w:u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单位2026年</w:t>
      </w:r>
      <w:r>
        <w:rPr>
          <w:rFonts w:hint="eastAsia" w:ascii="仿宋_GB2312" w:hAnsi="宋体"/>
          <w:b w:val="0"/>
          <w:bCs w:val="0"/>
          <w:szCs w:val="32"/>
          <w:highlight w:val="none"/>
          <w:u w:val="none"/>
        </w:rPr>
        <w:t>无国有资产占用相关情况。</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lang w:val="en-US" w:eastAsia="zh-CN"/>
        </w:rPr>
      </w:pPr>
      <w:r>
        <w:rPr>
          <w:rFonts w:hint="eastAsia" w:ascii="仿宋_GB2312"/>
          <w:sz w:val="32"/>
          <w:szCs w:val="32"/>
          <w:lang w:val="en-US" w:eastAsia="zh-CN"/>
        </w:rPr>
        <w:t>1.我单位2026年</w:t>
      </w:r>
      <w:r>
        <w:rPr>
          <w:rFonts w:hint="eastAsia" w:ascii="仿宋_GB2312" w:eastAsia="仿宋_GB2312"/>
          <w:sz w:val="32"/>
          <w:szCs w:val="32"/>
          <w:lang w:val="en-US" w:eastAsia="zh-CN"/>
        </w:rPr>
        <w:t>所有项目支出全面实施绩效目标管理，涉及本级项目</w:t>
      </w:r>
      <w:r>
        <w:rPr>
          <w:rFonts w:hint="eastAsia" w:ascii="仿宋_GB2312"/>
          <w:sz w:val="32"/>
          <w:szCs w:val="32"/>
          <w:lang w:val="en-US" w:eastAsia="zh-CN"/>
        </w:rPr>
        <w:t>2</w:t>
      </w:r>
      <w:r>
        <w:rPr>
          <w:rFonts w:hint="eastAsia" w:ascii="仿宋_GB2312" w:eastAsia="仿宋_GB2312"/>
          <w:sz w:val="32"/>
          <w:szCs w:val="32"/>
          <w:lang w:val="en-US" w:eastAsia="zh-CN"/>
        </w:rPr>
        <w:t>个，预算资金</w:t>
      </w:r>
      <w:r>
        <w:rPr>
          <w:rFonts w:hint="eastAsia" w:ascii="仿宋_GB2312"/>
          <w:sz w:val="32"/>
          <w:szCs w:val="32"/>
          <w:lang w:val="en-US" w:eastAsia="zh-CN"/>
        </w:rPr>
        <w:t>3.80</w:t>
      </w:r>
      <w:r>
        <w:rPr>
          <w:rFonts w:hint="eastAsia" w:ascii="仿宋_GB2312" w:eastAsia="仿宋_GB2312"/>
          <w:sz w:val="32"/>
          <w:szCs w:val="32"/>
          <w:lang w:val="en-US" w:eastAsia="zh-CN"/>
        </w:rPr>
        <w:t>万元。绩效目标情况详见报表（涉密项目等除外）。</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eastAsia="仿宋_GB2312"/>
          <w:sz w:val="32"/>
          <w:szCs w:val="32"/>
          <w:lang w:val="en-US" w:eastAsia="zh-CN"/>
        </w:rPr>
      </w:pPr>
      <w:r>
        <w:rPr>
          <w:rFonts w:hint="eastAsia" w:ascii="仿宋_GB2312"/>
          <w:sz w:val="32"/>
          <w:szCs w:val="32"/>
          <w:lang w:val="en-US" w:eastAsia="zh-CN"/>
        </w:rPr>
        <w:t>2.重点项目预算绩效目标说明。</w:t>
      </w:r>
    </w:p>
    <w:tbl>
      <w:tblPr>
        <w:tblW w:w="100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435"/>
        <w:gridCol w:w="1116"/>
        <w:gridCol w:w="1476"/>
        <w:gridCol w:w="2016"/>
        <w:gridCol w:w="3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jc w:val="center"/>
        </w:trPr>
        <w:tc>
          <w:tcPr>
            <w:tcW w:w="10014" w:type="dxa"/>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2026年度部门预算柳江区项目支出绩效目标申报表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014" w:type="dxa"/>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文化馆免费开放资金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项目编码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450206260412200012762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柳州市柳江区文化馆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项目主管单位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122-柳州市柳江区文化体育广电和旅游局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2-阶段性项目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129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资金来源</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9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129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其中：一般公共预算拨款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其中：上级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129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本级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129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政府性基金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jc w:val="center"/>
        </w:trPr>
        <w:tc>
          <w:tcPr>
            <w:tcW w:w="129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国有资本经营预算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129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970" w:type="dxa"/>
            <w:gridSpan w:val="2"/>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jc w:val="center"/>
        </w:trPr>
        <w:tc>
          <w:tcPr>
            <w:tcW w:w="1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年度绩效目标</w:t>
            </w:r>
          </w:p>
        </w:tc>
        <w:tc>
          <w:tcPr>
            <w:tcW w:w="871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通过开展各项免费开放活动，丰富群众文化生活，保障本馆日常运转，提升公共文化服务水平。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129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项目年度绩效目标衡量指标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指标内容</w:t>
            </w:r>
          </w:p>
        </w:tc>
        <w:tc>
          <w:tcPr>
            <w:tcW w:w="3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9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开展文化惠民活动场次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9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免费开放培训班次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129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免费开放场所设备维护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129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免费培训班参与率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129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免费开放场馆使用率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129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2026年底前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129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资金使用成本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129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群众文化生活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丰富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129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r>
    </w:tbl>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第三部分：名词解释</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w:t>
      </w:r>
      <w:bookmarkStart w:id="3" w:name="_GoBack"/>
      <w:bookmarkEnd w:id="3"/>
      <w:r>
        <w:rPr>
          <w:rFonts w:hint="eastAsia" w:ascii="仿宋_GB2312" w:eastAsia="仿宋_GB2312"/>
          <w:sz w:val="32"/>
          <w:szCs w:val="32"/>
          <w:highlight w:val="none"/>
        </w:rPr>
        <w:t>财政收入，安排用于保障和改善民生、推动经济社会发展、维护国家安全、维持国家机构正常运转等方面的收支预算。</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五、基本支出：</w:t>
      </w:r>
      <w:r>
        <w:rPr>
          <w:rFonts w:hint="eastAsia" w:ascii="仿宋_GB2312" w:eastAsia="仿宋_GB2312"/>
          <w:sz w:val="32"/>
          <w:szCs w:val="32"/>
          <w:highlight w:val="none"/>
        </w:rPr>
        <w:t>指为保障机构正常运转、完成日常工作任务而发生的人员支出和公用支出。</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六</w:t>
      </w:r>
      <w:r>
        <w:rPr>
          <w:rFonts w:hint="eastAsia" w:ascii="黑体" w:eastAsia="黑体"/>
          <w:sz w:val="32"/>
          <w:szCs w:val="32"/>
          <w:highlight w:val="none"/>
        </w:rPr>
        <w:t>、项目支出：</w:t>
      </w:r>
      <w:r>
        <w:rPr>
          <w:rFonts w:hint="eastAsia" w:ascii="仿宋_GB2312" w:eastAsia="仿宋_GB2312"/>
          <w:sz w:val="32"/>
          <w:szCs w:val="32"/>
          <w:highlight w:val="none"/>
        </w:rPr>
        <w:t xml:space="preserve">指在基本支出之外为完成特定行政任务和事业发展目标所发生的支出。  </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七、</w:t>
      </w:r>
      <w:r>
        <w:rPr>
          <w:rFonts w:hint="eastAsia" w:ascii="黑体" w:eastAsia="黑体"/>
          <w:sz w:val="32"/>
          <w:szCs w:val="32"/>
          <w:highlight w:val="none"/>
        </w:rPr>
        <w:t>“三公”经费：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八</w:t>
      </w:r>
      <w:r>
        <w:rPr>
          <w:rFonts w:hint="eastAsia" w:ascii="黑体" w:eastAsia="黑体"/>
          <w:sz w:val="32"/>
          <w:szCs w:val="32"/>
          <w:highlight w:val="none"/>
        </w:rPr>
        <w:t>、运行经费：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黑体" w:eastAsia="黑体"/>
          <w:sz w:val="32"/>
          <w:szCs w:val="32"/>
          <w:highlight w:val="none"/>
        </w:rPr>
      </w:pPr>
      <w:r>
        <w:rPr>
          <w:rFonts w:hint="eastAsia" w:ascii="黑体" w:eastAsia="黑体"/>
          <w:sz w:val="32"/>
          <w:szCs w:val="32"/>
          <w:highlight w:val="none"/>
          <w:lang w:val="en-US" w:eastAsia="zh-CN"/>
        </w:rPr>
        <w:t>九</w:t>
      </w:r>
      <w:r>
        <w:rPr>
          <w:rFonts w:hint="eastAsia" w:ascii="黑体" w:eastAsia="黑体"/>
          <w:sz w:val="32"/>
          <w:szCs w:val="32"/>
          <w:highlight w:val="none"/>
        </w:rPr>
        <w:t>、支出类常用科目的说明</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rPr>
      </w:pPr>
      <w:r>
        <w:rPr>
          <w:rFonts w:hint="eastAsia" w:ascii="黑体" w:eastAsia="黑体"/>
          <w:sz w:val="32"/>
          <w:szCs w:val="32"/>
          <w:highlight w:val="none"/>
        </w:rPr>
        <w:t>1．文化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3</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hAnsi="宋体" w:eastAsia="仿宋_GB2312"/>
          <w:bCs/>
          <w:sz w:val="44"/>
          <w:szCs w:val="44"/>
          <w:highlight w:val="none"/>
        </w:rPr>
      </w:pPr>
      <w:r>
        <w:rPr>
          <w:rFonts w:hint="eastAsia" w:ascii="黑体" w:eastAsia="黑体"/>
          <w:sz w:val="32"/>
          <w:szCs w:val="32"/>
          <w:highlight w:val="none"/>
          <w:lang w:val="en-US" w:eastAsia="zh-CN"/>
        </w:rPr>
        <w:t>4</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5</w:t>
      </w:r>
      <w:r>
        <w:rPr>
          <w:rFonts w:hint="eastAsia" w:ascii="黑体" w:eastAsia="黑体"/>
          <w:sz w:val="32"/>
          <w:szCs w:val="32"/>
          <w:highlight w:val="none"/>
        </w:rPr>
        <w:t xml:space="preserve">．城乡社区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lang w:val="en-US" w:eastAsia="zh-CN"/>
        </w:rPr>
        <w:t>柳州市柳江区文化馆</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keepNext w:val="0"/>
        <w:keepLines w:val="0"/>
        <w:pageBreakBefore w:val="0"/>
        <w:kinsoku/>
        <w:wordWrap/>
        <w:overflowPunct/>
        <w:topLinePunct w:val="0"/>
        <w:autoSpaceDE/>
        <w:autoSpaceDN/>
        <w:bidi w:val="0"/>
        <w:spacing w:line="500" w:lineRule="exact"/>
        <w:ind w:firstLine="880" w:firstLineChars="200"/>
        <w:textAlignment w:val="auto"/>
        <w:rPr>
          <w:rFonts w:ascii="仿宋_GB2312" w:hAnsi="宋体" w:eastAsia="仿宋_GB2312"/>
          <w:bCs/>
          <w:sz w:val="44"/>
          <w:szCs w:val="44"/>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D75E5"/>
    <w:rsid w:val="15DD7808"/>
    <w:rsid w:val="21690C6D"/>
    <w:rsid w:val="26735FEA"/>
    <w:rsid w:val="28152FF9"/>
    <w:rsid w:val="2D3869C9"/>
    <w:rsid w:val="2F0E7201"/>
    <w:rsid w:val="36190BE4"/>
    <w:rsid w:val="38045690"/>
    <w:rsid w:val="4E3B534E"/>
    <w:rsid w:val="50EF1F66"/>
    <w:rsid w:val="575F047B"/>
    <w:rsid w:val="59F847D7"/>
    <w:rsid w:val="5F6277EF"/>
    <w:rsid w:val="5FDB6AFF"/>
    <w:rsid w:val="606543BF"/>
    <w:rsid w:val="6A3E1DEA"/>
    <w:rsid w:val="6DAE2E3A"/>
    <w:rsid w:val="6EFF649B"/>
    <w:rsid w:val="7B364CF2"/>
    <w:rsid w:val="7F6B1B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paragraph" w:customStyle="1" w:styleId="9">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6737</Words>
  <Characters>7077</Characters>
  <Lines>0</Lines>
  <Paragraphs>0</Paragraphs>
  <TotalTime>4</TotalTime>
  <ScaleCrop>false</ScaleCrop>
  <LinksUpToDate>false</LinksUpToDate>
  <CharactersWithSpaces>7181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Lenovo</cp:lastModifiedBy>
  <dcterms:modified xsi:type="dcterms:W3CDTF">2026-03-25T03:18:40Z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eyJoZGlkIjoiMDFjNWIxOGUzM2RkYmM5MDA4ODkwMzlkMTg0ODUxOWYiLCJ1c2VySWQiOiIxNDUzNDk2NjEyIn0=</vt:lpwstr>
  </property>
  <property fmtid="{D5CDD505-2E9C-101B-9397-08002B2CF9AE}" pid="4" name="ICV">
    <vt:lpwstr>390785053B054AF3AF1B5585CD546566_13</vt:lpwstr>
  </property>
</Properties>
</file>