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Cs/>
          <w:sz w:val="44"/>
          <w:szCs w:val="44"/>
          <w:highlight w:val="none"/>
          <w:lang w:val="en-US" w:eastAsia="zh-CN"/>
        </w:rPr>
      </w:pPr>
      <w:r>
        <w:rPr>
          <w:rFonts w:hint="eastAsia" w:ascii="黑体" w:hAnsi="宋体" w:eastAsia="黑体"/>
          <w:bCs/>
          <w:sz w:val="44"/>
          <w:szCs w:val="44"/>
          <w:highlight w:val="none"/>
          <w:lang w:eastAsia="zh-CN"/>
        </w:rPr>
        <w:t>柳江区文物保护中心</w:t>
      </w:r>
      <w:r>
        <w:rPr>
          <w:rFonts w:hint="eastAsia" w:ascii="黑体" w:hAnsi="宋体" w:eastAsia="黑体"/>
          <w:bCs/>
          <w:sz w:val="44"/>
          <w:szCs w:val="44"/>
          <w:highlight w:val="none"/>
          <w:lang w:val="en-US" w:eastAsia="zh-CN"/>
        </w:rPr>
        <w:t>2026年</w:t>
      </w:r>
    </w:p>
    <w:p>
      <w:pPr>
        <w:jc w:val="center"/>
        <w:rPr>
          <w:rFonts w:hint="eastAsia" w:ascii="黑体" w:hAnsi="宋体" w:eastAsia="黑体"/>
          <w:bCs/>
          <w:szCs w:val="32"/>
        </w:rPr>
      </w:pPr>
      <w:r>
        <w:rPr>
          <w:rFonts w:hint="eastAsia" w:ascii="黑体" w:hAnsi="宋体" w:eastAsia="黑体"/>
          <w:bCs/>
          <w:sz w:val="44"/>
          <w:szCs w:val="44"/>
          <w:highlight w:val="none"/>
          <w:lang w:eastAsia="zh-CN"/>
        </w:rPr>
        <w:t>单位</w:t>
      </w:r>
      <w:r>
        <w:rPr>
          <w:rFonts w:hint="eastAsia" w:ascii="黑体" w:hAnsi="宋体" w:eastAsia="黑体"/>
          <w:bCs/>
          <w:sz w:val="44"/>
          <w:szCs w:val="44"/>
          <w:highlight w:val="none"/>
        </w:rPr>
        <w:t>预算公开说明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一、</w:t>
      </w:r>
      <w:r>
        <w:rPr>
          <w:rFonts w:hint="eastAsia" w:ascii="仿宋_GB2312" w:hAnsi="仿宋" w:cs="宋体"/>
          <w:color w:val="000000"/>
          <w:kern w:val="0"/>
          <w:sz w:val="32"/>
          <w:szCs w:val="32"/>
          <w:lang w:val="en-US" w:eastAsia="zh-CN"/>
        </w:rPr>
        <w:t>单位</w:t>
      </w:r>
      <w:r>
        <w:rPr>
          <w:rFonts w:hint="eastAsia" w:ascii="仿宋_GB2312" w:hAnsi="仿宋" w:eastAsia="仿宋_GB2312" w:cs="宋体"/>
          <w:color w:val="000000"/>
          <w:kern w:val="0"/>
          <w:sz w:val="32"/>
          <w:szCs w:val="32"/>
          <w:lang w:val="zh-CN"/>
        </w:rPr>
        <w:t>主要职能</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二、机构设置情况</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eastAsia="zh-CN"/>
        </w:rPr>
        <w:t>柳江区文物保护中心2026年</w:t>
      </w:r>
      <w:r>
        <w:rPr>
          <w:rFonts w:hint="eastAsia" w:ascii="黑体" w:eastAsia="黑体"/>
          <w:szCs w:val="32"/>
          <w:lang w:eastAsia="zh-CN"/>
        </w:rPr>
        <w:t>单位</w:t>
      </w:r>
      <w:r>
        <w:rPr>
          <w:rFonts w:hint="eastAsia" w:ascii="黑体" w:eastAsia="黑体"/>
          <w:szCs w:val="32"/>
        </w:rPr>
        <w:t>预算情况说明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一、</w:t>
      </w:r>
      <w:r>
        <w:rPr>
          <w:rFonts w:hint="eastAsia" w:ascii="仿宋_GB2312" w:hAnsi="仿宋" w:eastAsia="仿宋_GB2312" w:cs="宋体"/>
          <w:color w:val="auto"/>
          <w:sz w:val="32"/>
          <w:szCs w:val="32"/>
          <w:lang w:eastAsia="zh-CN"/>
        </w:rPr>
        <w:t>单位</w:t>
      </w:r>
      <w:r>
        <w:rPr>
          <w:rFonts w:hint="eastAsia" w:ascii="仿宋_GB2312" w:hAnsi="仿宋" w:eastAsia="仿宋_GB2312" w:cs="宋体"/>
          <w:color w:val="auto"/>
          <w:sz w:val="32"/>
          <w:szCs w:val="32"/>
        </w:rPr>
        <w:t>预算收支增减变化情况说明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二、单位收入总体情况说明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三、单位支出总体情况说明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四、财政拨款收支总体情况说明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五、一般公共预算支出情况说明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六、一般公共预算基本支出情况说明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七、一般公共预算“三公”经费支出情况说明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八、政府性基金预算支出情况说明</w:t>
      </w:r>
    </w:p>
    <w:p>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9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九、国有资本经营预算支出情况说明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cs="宋体"/>
          <w:color w:val="auto"/>
          <w:sz w:val="32"/>
          <w:szCs w:val="32"/>
          <w:lang w:val="en-US" w:eastAsia="zh-CN"/>
        </w:rPr>
        <w:t>十</w:t>
      </w:r>
      <w:r>
        <w:rPr>
          <w:rFonts w:hint="eastAsia" w:ascii="仿宋_GB2312" w:hAnsi="仿宋" w:eastAsia="仿宋_GB2312" w:cs="宋体"/>
          <w:color w:val="auto"/>
          <w:sz w:val="32"/>
          <w:szCs w:val="32"/>
          <w:lang w:eastAsia="zh-CN"/>
        </w:rPr>
        <w:t>、其他重要事项情况说明</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（一）机关运行经费安排情况说明</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（二）政府采购预算安排情况说明</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（三）政府购买服务情况说明</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（四）国有资产占用情况说明</w:t>
      </w:r>
    </w:p>
    <w:p>
      <w:pPr>
        <w:adjustRightInd w:val="0"/>
        <w:snapToGrid w:val="0"/>
        <w:spacing w:line="56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（五）预算绩效目标情况说明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lang w:eastAsia="zh-CN"/>
        </w:rPr>
        <w:t>柳江区文物保护中心2026年</w:t>
      </w:r>
      <w:r>
        <w:rPr>
          <w:rFonts w:hint="eastAsia" w:ascii="黑体" w:eastAsia="黑体"/>
          <w:szCs w:val="32"/>
          <w:lang w:eastAsia="zh-CN"/>
        </w:rPr>
        <w:t>单位</w:t>
      </w:r>
      <w:r>
        <w:rPr>
          <w:rFonts w:hint="eastAsia" w:ascii="黑体" w:eastAsia="黑体"/>
          <w:szCs w:val="32"/>
        </w:rPr>
        <w:t>预算报表</w:t>
      </w:r>
    </w:p>
    <w:p>
      <w:pPr>
        <w:keepNext w:val="0"/>
        <w:keepLines w:val="0"/>
        <w:pageBreakBefore w:val="0"/>
        <w:kinsoku/>
        <w:wordWrap/>
        <w:overflowPunct/>
        <w:topLinePunct w:val="0"/>
        <w:autoSpaceDE/>
        <w:autoSpaceDN/>
        <w:bidi w:val="0"/>
        <w:adjustRightInd w:val="0"/>
        <w:snapToGrid w:val="0"/>
        <w:spacing w:line="240" w:lineRule="auto"/>
        <w:ind w:right="0" w:rightChars="0" w:firstLine="640" w:firstLineChars="200"/>
        <w:textAlignment w:val="auto"/>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keepNext w:val="0"/>
        <w:keepLines w:val="0"/>
        <w:pageBreakBefore w:val="0"/>
        <w:kinsoku/>
        <w:wordWrap/>
        <w:overflowPunct/>
        <w:topLinePunct w:val="0"/>
        <w:autoSpaceDE/>
        <w:autoSpaceDN/>
        <w:bidi w:val="0"/>
        <w:adjustRightInd w:val="0"/>
        <w:snapToGrid w:val="0"/>
        <w:spacing w:line="240" w:lineRule="auto"/>
        <w:ind w:right="0" w:rightChars="0" w:firstLine="640" w:firstLineChars="200"/>
        <w:textAlignment w:val="auto"/>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贯彻执行党中央、国务院和省市关于文物工作的路线、方针、政策及有关法律法规；负责全区的文物调查、征集、保护、抢救、发掘、研究、宣传、利用等工作；协调配合国家、省、市文物部门组织的文物保护、考古发掘等方面工作；会同有关单位对辖区内涉及的各级文物保护单位的建设项目，进行依法监管和前期考察。</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负责文物法律法规的宣传、文物日常安全巡查；负责全区文物保护单位的保护管理、文物保护单位的“四有”工作、区级以上文物保护单位的审核申报工作、组织开展文物资源的普查工作；负责馆藏文物及其资料的收藏、保管、陈列展览、宣传教育、研究等工作；负责全区工程文物调查勘探和考古发掘工作；会同有关部门监管文物市场、指导抢救、征集社会上珍贵、流散文物；协同有关部门查处文物违法、文物犯罪案件。</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黑体" w:hAnsi="宋体" w:eastAsia="黑体"/>
          <w:szCs w:val="32"/>
        </w:rPr>
      </w:pPr>
      <w:r>
        <w:rPr>
          <w:rFonts w:hint="eastAsia" w:ascii="黑体" w:hAnsi="宋体" w:eastAsia="黑体"/>
          <w:szCs w:val="32"/>
        </w:rPr>
        <w:t>二、机构设置情况</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lang w:eastAsia="zh-CN"/>
        </w:rPr>
        <w:t>（</w:t>
      </w:r>
      <w:r>
        <w:rPr>
          <w:rFonts w:hint="eastAsia" w:ascii="仿宋" w:hAnsi="仿宋" w:eastAsia="仿宋" w:cs="仿宋"/>
          <w:szCs w:val="32"/>
        </w:rPr>
        <w:t>一</w:t>
      </w:r>
      <w:r>
        <w:rPr>
          <w:rFonts w:hint="eastAsia" w:ascii="仿宋" w:hAnsi="仿宋" w:eastAsia="仿宋" w:cs="仿宋"/>
          <w:szCs w:val="32"/>
          <w:lang w:eastAsia="zh-CN"/>
        </w:rPr>
        <w:t>）</w:t>
      </w:r>
      <w:r>
        <w:rPr>
          <w:rFonts w:hint="eastAsia" w:ascii="仿宋" w:hAnsi="仿宋" w:eastAsia="仿宋" w:cs="仿宋"/>
          <w:szCs w:val="32"/>
        </w:rPr>
        <w:t xml:space="preserve"> 基本情况</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柳江区文物保护中心为财政全额拨款公益一类事业单位，隶属柳州市柳江区文化体育广电和旅游局管理。主要负责柳江区辖区内的文物保护、资源普查、学术研究、宣传教育及安全监管等公共文化服务职能。实行“综合管理+专业技术”的扁平化运行模式。</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lang w:eastAsia="zh-CN"/>
        </w:rPr>
        <w:t>（</w:t>
      </w:r>
      <w:r>
        <w:rPr>
          <w:rFonts w:hint="eastAsia" w:ascii="仿宋" w:hAnsi="仿宋" w:eastAsia="仿宋" w:cs="仿宋"/>
          <w:szCs w:val="32"/>
        </w:rPr>
        <w:t>二</w:t>
      </w:r>
      <w:r>
        <w:rPr>
          <w:rFonts w:hint="eastAsia" w:ascii="仿宋" w:hAnsi="仿宋" w:eastAsia="仿宋" w:cs="仿宋"/>
          <w:szCs w:val="32"/>
          <w:lang w:eastAsia="zh-CN"/>
        </w:rPr>
        <w:t>）</w:t>
      </w:r>
      <w:r>
        <w:rPr>
          <w:rFonts w:hint="eastAsia" w:ascii="仿宋" w:hAnsi="仿宋" w:eastAsia="仿宋" w:cs="仿宋"/>
          <w:szCs w:val="32"/>
        </w:rPr>
        <w:t>人员编制及领导职数</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核定事业编制5人，在职在编人员5人</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领导职数设主任1人，全面主持中心工作，负责统筹规划、人事财务、项目管理与对外协调。副主任1人，协助主任工作。</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lang w:eastAsia="zh-CN"/>
        </w:rPr>
        <w:t>（</w:t>
      </w:r>
      <w:r>
        <w:rPr>
          <w:rFonts w:hint="eastAsia" w:ascii="仿宋" w:hAnsi="仿宋" w:eastAsia="仿宋" w:cs="仿宋"/>
          <w:szCs w:val="32"/>
        </w:rPr>
        <w:t>三</w:t>
      </w:r>
      <w:r>
        <w:rPr>
          <w:rFonts w:hint="eastAsia" w:ascii="仿宋" w:hAnsi="仿宋" w:eastAsia="仿宋" w:cs="仿宋"/>
          <w:szCs w:val="32"/>
          <w:lang w:eastAsia="zh-CN"/>
        </w:rPr>
        <w:t>）</w:t>
      </w:r>
      <w:r>
        <w:rPr>
          <w:rFonts w:hint="eastAsia" w:ascii="仿宋" w:hAnsi="仿宋" w:eastAsia="仿宋" w:cs="仿宋"/>
          <w:szCs w:val="32"/>
        </w:rPr>
        <w:t xml:space="preserve"> 机构设置与岗位划分</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本单位不设独立内设科室，实行扁平化管理，根据业务流程与职责分工，下设综合管理、文物保护、安全巡查三个核心工作岗位，具体划分如下：</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 xml:space="preserve"> 1. 综合管理岗：主要负责政务工作，包括公文起草与流转、会议组织、人事劳资、财务管理、档案归档、法律法规宣传及单位后勤保障等。</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2. 文物保护岗：主要负责业务技术工作，包括不可移动文物的普查登记、申报评审（区级/市级/省级）、保护修缮方案编制与实施、文物本体日常保养、文物法律法规宣传等。</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3. 安全巡查岗：主要负责安全监管，包括对辖区内文物保护单位进行日常巡查、排查安全隐患、监督整改落实、处理突发安全事故。</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lang w:eastAsia="zh-CN"/>
        </w:rPr>
        <w:t>（</w:t>
      </w:r>
      <w:r>
        <w:rPr>
          <w:rFonts w:hint="eastAsia" w:ascii="仿宋" w:hAnsi="仿宋" w:eastAsia="仿宋" w:cs="仿宋"/>
          <w:szCs w:val="32"/>
        </w:rPr>
        <w:t>四</w:t>
      </w:r>
      <w:r>
        <w:rPr>
          <w:rFonts w:hint="eastAsia" w:ascii="仿宋" w:hAnsi="仿宋" w:eastAsia="仿宋" w:cs="仿宋"/>
          <w:szCs w:val="32"/>
          <w:lang w:eastAsia="zh-CN"/>
        </w:rPr>
        <w:t>）</w:t>
      </w:r>
      <w:r>
        <w:rPr>
          <w:rFonts w:hint="eastAsia" w:ascii="仿宋" w:hAnsi="仿宋" w:eastAsia="仿宋" w:cs="仿宋"/>
          <w:szCs w:val="32"/>
        </w:rPr>
        <w:t>主要职能</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1.宣传贯彻《中华人民共和国文物保护法》及相关法规政策。</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2.开展全区文物普查、调查、勘探与资源建档。</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3.负责不可移动文物保护、修缮、安全管理与日常巡查。</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4.开展文物征集、收藏、研究与活化利用。</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5.开展文保单位申报、展览宣教与社会参与动员。</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 w:hAnsi="仿宋" w:eastAsia="仿宋" w:cs="仿宋"/>
          <w:szCs w:val="32"/>
        </w:rPr>
      </w:pPr>
      <w:r>
        <w:rPr>
          <w:rFonts w:hint="eastAsia" w:ascii="仿宋" w:hAnsi="仿宋" w:eastAsia="仿宋" w:cs="仿宋"/>
          <w:szCs w:val="32"/>
        </w:rPr>
        <w:t>6.完成主管部门交办的其他文物保护工作任务。</w:t>
      </w:r>
    </w:p>
    <w:p>
      <w:pPr>
        <w:pStyle w:val="2"/>
        <w:rPr>
          <w:rFonts w:hint="eastAsia"/>
        </w:rPr>
      </w:pP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第二部分：</w:t>
      </w:r>
      <w:r>
        <w:rPr>
          <w:rFonts w:hint="eastAsia" w:ascii="黑体" w:eastAsia="黑体"/>
          <w:szCs w:val="32"/>
          <w:lang w:val="en-US" w:eastAsia="zh-CN"/>
        </w:rPr>
        <w:t>柳州市</w:t>
      </w:r>
      <w:r>
        <w:rPr>
          <w:rFonts w:hint="eastAsia" w:ascii="黑体" w:hAnsi="宋体" w:eastAsia="黑体"/>
          <w:szCs w:val="32"/>
          <w:lang w:eastAsia="zh-CN"/>
        </w:rPr>
        <w:t>柳江区文物保护中心2026年</w:t>
      </w:r>
      <w:r>
        <w:rPr>
          <w:rFonts w:hint="eastAsia" w:ascii="黑体" w:eastAsia="黑体"/>
          <w:szCs w:val="32"/>
          <w:lang w:eastAsia="zh-CN"/>
        </w:rPr>
        <w:t>单位</w:t>
      </w:r>
      <w:r>
        <w:rPr>
          <w:rFonts w:hint="eastAsia" w:ascii="黑体" w:eastAsia="黑体"/>
          <w:szCs w:val="32"/>
        </w:rPr>
        <w:t>预算情况说明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一、</w:t>
      </w:r>
      <w:r>
        <w:rPr>
          <w:rFonts w:hint="eastAsia" w:ascii="黑体" w:eastAsia="黑体"/>
          <w:szCs w:val="32"/>
          <w:lang w:eastAsia="zh-CN"/>
        </w:rPr>
        <w:t>单位</w:t>
      </w:r>
      <w:r>
        <w:rPr>
          <w:rFonts w:hint="eastAsia" w:ascii="黑体" w:eastAsia="黑体"/>
          <w:szCs w:val="32"/>
        </w:rPr>
        <w:t>收支总体情况说明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黑体" w:eastAsia="黑体"/>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101.40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101.40</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总收入较上年增长</w:t>
      </w:r>
      <w:r>
        <w:rPr>
          <w:rFonts w:hint="eastAsia" w:ascii="仿宋_GB2312"/>
          <w:sz w:val="32"/>
          <w:szCs w:val="32"/>
          <w:lang w:val="en-US" w:eastAsia="zh-CN"/>
        </w:rPr>
        <w:t>22.76%，主要原因是</w:t>
      </w:r>
      <w:r>
        <w:rPr>
          <w:rFonts w:hint="eastAsia" w:ascii="仿宋_GB2312"/>
          <w:szCs w:val="32"/>
          <w:lang w:val="en-US" w:eastAsia="zh-CN"/>
        </w:rPr>
        <w:t>2026年社保、公积金核算基数根据上年收入上调，五险一金及人员经费较上年有所增加</w:t>
      </w:r>
      <w:r>
        <w:rPr>
          <w:rFonts w:hint="eastAsia" w:ascii="仿宋_GB2312"/>
          <w:sz w:val="32"/>
          <w:szCs w:val="32"/>
          <w:lang w:val="en-US" w:eastAsia="zh-CN"/>
        </w:rPr>
        <w:t>。总支出</w:t>
      </w:r>
      <w:r>
        <w:rPr>
          <w:rFonts w:hint="eastAsia" w:ascii="仿宋_GB2312"/>
          <w:sz w:val="32"/>
          <w:szCs w:val="32"/>
          <w:lang w:eastAsia="zh-CN"/>
        </w:rPr>
        <w:t>较上年增长</w:t>
      </w:r>
      <w:r>
        <w:rPr>
          <w:rFonts w:hint="eastAsia" w:ascii="仿宋_GB2312"/>
          <w:sz w:val="32"/>
          <w:szCs w:val="32"/>
          <w:lang w:val="en-US" w:eastAsia="zh-CN"/>
        </w:rPr>
        <w:t>22.76%，主要原因是</w:t>
      </w:r>
      <w:r>
        <w:rPr>
          <w:rFonts w:hint="eastAsia" w:ascii="仿宋_GB2312"/>
          <w:szCs w:val="32"/>
          <w:lang w:val="en-US" w:eastAsia="zh-CN"/>
        </w:rPr>
        <w:t>2026年社保、公积金核算基数根据上年收入上调，五险一金及人员经费较上年有所增加</w:t>
      </w:r>
      <w:r>
        <w:rPr>
          <w:rFonts w:hint="eastAsia" w:ascii="仿宋_GB2312"/>
          <w:sz w:val="32"/>
          <w:szCs w:val="32"/>
          <w:lang w:val="en-US" w:eastAsia="zh-CN"/>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二、</w:t>
      </w:r>
      <w:r>
        <w:rPr>
          <w:rFonts w:hint="eastAsia" w:ascii="黑体" w:eastAsia="黑体"/>
          <w:szCs w:val="32"/>
          <w:lang w:eastAsia="zh-CN"/>
        </w:rPr>
        <w:t>单位</w:t>
      </w:r>
      <w:r>
        <w:rPr>
          <w:rFonts w:hint="eastAsia" w:ascii="黑体" w:eastAsia="黑体"/>
          <w:szCs w:val="32"/>
        </w:rPr>
        <w:t>收入总体情况说明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101.40</w:t>
      </w:r>
      <w:r>
        <w:rPr>
          <w:rFonts w:hint="eastAsia" w:ascii="仿宋_GB2312" w:eastAsia="仿宋_GB2312"/>
          <w:sz w:val="32"/>
          <w:szCs w:val="32"/>
          <w:highlight w:val="none"/>
        </w:rPr>
        <w:t>万元</w:t>
      </w:r>
      <w:r>
        <w:rPr>
          <w:rFonts w:hint="eastAsia" w:ascii="仿宋_GB2312"/>
          <w:sz w:val="32"/>
          <w:szCs w:val="32"/>
          <w:highlight w:val="none"/>
          <w:lang w:eastAsia="zh-CN"/>
        </w:rPr>
        <w:t>，较上年增长</w:t>
      </w:r>
      <w:r>
        <w:rPr>
          <w:rFonts w:hint="eastAsia" w:ascii="仿宋_GB2312"/>
          <w:sz w:val="32"/>
          <w:szCs w:val="32"/>
          <w:lang w:val="en-US" w:eastAsia="zh-CN"/>
        </w:rPr>
        <w:t>22.76%，主要原因是</w:t>
      </w:r>
      <w:r>
        <w:rPr>
          <w:rFonts w:hint="eastAsia" w:ascii="仿宋_GB2312"/>
          <w:szCs w:val="32"/>
          <w:lang w:val="en-US" w:eastAsia="zh-CN"/>
        </w:rPr>
        <w:t>2026年社保、公积金核算基数根据上年收入上调，五险一金及人员经费较上年有所增加</w:t>
      </w:r>
      <w:r>
        <w:rPr>
          <w:rFonts w:hint="eastAsia" w:ascii="仿宋_GB2312"/>
          <w:sz w:val="32"/>
          <w:szCs w:val="32"/>
          <w:lang w:val="en-US" w:eastAsia="zh-CN"/>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三、</w:t>
      </w:r>
      <w:r>
        <w:rPr>
          <w:rFonts w:hint="eastAsia" w:ascii="黑体" w:eastAsia="黑体"/>
          <w:szCs w:val="32"/>
          <w:lang w:eastAsia="zh-CN"/>
        </w:rPr>
        <w:t>单位</w:t>
      </w:r>
      <w:r>
        <w:rPr>
          <w:rFonts w:hint="eastAsia" w:ascii="黑体" w:eastAsia="黑体"/>
          <w:szCs w:val="32"/>
        </w:rPr>
        <w:t>支出总体情况说明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101.40</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22.76%，主要原因是</w:t>
      </w:r>
      <w:r>
        <w:rPr>
          <w:rFonts w:hint="eastAsia" w:ascii="仿宋_GB2312"/>
          <w:szCs w:val="32"/>
          <w:lang w:val="en-US" w:eastAsia="zh-CN"/>
        </w:rPr>
        <w:t>2026年社保、公积金核算基数根据上年收入上调，五险一金及人员经费较上年有所增加</w:t>
      </w:r>
      <w:r>
        <w:rPr>
          <w:rFonts w:hint="eastAsia" w:ascii="仿宋_GB2312"/>
          <w:sz w:val="32"/>
          <w:szCs w:val="32"/>
          <w:lang w:val="en-US" w:eastAsia="zh-CN"/>
        </w:rPr>
        <w:t>。主要包括：1.文化旅游体育与传媒支出60.96万元，占总支出的60.12%；2.社会保障和就业支出24.15万元，占总支出的23.82%；3.卫生健康支出5.85万元，占总支出的5.77%；4.城乡社区支出1.62万元，占总支出的1.60%；5.住房保障支出8.83万元，占总支出的8.71%</w:t>
      </w:r>
      <w:r>
        <w:rPr>
          <w:rFonts w:hint="eastAsia" w:ascii="仿宋_GB2312" w:hAnsi="宋体"/>
          <w:szCs w:val="32"/>
          <w:highlight w:val="none"/>
          <w:lang w:val="en-US" w:eastAsia="zh-CN"/>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四、财政拨款收支总体情况说明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highlight w:val="none"/>
          <w:lang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val="en-US" w:eastAsia="zh-CN"/>
        </w:rPr>
        <w:t>101.40</w:t>
      </w:r>
      <w:r>
        <w:rPr>
          <w:rFonts w:hint="eastAsia" w:ascii="仿宋_GB2312" w:eastAsia="仿宋_GB2312"/>
          <w:sz w:val="32"/>
          <w:szCs w:val="32"/>
          <w:lang w:val="en-US" w:eastAsia="zh-CN"/>
        </w:rPr>
        <w:t>万元，总支出</w:t>
      </w:r>
      <w:r>
        <w:rPr>
          <w:rFonts w:hint="eastAsia" w:ascii="仿宋_GB2312"/>
          <w:sz w:val="32"/>
          <w:szCs w:val="32"/>
          <w:lang w:val="en-US" w:eastAsia="zh-CN"/>
        </w:rPr>
        <w:t>101.40</w:t>
      </w:r>
      <w:r>
        <w:rPr>
          <w:rFonts w:hint="eastAsia" w:ascii="仿宋_GB2312" w:eastAsia="仿宋_GB2312"/>
          <w:sz w:val="32"/>
          <w:szCs w:val="32"/>
          <w:lang w:val="en-US" w:eastAsia="zh-CN"/>
        </w:rPr>
        <w:t>万元</w:t>
      </w:r>
      <w:r>
        <w:rPr>
          <w:rFonts w:hint="eastAsia" w:ascii="仿宋_GB2312" w:eastAsia="仿宋_GB2312"/>
          <w:sz w:val="32"/>
          <w:szCs w:val="32"/>
          <w:highlight w:val="none"/>
          <w:lang w:eastAsia="zh-CN"/>
        </w:rPr>
        <w:t>（不含财政拨款上年未列支结转收支数）</w:t>
      </w:r>
      <w:r>
        <w:rPr>
          <w:rFonts w:hint="eastAsia" w:ascii="仿宋_GB2312"/>
          <w:sz w:val="32"/>
          <w:szCs w:val="32"/>
          <w:highlight w:val="none"/>
          <w:lang w:eastAsia="zh-CN"/>
        </w:rPr>
        <w:t>。</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eastAsia="zh-CN"/>
        </w:rPr>
        <w:t>较上年增长</w:t>
      </w:r>
      <w:r>
        <w:rPr>
          <w:rFonts w:hint="eastAsia" w:ascii="仿宋_GB2312"/>
          <w:sz w:val="32"/>
          <w:szCs w:val="32"/>
          <w:lang w:val="en-US" w:eastAsia="zh-CN"/>
        </w:rPr>
        <w:t>22.76%，主要原因是</w:t>
      </w:r>
      <w:r>
        <w:rPr>
          <w:rFonts w:hint="eastAsia" w:ascii="仿宋_GB2312"/>
          <w:szCs w:val="32"/>
          <w:lang w:val="en-US" w:eastAsia="zh-CN"/>
        </w:rPr>
        <w:t>2026年社保、公积金核算基数根据上年收入上调，五险一金及人员经费较上年有所增加</w:t>
      </w:r>
      <w:r>
        <w:rPr>
          <w:rFonts w:hint="eastAsia" w:ascii="仿宋_GB2312"/>
          <w:sz w:val="32"/>
          <w:szCs w:val="32"/>
          <w:lang w:val="en-US" w:eastAsia="zh-CN"/>
        </w:rPr>
        <w:t>。</w:t>
      </w:r>
      <w:r>
        <w:rPr>
          <w:rFonts w:hint="eastAsia" w:ascii="仿宋_GB2312" w:eastAsia="仿宋_GB2312"/>
          <w:sz w:val="32"/>
          <w:szCs w:val="32"/>
        </w:rPr>
        <w:t>财政拨款</w:t>
      </w:r>
      <w:r>
        <w:rPr>
          <w:rFonts w:hint="eastAsia" w:ascii="仿宋_GB2312"/>
          <w:sz w:val="32"/>
          <w:szCs w:val="32"/>
          <w:lang w:val="en-US" w:eastAsia="zh-CN"/>
        </w:rPr>
        <w:t>总支出</w:t>
      </w:r>
      <w:r>
        <w:rPr>
          <w:rFonts w:hint="eastAsia" w:ascii="仿宋_GB2312"/>
          <w:sz w:val="32"/>
          <w:szCs w:val="32"/>
          <w:lang w:eastAsia="zh-CN"/>
        </w:rPr>
        <w:t>较上年增长</w:t>
      </w:r>
      <w:r>
        <w:rPr>
          <w:rFonts w:hint="eastAsia" w:ascii="仿宋_GB2312"/>
          <w:sz w:val="32"/>
          <w:szCs w:val="32"/>
          <w:lang w:val="en-US" w:eastAsia="zh-CN"/>
        </w:rPr>
        <w:t>22.76%，主要原因是</w:t>
      </w:r>
      <w:bookmarkStart w:id="0" w:name="OLE_LINK1"/>
      <w:r>
        <w:rPr>
          <w:rFonts w:hint="eastAsia" w:ascii="仿宋_GB2312"/>
          <w:szCs w:val="32"/>
          <w:lang w:val="en-US" w:eastAsia="zh-CN"/>
        </w:rPr>
        <w:t>2026年社保、公积金核算基数根据上年收入上调，五险一金及人员经费较上年有所增加</w:t>
      </w:r>
      <w:bookmarkEnd w:id="0"/>
      <w:r>
        <w:rPr>
          <w:rFonts w:hint="eastAsia" w:ascii="仿宋_GB2312"/>
          <w:sz w:val="32"/>
          <w:szCs w:val="32"/>
          <w:lang w:val="en-US" w:eastAsia="zh-CN"/>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五、一般公共预算支出情况说明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sz w:val="32"/>
          <w:szCs w:val="32"/>
          <w:lang w:eastAsia="zh-CN"/>
        </w:rPr>
      </w:pPr>
      <w:r>
        <w:rPr>
          <w:rFonts w:hint="eastAsia" w:ascii="仿宋_GB2312"/>
          <w:sz w:val="32"/>
          <w:szCs w:val="32"/>
          <w:lang w:eastAsia="zh-CN"/>
        </w:rPr>
        <w:t>我单位</w:t>
      </w:r>
      <w:r>
        <w:rPr>
          <w:rFonts w:hint="eastAsia" w:ascii="仿宋_GB2312" w:eastAsia="仿宋_GB2312"/>
          <w:sz w:val="32"/>
          <w:szCs w:val="32"/>
        </w:rPr>
        <w:t>一般公共预算支出</w:t>
      </w:r>
      <w:r>
        <w:rPr>
          <w:rFonts w:hint="eastAsia" w:ascii="仿宋_GB2312" w:eastAsia="仿宋_GB2312"/>
          <w:sz w:val="32"/>
          <w:szCs w:val="32"/>
          <w:lang w:eastAsia="zh-CN"/>
        </w:rPr>
        <w:t>共</w:t>
      </w:r>
      <w:r>
        <w:rPr>
          <w:rFonts w:hint="eastAsia" w:ascii="仿宋_GB2312"/>
          <w:sz w:val="32"/>
          <w:szCs w:val="32"/>
          <w:lang w:val="en-US" w:eastAsia="zh-CN"/>
        </w:rPr>
        <w:t>99.78</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23.22%，主要原因是</w:t>
      </w:r>
      <w:r>
        <w:rPr>
          <w:rFonts w:hint="eastAsia" w:ascii="仿宋_GB2312"/>
          <w:szCs w:val="32"/>
          <w:lang w:val="en-US" w:eastAsia="zh-CN"/>
        </w:rPr>
        <w:t>2026年社保、公积金核算基数根据上年收入上调，五险一金及人员经费较上年有所增加</w:t>
      </w:r>
      <w:r>
        <w:rPr>
          <w:rFonts w:hint="eastAsia" w:ascii="仿宋_GB2312"/>
          <w:szCs w:val="32"/>
          <w:lang w:eastAsia="zh-CN"/>
        </w:rPr>
        <w:t>。</w:t>
      </w:r>
      <w:r>
        <w:rPr>
          <w:rFonts w:hint="eastAsia" w:ascii="仿宋_GB2312"/>
          <w:sz w:val="32"/>
          <w:szCs w:val="32"/>
          <w:lang w:eastAsia="zh-CN"/>
        </w:rPr>
        <w:t>具体情况为：</w:t>
      </w:r>
    </w:p>
    <w:p>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（1）</w:t>
      </w:r>
      <w:r>
        <w:rPr>
          <w:rFonts w:hint="eastAsia" w:ascii="仿宋_GB2312" w:hAnsi="Times New Roman" w:cs="Times New Roman"/>
          <w:kern w:val="2"/>
          <w:sz w:val="32"/>
          <w:szCs w:val="32"/>
          <w:highlight w:val="none"/>
          <w:lang w:val="en-US" w:eastAsia="zh-CN"/>
        </w:rPr>
        <w:t>其他文物</w:t>
      </w:r>
      <w:r>
        <w:rPr>
          <w:rFonts w:hint="eastAsia" w:ascii="仿宋_GB2312" w:hAnsi="Times New Roman" w:eastAsia="仿宋_GB2312" w:cs="Times New Roman"/>
          <w:kern w:val="2"/>
          <w:sz w:val="32"/>
          <w:szCs w:val="32"/>
          <w:highlight w:val="none"/>
        </w:rPr>
        <w:t>类科目支出预算</w:t>
      </w:r>
      <w:r>
        <w:rPr>
          <w:rFonts w:hint="eastAsia" w:ascii="仿宋_GB2312" w:hAnsi="Times New Roman" w:cs="Times New Roman"/>
          <w:kern w:val="2"/>
          <w:sz w:val="32"/>
          <w:szCs w:val="32"/>
          <w:highlight w:val="none"/>
          <w:lang w:val="en-US" w:eastAsia="zh-CN"/>
        </w:rPr>
        <w:t>60.96</w:t>
      </w:r>
      <w:r>
        <w:rPr>
          <w:rFonts w:hint="eastAsia" w:ascii="仿宋_GB2312" w:hAnsi="Times New Roman" w:eastAsia="仿宋_GB2312" w:cs="Times New Roman"/>
          <w:kern w:val="2"/>
          <w:sz w:val="32"/>
          <w:szCs w:val="32"/>
          <w:highlight w:val="none"/>
        </w:rPr>
        <w:t>万元，占支出总预算</w:t>
      </w:r>
      <w:r>
        <w:rPr>
          <w:rFonts w:hint="eastAsia" w:ascii="仿宋_GB2312" w:hAnsi="Times New Roman" w:cs="Times New Roman"/>
          <w:kern w:val="2"/>
          <w:sz w:val="32"/>
          <w:szCs w:val="32"/>
          <w:highlight w:val="none"/>
          <w:lang w:val="en-US" w:eastAsia="zh-CN"/>
        </w:rPr>
        <w:t>的61.09</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4.93</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8.80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主要原因是2026年社保、公积金核算基数根据上年收入上调，人员经费较上年有所增加</w:t>
      </w:r>
      <w:r>
        <w:rPr>
          <w:rFonts w:hint="eastAsia" w:ascii="仿宋_GB2312" w:hAnsi="Times New Roman" w:eastAsia="仿宋_GB2312" w:cs="Times New Roman"/>
          <w:kern w:val="2"/>
          <w:sz w:val="32"/>
          <w:szCs w:val="32"/>
          <w:highlight w:val="none"/>
        </w:rPr>
        <w:t>；</w:t>
      </w:r>
    </w:p>
    <w:p>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（2）</w:t>
      </w:r>
      <w:r>
        <w:rPr>
          <w:rFonts w:hint="eastAsia" w:ascii="仿宋_GB2312" w:hAnsi="Times New Roman" w:cs="Times New Roman"/>
          <w:kern w:val="2"/>
          <w:sz w:val="32"/>
          <w:szCs w:val="32"/>
          <w:highlight w:val="none"/>
          <w:lang w:val="en-US" w:eastAsia="zh-CN"/>
        </w:rPr>
        <w:t>事业单位离退休</w:t>
      </w:r>
      <w:r>
        <w:rPr>
          <w:rFonts w:hint="eastAsia" w:ascii="仿宋_GB2312" w:hAnsi="Times New Roman" w:eastAsia="仿宋_GB2312" w:cs="Times New Roman"/>
          <w:kern w:val="2"/>
          <w:sz w:val="32"/>
          <w:szCs w:val="32"/>
          <w:highlight w:val="none"/>
        </w:rPr>
        <w:t>类科目支出预算</w:t>
      </w:r>
      <w:r>
        <w:rPr>
          <w:rFonts w:hint="eastAsia" w:ascii="仿宋_GB2312" w:hAnsi="Times New Roman" w:cs="Times New Roman"/>
          <w:kern w:val="2"/>
          <w:sz w:val="32"/>
          <w:szCs w:val="32"/>
          <w:highlight w:val="none"/>
          <w:lang w:val="en-US" w:eastAsia="zh-CN"/>
        </w:rPr>
        <w:t>6.49</w:t>
      </w:r>
      <w:r>
        <w:rPr>
          <w:rFonts w:hint="eastAsia" w:ascii="仿宋_GB2312" w:hAnsi="Times New Roman" w:eastAsia="仿宋_GB2312" w:cs="Times New Roman"/>
          <w:kern w:val="2"/>
          <w:sz w:val="32"/>
          <w:szCs w:val="32"/>
          <w:highlight w:val="none"/>
        </w:rPr>
        <w:t>万元, 占支出总预算</w:t>
      </w:r>
      <w:r>
        <w:rPr>
          <w:rFonts w:hint="eastAsia" w:ascii="仿宋_GB2312" w:hAnsi="Times New Roman" w:cs="Times New Roman"/>
          <w:kern w:val="2"/>
          <w:sz w:val="32"/>
          <w:szCs w:val="32"/>
          <w:highlight w:val="none"/>
          <w:lang w:val="en-US" w:eastAsia="zh-CN"/>
        </w:rPr>
        <w:t>的6.51</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1.72</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36.17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主要原因是2026年社保、公积金核算基数根据上年收入上调，人员经费较上年有所增加</w:t>
      </w:r>
      <w:r>
        <w:rPr>
          <w:rFonts w:hint="eastAsia" w:ascii="仿宋_GB2312" w:hAnsi="Times New Roman" w:eastAsia="仿宋_GB2312" w:cs="Times New Roman"/>
          <w:kern w:val="2"/>
          <w:sz w:val="32"/>
          <w:szCs w:val="32"/>
          <w:highlight w:val="none"/>
        </w:rPr>
        <w:t>；</w:t>
      </w:r>
    </w:p>
    <w:p>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3）</w:t>
      </w:r>
      <w:bookmarkStart w:id="1" w:name="OLE_LINK2"/>
      <w:r>
        <w:rPr>
          <w:rFonts w:hint="eastAsia" w:ascii="仿宋_GB2312" w:hAnsi="Times New Roman" w:cs="Times New Roman"/>
          <w:kern w:val="2"/>
          <w:sz w:val="32"/>
          <w:szCs w:val="32"/>
          <w:highlight w:val="none"/>
          <w:lang w:val="en-US" w:eastAsia="zh-CN"/>
        </w:rPr>
        <w:t>机关事业单位基本养老保险缴费</w:t>
      </w:r>
      <w:bookmarkEnd w:id="1"/>
      <w:r>
        <w:rPr>
          <w:rFonts w:hint="eastAsia" w:ascii="仿宋_GB2312" w:hAnsi="Times New Roman" w:cs="Times New Roman"/>
          <w:kern w:val="2"/>
          <w:sz w:val="32"/>
          <w:szCs w:val="32"/>
          <w:highlight w:val="none"/>
          <w:lang w:val="en-US" w:eastAsia="zh-CN"/>
        </w:rPr>
        <w:t>科目支出11.77万元，占支出总预算的11.80%，同比增加4.41万元，同比增长59.95%，主要原因是</w:t>
      </w:r>
      <w:r>
        <w:rPr>
          <w:rFonts w:hint="eastAsia" w:ascii="仿宋_GB2312"/>
          <w:sz w:val="32"/>
          <w:szCs w:val="32"/>
          <w:lang w:val="en-US" w:eastAsia="zh-CN"/>
        </w:rPr>
        <w:t>2026年社保、公积金核算基数根据上年收入上调，</w:t>
      </w:r>
      <w:r>
        <w:rPr>
          <w:rFonts w:hint="eastAsia" w:ascii="仿宋_GB2312" w:hAnsi="Times New Roman" w:cs="Times New Roman"/>
          <w:kern w:val="2"/>
          <w:sz w:val="32"/>
          <w:szCs w:val="32"/>
          <w:highlight w:val="none"/>
          <w:lang w:val="en-US" w:eastAsia="zh-CN"/>
        </w:rPr>
        <w:t>机关事业单位基本养老保险缴费</w:t>
      </w:r>
      <w:r>
        <w:rPr>
          <w:rFonts w:hint="eastAsia" w:ascii="仿宋_GB2312"/>
          <w:sz w:val="32"/>
          <w:szCs w:val="32"/>
          <w:lang w:val="en-US" w:eastAsia="zh-CN"/>
        </w:rPr>
        <w:t>较上年有所增加</w:t>
      </w:r>
      <w:r>
        <w:rPr>
          <w:rFonts w:hint="eastAsia" w:ascii="仿宋_GB2312" w:hAnsi="Times New Roman" w:eastAsia="仿宋_GB2312" w:cs="Times New Roman"/>
          <w:kern w:val="2"/>
          <w:sz w:val="32"/>
          <w:szCs w:val="32"/>
          <w:highlight w:val="none"/>
        </w:rPr>
        <w:t>；</w:t>
      </w:r>
    </w:p>
    <w:p>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4）机关事业单位职业年金缴费科目支出5.89万元，占支出总预算的5.90%，同比增加2.21万元，同比增长59.95%，主要原因是</w:t>
      </w:r>
      <w:r>
        <w:rPr>
          <w:rFonts w:hint="eastAsia" w:ascii="仿宋_GB2312"/>
          <w:sz w:val="32"/>
          <w:szCs w:val="32"/>
          <w:lang w:val="en-US" w:eastAsia="zh-CN"/>
        </w:rPr>
        <w:t>2026年社保、公积金核算基数根据上年收入上调，</w:t>
      </w:r>
      <w:r>
        <w:rPr>
          <w:rFonts w:hint="eastAsia" w:ascii="仿宋_GB2312" w:hAnsi="Times New Roman" w:cs="Times New Roman"/>
          <w:kern w:val="2"/>
          <w:sz w:val="32"/>
          <w:szCs w:val="32"/>
          <w:highlight w:val="none"/>
          <w:lang w:val="en-US" w:eastAsia="zh-CN"/>
        </w:rPr>
        <w:t>机关事业单位职业年金缴费</w:t>
      </w:r>
      <w:r>
        <w:rPr>
          <w:rFonts w:hint="eastAsia" w:ascii="仿宋_GB2312"/>
          <w:sz w:val="32"/>
          <w:szCs w:val="32"/>
          <w:lang w:val="en-US" w:eastAsia="zh-CN"/>
        </w:rPr>
        <w:t>较上年有所增加</w:t>
      </w:r>
      <w:r>
        <w:rPr>
          <w:rFonts w:hint="eastAsia" w:ascii="仿宋_GB2312" w:hAnsi="Times New Roman" w:eastAsia="仿宋_GB2312" w:cs="Times New Roman"/>
          <w:kern w:val="2"/>
          <w:sz w:val="32"/>
          <w:szCs w:val="32"/>
          <w:highlight w:val="none"/>
        </w:rPr>
        <w:t>；</w:t>
      </w:r>
    </w:p>
    <w:p>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5）事业单位医疗科目支出5.85万元，占支出总预算的5.86%，同比增加2.22万元，同比增长61.38%，主要原因是</w:t>
      </w:r>
      <w:r>
        <w:rPr>
          <w:rFonts w:hint="eastAsia" w:ascii="仿宋_GB2312"/>
          <w:sz w:val="32"/>
          <w:szCs w:val="32"/>
          <w:lang w:val="en-US" w:eastAsia="zh-CN"/>
        </w:rPr>
        <w:t>2026年社保、公积金核算基数根据上年收入上调，</w:t>
      </w:r>
      <w:r>
        <w:rPr>
          <w:rFonts w:hint="eastAsia" w:ascii="仿宋_GB2312" w:hAnsi="Times New Roman" w:cs="Times New Roman"/>
          <w:kern w:val="2"/>
          <w:sz w:val="32"/>
          <w:szCs w:val="32"/>
          <w:highlight w:val="none"/>
          <w:lang w:val="en-US" w:eastAsia="zh-CN"/>
        </w:rPr>
        <w:t>事业单位医疗</w:t>
      </w:r>
      <w:r>
        <w:rPr>
          <w:rFonts w:hint="eastAsia" w:ascii="仿宋_GB2312"/>
          <w:sz w:val="32"/>
          <w:szCs w:val="32"/>
          <w:lang w:val="en-US" w:eastAsia="zh-CN"/>
        </w:rPr>
        <w:t>较上年有所增加</w:t>
      </w:r>
      <w:r>
        <w:rPr>
          <w:rFonts w:hint="eastAsia" w:ascii="仿宋_GB2312" w:hAnsi="Times New Roman" w:eastAsia="仿宋_GB2312" w:cs="Times New Roman"/>
          <w:kern w:val="2"/>
          <w:sz w:val="32"/>
          <w:szCs w:val="32"/>
          <w:highlight w:val="none"/>
        </w:rPr>
        <w:t>；</w:t>
      </w:r>
    </w:p>
    <w:p>
      <w:pPr>
        <w:pStyle w:val="5"/>
        <w:keepNext w:val="0"/>
        <w:keepLines w:val="0"/>
        <w:pageBreakBefore w:val="0"/>
        <w:kinsoku/>
        <w:wordWrap/>
        <w:overflowPunct/>
        <w:topLinePunct w:val="0"/>
        <w:autoSpaceDE/>
        <w:autoSpaceDN/>
        <w:bidi w:val="0"/>
        <w:spacing w:before="0" w:beforeAutospacing="0" w:after="0" w:afterAutospacing="0"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hAnsi="Times New Roman" w:cs="Times New Roman"/>
          <w:kern w:val="2"/>
          <w:sz w:val="32"/>
          <w:szCs w:val="32"/>
          <w:highlight w:val="none"/>
          <w:lang w:eastAsia="zh-CN"/>
        </w:rPr>
        <w:t>（</w:t>
      </w:r>
      <w:r>
        <w:rPr>
          <w:rFonts w:hint="eastAsia" w:ascii="仿宋_GB2312" w:hAnsi="Times New Roman" w:cs="Times New Roman"/>
          <w:kern w:val="2"/>
          <w:sz w:val="32"/>
          <w:szCs w:val="32"/>
          <w:highlight w:val="none"/>
          <w:lang w:val="en-US" w:eastAsia="zh-CN"/>
        </w:rPr>
        <w:t>6）住房公积金科目支出8.83万元，占支出总预算的8.85%，同比增加3.31万元，同比增长59.95%，主要原因是</w:t>
      </w:r>
      <w:r>
        <w:rPr>
          <w:rFonts w:hint="eastAsia" w:ascii="仿宋_GB2312"/>
          <w:sz w:val="32"/>
          <w:szCs w:val="32"/>
          <w:lang w:val="en-US" w:eastAsia="zh-CN"/>
        </w:rPr>
        <w:t>2026年社保、公积金核算基数根据上年收入上调，</w:t>
      </w:r>
      <w:r>
        <w:rPr>
          <w:rFonts w:hint="eastAsia" w:ascii="仿宋_GB2312" w:hAnsi="Times New Roman" w:cs="Times New Roman"/>
          <w:kern w:val="2"/>
          <w:sz w:val="32"/>
          <w:szCs w:val="32"/>
          <w:highlight w:val="none"/>
          <w:lang w:val="en-US" w:eastAsia="zh-CN"/>
        </w:rPr>
        <w:t>住房公积金</w:t>
      </w:r>
      <w:r>
        <w:rPr>
          <w:rFonts w:hint="eastAsia" w:ascii="仿宋_GB2312"/>
          <w:sz w:val="32"/>
          <w:szCs w:val="32"/>
          <w:lang w:val="en-US" w:eastAsia="zh-CN"/>
        </w:rPr>
        <w:t>较上年有所增加。</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六、一般公共预算基本支出情况说明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sz w:val="32"/>
          <w:szCs w:val="32"/>
          <w:lang w:eastAsia="zh-CN"/>
        </w:rPr>
      </w:pPr>
      <w:r>
        <w:rPr>
          <w:rFonts w:hint="eastAsia" w:ascii="仿宋_GB2312"/>
          <w:sz w:val="32"/>
          <w:szCs w:val="32"/>
          <w:lang w:eastAsia="zh-CN"/>
        </w:rPr>
        <w:t>我单位</w:t>
      </w:r>
      <w:r>
        <w:rPr>
          <w:rFonts w:hint="eastAsia" w:ascii="仿宋_GB2312"/>
          <w:szCs w:val="32"/>
        </w:rPr>
        <w:t>一般公共预算基本支出</w:t>
      </w:r>
      <w:r>
        <w:rPr>
          <w:rFonts w:hint="eastAsia" w:ascii="仿宋_GB2312" w:eastAsia="仿宋_GB2312"/>
          <w:sz w:val="32"/>
          <w:szCs w:val="32"/>
          <w:lang w:eastAsia="zh-CN"/>
        </w:rPr>
        <w:t>共</w:t>
      </w:r>
      <w:r>
        <w:rPr>
          <w:rFonts w:hint="eastAsia" w:ascii="仿宋_GB2312"/>
          <w:sz w:val="32"/>
          <w:szCs w:val="32"/>
          <w:lang w:val="en-US" w:eastAsia="zh-CN"/>
        </w:rPr>
        <w:t>99.78</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23.22%，主要原因是2026年社保、公积金核算基数根据上年收入上调，</w:t>
      </w:r>
      <w:r>
        <w:rPr>
          <w:rFonts w:hint="eastAsia" w:ascii="仿宋_GB2312" w:cs="Times New Roman"/>
          <w:kern w:val="2"/>
          <w:sz w:val="32"/>
          <w:szCs w:val="32"/>
          <w:highlight w:val="none"/>
          <w:lang w:val="en-US" w:eastAsia="zh-CN"/>
        </w:rPr>
        <w:t>基本支出</w:t>
      </w:r>
      <w:r>
        <w:rPr>
          <w:rFonts w:hint="eastAsia" w:ascii="仿宋_GB2312"/>
          <w:sz w:val="32"/>
          <w:szCs w:val="32"/>
          <w:lang w:val="en-US" w:eastAsia="zh-CN"/>
        </w:rPr>
        <w:t>较上年有所增加</w:t>
      </w:r>
      <w:r>
        <w:rPr>
          <w:rFonts w:hint="eastAsia" w:ascii="仿宋_GB2312"/>
          <w:szCs w:val="32"/>
          <w:lang w:eastAsia="zh-CN"/>
        </w:rPr>
        <w:t>。</w:t>
      </w:r>
      <w:r>
        <w:rPr>
          <w:rFonts w:hint="eastAsia" w:ascii="仿宋_GB2312"/>
          <w:sz w:val="32"/>
          <w:szCs w:val="32"/>
          <w:lang w:eastAsia="zh-CN"/>
        </w:rPr>
        <w:t>具体情况为：</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基本工资28.31万元，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3.66</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14.87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主要原因是每年正常增资，基本工资较上年有小幅增加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 津贴补贴10.34万元，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0.14</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1.36</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主要原因是每年正常增资，津贴补贴较上年有小幅增加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奖金2.36万元，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0.31</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14.87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主要原因是2026年社保、公积金核算基数根据上年收入上调，奖金较上年有所增加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绩效工资11.33万元，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0.08</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0.70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主要原因是2026年社保、公积金核算基数根据上年收入上调，绩效工资较上年有所增加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机关事业单位基本养老保险缴费11.77万元，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4.41</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59.95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主要原因是2026年社保、公积金核算基数根据上年收入上调，机关事业单位基本养老保险缴费较上年有所增加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职业年金缴费5.89万元，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2.21</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59.95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主要原因是2026年社保、公积金核算基数根据上年收入上调，职业年金较上年有所增加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职工基本医疗保险缴费5.81万元，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2.22</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62.00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主要原因是2026年社保、公积金核算基数根据上年收入上调，职工基本医疗保险缴费较上年有所增加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其他社会保障缴费0.55万元，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0.19</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53.92</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主要原因是2026年社保、公积金核算基数根据上年收入上调，其他社会保障缴费较上年有所增加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 住房公积金8.83万元，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3.31</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59.95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主要原因是2026年社保、公积金核算基数根据上年收入上调，住房公积金较上年有所增加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bookmarkStart w:id="2" w:name="OLE_LINK3"/>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办公费0.63万元，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bookmarkEnd w:id="2"/>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印刷费0.15万元，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邮电费0.33万元，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差旅费1.80万元，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维修（护）费0.20万元，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会议费0.10万元，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培训费0.12万元，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公务接待费0.12万元，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工会经费1.47万元，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0.55</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59.95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主要原因是2026年社保、公积金核算基数根据上年收入上调，工会经费较上年有所增加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福利费0元，</w:t>
      </w:r>
      <w:r>
        <w:rPr>
          <w:rFonts w:hint="eastAsia" w:ascii="仿宋_GB2312" w:eastAsia="仿宋_GB2312"/>
          <w:sz w:val="32"/>
          <w:szCs w:val="32"/>
          <w:highlight w:val="none"/>
        </w:rPr>
        <w:t>同比</w:t>
      </w:r>
      <w:r>
        <w:rPr>
          <w:rFonts w:hint="eastAsia" w:ascii="仿宋_GB2312"/>
          <w:sz w:val="32"/>
          <w:szCs w:val="32"/>
          <w:highlight w:val="none"/>
          <w:lang w:val="en-US" w:eastAsia="zh-CN"/>
        </w:rPr>
        <w:t>减少0.15</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下降100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主要原因是2026年起不再列支福利费</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sz w:val="32"/>
          <w:szCs w:val="32"/>
          <w:lang w:val="en-US" w:eastAsia="zh-CN"/>
        </w:rPr>
      </w:pPr>
      <w:r>
        <w:rPr>
          <w:rFonts w:hint="eastAsia" w:ascii="仿宋_GB2312"/>
          <w:sz w:val="32"/>
          <w:szCs w:val="32"/>
          <w:lang w:val="en-US" w:eastAsia="zh-CN"/>
        </w:rPr>
        <w:t>商品和服务</w:t>
      </w:r>
      <w:r>
        <w:rPr>
          <w:rFonts w:hint="eastAsia" w:ascii="仿宋_GB2312"/>
          <w:sz w:val="32"/>
          <w:szCs w:val="32"/>
          <w:lang w:eastAsia="zh-CN"/>
        </w:rPr>
        <w:t>支出</w:t>
      </w:r>
      <w:r>
        <w:rPr>
          <w:rFonts w:hint="eastAsia" w:ascii="仿宋_GB2312"/>
          <w:sz w:val="32"/>
          <w:szCs w:val="32"/>
          <w:lang w:val="en-US" w:eastAsia="zh-CN"/>
        </w:rPr>
        <w:t xml:space="preserve"> - 其他商品和服务支出3.40万元，</w:t>
      </w:r>
      <w:r>
        <w:rPr>
          <w:rFonts w:hint="eastAsia" w:ascii="仿宋_GB2312" w:eastAsia="仿宋_GB2312"/>
          <w:sz w:val="32"/>
          <w:szCs w:val="32"/>
          <w:highlight w:val="none"/>
        </w:rPr>
        <w:t>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0.20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6.25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主要原因是2026年社保、公积金核算基数根据上年收入上调，其他商品和服务支出较上年有所增加</w:t>
      </w:r>
      <w:r>
        <w:rPr>
          <w:rFonts w:hint="eastAsia" w:ascii="仿宋_GB2312" w:hAnsi="Times New Roman" w:eastAsia="仿宋_GB2312" w:cs="Times New Roman"/>
          <w:kern w:val="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lang w:val="en-US" w:eastAsia="zh-CN"/>
        </w:rPr>
      </w:pPr>
      <w:r>
        <w:rPr>
          <w:rFonts w:hint="eastAsia" w:ascii="仿宋_GB2312"/>
          <w:sz w:val="32"/>
          <w:szCs w:val="32"/>
          <w:lang w:val="en-US" w:eastAsia="zh-CN"/>
        </w:rPr>
        <w:t>对个人和家庭的补助 - 退休费6.29万元，</w:t>
      </w:r>
      <w:r>
        <w:rPr>
          <w:rFonts w:hint="eastAsia" w:ascii="仿宋_GB2312" w:eastAsia="仿宋_GB2312"/>
          <w:sz w:val="32"/>
          <w:szCs w:val="32"/>
          <w:highlight w:val="none"/>
        </w:rPr>
        <w:t>同比</w:t>
      </w:r>
      <w:r>
        <w:rPr>
          <w:rFonts w:hint="eastAsia" w:ascii="仿宋_GB2312"/>
          <w:sz w:val="32"/>
          <w:szCs w:val="32"/>
          <w:highlight w:val="none"/>
          <w:lang w:val="en-US" w:eastAsia="zh-CN"/>
        </w:rPr>
        <w:t>持平</w:t>
      </w:r>
      <w:r>
        <w:rPr>
          <w:rFonts w:hint="eastAsia" w:ascii="仿宋_GB2312" w:cs="Times New Roman"/>
          <w:kern w:val="2"/>
          <w:sz w:val="32"/>
          <w:szCs w:val="32"/>
          <w:highlight w:val="none"/>
          <w:lang w:eastAsia="zh-CN"/>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七、一般公共预算“三公”经费支出情况说明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lang w:eastAsia="zh-CN"/>
        </w:rPr>
        <w:t>2026年</w:t>
      </w:r>
      <w:r>
        <w:rPr>
          <w:rFonts w:hint="eastAsia" w:ascii="仿宋_GB2312"/>
        </w:rPr>
        <w:t>一般公共预算</w:t>
      </w:r>
      <w:r>
        <w:rPr>
          <w:rFonts w:hint="eastAsia" w:ascii="仿宋_GB2312"/>
          <w:bCs/>
        </w:rPr>
        <w:t>安排的“三公”经费支出预算</w:t>
      </w:r>
      <w:r>
        <w:rPr>
          <w:rFonts w:hint="eastAsia" w:ascii="仿宋_GB2312"/>
          <w:bCs/>
          <w:lang w:val="en-US" w:eastAsia="zh-CN"/>
        </w:rPr>
        <w:t>0.12</w:t>
      </w:r>
      <w:r>
        <w:rPr>
          <w:rFonts w:hint="eastAsia" w:ascii="仿宋_GB2312"/>
          <w:bCs/>
        </w:rPr>
        <w:t>万元，同口径</w:t>
      </w:r>
      <w:r>
        <w:rPr>
          <w:rFonts w:hint="eastAsia" w:ascii="仿宋_GB2312"/>
          <w:bCs/>
          <w:lang w:val="en-US" w:eastAsia="zh-CN"/>
        </w:rPr>
        <w:t>与</w:t>
      </w:r>
      <w:r>
        <w:rPr>
          <w:rFonts w:hint="eastAsia" w:ascii="仿宋_GB2312"/>
          <w:bCs/>
        </w:rPr>
        <w:t>202</w:t>
      </w:r>
      <w:r>
        <w:rPr>
          <w:rFonts w:hint="eastAsia" w:ascii="仿宋_GB2312"/>
          <w:bCs/>
          <w:lang w:val="en-US" w:eastAsia="zh-CN"/>
        </w:rPr>
        <w:t>5</w:t>
      </w:r>
      <w:r>
        <w:rPr>
          <w:rFonts w:hint="eastAsia" w:ascii="仿宋_GB2312"/>
          <w:bCs/>
        </w:rPr>
        <w:t>年</w:t>
      </w:r>
      <w:r>
        <w:rPr>
          <w:rFonts w:hint="eastAsia" w:ascii="仿宋_GB2312"/>
          <w:bCs/>
          <w:lang w:val="en-US" w:eastAsia="zh-CN"/>
        </w:rPr>
        <w:t>持平</w:t>
      </w:r>
      <w:r>
        <w:rPr>
          <w:rFonts w:hint="eastAsia" w:ascii="仿宋_GB2312"/>
          <w:bCs/>
        </w:rPr>
        <w:t>，具体如下：</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Arial" w:cs="Arial"/>
          <w:kern w:val="0"/>
        </w:rPr>
      </w:pPr>
      <w:r>
        <w:rPr>
          <w:rFonts w:hint="eastAsia" w:ascii="仿宋_GB2312"/>
        </w:rPr>
        <w:t>1.因公出国（境）费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Arial" w:cs="Arial"/>
          <w:kern w:val="0"/>
        </w:rPr>
      </w:pPr>
      <w:r>
        <w:rPr>
          <w:rFonts w:hint="eastAsia" w:ascii="仿宋_GB2312"/>
        </w:rPr>
        <w:t>2.公务接待费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0.12</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宋体"/>
          <w:szCs w:val="32"/>
        </w:rPr>
      </w:pPr>
      <w:r>
        <w:rPr>
          <w:rFonts w:hint="eastAsia" w:ascii="仿宋_GB2312"/>
        </w:rPr>
        <w:t>3.公务用车购置及运行费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宋体"/>
          <w:szCs w:val="32"/>
          <w:lang w:eastAsia="zh-CN"/>
        </w:rPr>
        <w:t>，</w:t>
      </w:r>
      <w:r>
        <w:rPr>
          <w:rFonts w:hint="eastAsia" w:ascii="仿宋_GB2312" w:hAnsi="宋体"/>
          <w:szCs w:val="32"/>
        </w:rPr>
        <w:t>其中：</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Arial" w:cs="Arial"/>
          <w:kern w:val="0"/>
        </w:rPr>
      </w:pPr>
      <w:r>
        <w:rPr>
          <w:rFonts w:hint="eastAsia" w:ascii="仿宋_GB2312" w:hAnsi="宋体"/>
          <w:szCs w:val="32"/>
        </w:rPr>
        <w:t>公务用车购置费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Arial" w:cs="Arial"/>
          <w:kern w:val="0"/>
        </w:rPr>
      </w:pPr>
      <w:r>
        <w:rPr>
          <w:rFonts w:hint="eastAsia" w:ascii="仿宋_GB2312" w:hAnsi="宋体"/>
          <w:szCs w:val="32"/>
        </w:rPr>
        <w:t>公务用车运行维护费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rPr>
        <w:t>八、政府性基金预算支出情况说明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highlight w:val="yellow"/>
        </w:rPr>
      </w:pPr>
      <w:r>
        <w:rPr>
          <w:rFonts w:hint="eastAsia" w:ascii="仿宋_GB2312"/>
          <w:sz w:val="32"/>
          <w:szCs w:val="32"/>
          <w:lang w:eastAsia="zh-CN"/>
        </w:rPr>
        <w:t>我单位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1.62</w:t>
      </w:r>
      <w:r>
        <w:rPr>
          <w:rFonts w:hint="eastAsia" w:ascii="仿宋_GB2312" w:eastAsia="仿宋_GB2312"/>
          <w:sz w:val="32"/>
          <w:szCs w:val="32"/>
        </w:rPr>
        <w:t>万元，</w:t>
      </w:r>
      <w:r>
        <w:rPr>
          <w:rFonts w:hint="eastAsia" w:ascii="仿宋_GB2312"/>
          <w:sz w:val="32"/>
          <w:szCs w:val="32"/>
          <w:lang w:val="en-US" w:eastAsia="zh-CN"/>
        </w:rPr>
        <w:t>与上年持平</w:t>
      </w:r>
      <w:r>
        <w:rPr>
          <w:rFonts w:hint="eastAsia" w:ascii="仿宋_GB2312"/>
          <w:szCs w:val="32"/>
          <w:lang w:eastAsia="zh-CN"/>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highlight w:val="yellow"/>
          <w:lang w:eastAsia="zh-CN"/>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仿宋_GB2312"/>
          <w:sz w:val="32"/>
          <w:szCs w:val="32"/>
          <w:lang w:eastAsia="zh-CN"/>
        </w:rPr>
        <w:t>我单位</w:t>
      </w:r>
      <w:r>
        <w:rPr>
          <w:rFonts w:hint="eastAsia" w:ascii="仿宋_GB2312"/>
          <w:szCs w:val="32"/>
        </w:rPr>
        <w:t>国有资本经营预算支出</w:t>
      </w:r>
      <w:r>
        <w:rPr>
          <w:rFonts w:hint="eastAsia" w:ascii="仿宋_GB2312" w:eastAsia="仿宋_GB2312"/>
          <w:sz w:val="32"/>
          <w:szCs w:val="32"/>
          <w:lang w:eastAsia="zh-CN"/>
        </w:rPr>
        <w:t>共</w:t>
      </w:r>
      <w:r>
        <w:rPr>
          <w:rFonts w:hint="eastAsia" w:ascii="仿宋_GB2312"/>
          <w:sz w:val="32"/>
          <w:szCs w:val="32"/>
          <w:lang w:val="en-US" w:eastAsia="zh-CN"/>
        </w:rPr>
        <w:t>0</w:t>
      </w:r>
      <w:r>
        <w:rPr>
          <w:rFonts w:hint="eastAsia" w:ascii="仿宋_GB2312" w:eastAsia="仿宋_GB2312"/>
          <w:sz w:val="32"/>
          <w:szCs w:val="32"/>
        </w:rPr>
        <w:t>万元，</w:t>
      </w:r>
      <w:r>
        <w:rPr>
          <w:rFonts w:hint="eastAsia" w:ascii="仿宋_GB2312"/>
          <w:sz w:val="32"/>
          <w:szCs w:val="32"/>
          <w:lang w:val="en-US" w:eastAsia="zh-CN"/>
        </w:rPr>
        <w:t>2026年单位预算无国有资本经营预算</w:t>
      </w:r>
      <w:r>
        <w:rPr>
          <w:rFonts w:hint="eastAsia" w:ascii="仿宋_GB2312"/>
          <w:szCs w:val="32"/>
          <w:lang w:eastAsia="zh-CN"/>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r>
        <w:rPr>
          <w:rFonts w:hint="eastAsia" w:ascii="黑体" w:eastAsia="黑体"/>
          <w:szCs w:val="32"/>
          <w:lang w:eastAsia="zh-CN"/>
        </w:rPr>
        <w:t>十</w:t>
      </w:r>
      <w:r>
        <w:rPr>
          <w:rFonts w:hint="eastAsia" w:ascii="黑体" w:eastAsia="黑体"/>
          <w:szCs w:val="32"/>
        </w:rPr>
        <w:t>、其他重要事项情况说明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单位</w:t>
      </w:r>
      <w:r>
        <w:rPr>
          <w:rFonts w:hint="eastAsia" w:ascii="楷体_GB2312" w:hAnsi="楷体_GB2312" w:eastAsia="楷体_GB2312" w:cs="楷体_GB2312"/>
          <w:szCs w:val="32"/>
        </w:rPr>
        <w:t>运行经费安排情况说明</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sz w:val="32"/>
          <w:szCs w:val="32"/>
          <w:highlight w:val="none"/>
          <w:lang w:eastAsia="zh-CN"/>
        </w:rPr>
        <w:t>单位</w:t>
      </w:r>
      <w:r>
        <w:rPr>
          <w:rFonts w:hint="eastAsia" w:ascii="仿宋_GB2312" w:eastAsia="仿宋_GB2312"/>
          <w:sz w:val="32"/>
          <w:szCs w:val="32"/>
          <w:highlight w:val="none"/>
        </w:rPr>
        <w:t>的运行经费预算共</w:t>
      </w:r>
      <w:r>
        <w:rPr>
          <w:rFonts w:hint="eastAsia" w:ascii="仿宋_GB2312"/>
          <w:sz w:val="32"/>
          <w:szCs w:val="32"/>
          <w:highlight w:val="none"/>
          <w:lang w:val="en-US" w:eastAsia="zh-CN"/>
        </w:rPr>
        <w:t>8.31</w:t>
      </w:r>
      <w:r>
        <w:rPr>
          <w:rFonts w:hint="eastAsia" w:ascii="仿宋_GB2312" w:eastAsia="仿宋_GB2312"/>
          <w:sz w:val="32"/>
          <w:szCs w:val="32"/>
          <w:highlight w:val="none"/>
        </w:rPr>
        <w:t>万元，同比增</w:t>
      </w:r>
      <w:r>
        <w:rPr>
          <w:rFonts w:hint="eastAsia" w:ascii="仿宋_GB2312" w:hAnsi="Times New Roman" w:cs="Times New Roman"/>
          <w:kern w:val="2"/>
          <w:sz w:val="32"/>
          <w:szCs w:val="32"/>
          <w:highlight w:val="none"/>
          <w:lang w:val="en-US" w:eastAsia="zh-CN"/>
        </w:rPr>
        <w:t>加</w:t>
      </w:r>
      <w:r>
        <w:rPr>
          <w:rFonts w:hint="eastAsia" w:ascii="仿宋_GB2312"/>
          <w:sz w:val="32"/>
          <w:szCs w:val="32"/>
          <w:highlight w:val="none"/>
          <w:lang w:val="en-US" w:eastAsia="zh-CN"/>
        </w:rPr>
        <w:t>0.60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7.80</w:t>
      </w:r>
      <w:r>
        <w:rPr>
          <w:rFonts w:hint="eastAsia" w:ascii="仿宋_GB2312" w:eastAsia="仿宋_GB2312"/>
          <w:sz w:val="32"/>
          <w:szCs w:val="32"/>
          <w:highlight w:val="none"/>
        </w:rPr>
        <w:t>%</w:t>
      </w:r>
      <w:r>
        <w:rPr>
          <w:rFonts w:hint="eastAsia" w:ascii="仿宋_GB2312"/>
          <w:sz w:val="32"/>
          <w:szCs w:val="32"/>
          <w:highlight w:val="none"/>
          <w:lang w:eastAsia="zh-CN"/>
        </w:rPr>
        <w:t>，主要原因是</w:t>
      </w:r>
      <w:r>
        <w:rPr>
          <w:rFonts w:hint="eastAsia" w:ascii="仿宋_GB2312"/>
          <w:sz w:val="32"/>
          <w:szCs w:val="32"/>
          <w:lang w:val="en-US" w:eastAsia="zh-CN"/>
        </w:rPr>
        <w:t>2026年社保、公积金核算基数根据上年收入上调，年初预算按人数按比例增加</w:t>
      </w:r>
      <w:r>
        <w:rPr>
          <w:rFonts w:hint="eastAsia" w:ascii="仿宋_GB2312" w:eastAsia="仿宋_GB2312"/>
          <w:sz w:val="32"/>
          <w:szCs w:val="32"/>
          <w:highlight w:val="none"/>
        </w:rPr>
        <w:t>。主要包括办公费、印刷费、邮电费、差旅费、维修（护）费、会议费、培训费、公务接待费、</w:t>
      </w:r>
      <w:r>
        <w:rPr>
          <w:rFonts w:hint="eastAsia" w:ascii="仿宋_GB2312"/>
          <w:sz w:val="32"/>
          <w:szCs w:val="32"/>
          <w:highlight w:val="none"/>
          <w:lang w:val="en-US" w:eastAsia="zh-CN"/>
        </w:rPr>
        <w:t>工会经费</w:t>
      </w:r>
      <w:r>
        <w:rPr>
          <w:rFonts w:hint="eastAsia" w:ascii="仿宋_GB2312" w:eastAsia="仿宋_GB2312"/>
          <w:sz w:val="32"/>
          <w:szCs w:val="32"/>
          <w:highlight w:val="none"/>
        </w:rPr>
        <w:t>及其他商品和服务支出。</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hAnsi="宋体"/>
          <w:szCs w:val="32"/>
        </w:rPr>
      </w:pPr>
      <w:r>
        <w:rPr>
          <w:rFonts w:hint="eastAsia" w:ascii="仿宋_GB2312" w:hAnsi="宋体"/>
          <w:szCs w:val="32"/>
          <w:highlight w:val="none"/>
        </w:rPr>
        <w:t>我</w:t>
      </w:r>
      <w:r>
        <w:rPr>
          <w:rFonts w:hint="eastAsia" w:ascii="仿宋_GB2312" w:hAnsi="宋体"/>
          <w:szCs w:val="32"/>
          <w:lang w:eastAsia="zh-CN"/>
        </w:rPr>
        <w:t>单位2026年</w:t>
      </w:r>
      <w:r>
        <w:rPr>
          <w:rFonts w:hint="eastAsia" w:ascii="仿宋_GB2312" w:hAnsi="宋体"/>
          <w:szCs w:val="32"/>
        </w:rPr>
        <w:t>政府采购预算总金额</w:t>
      </w:r>
      <w:r>
        <w:rPr>
          <w:rFonts w:hint="eastAsia" w:ascii="仿宋_GB2312" w:hAnsi="宋体"/>
          <w:szCs w:val="32"/>
          <w:lang w:val="en-US" w:eastAsia="zh-CN"/>
        </w:rPr>
        <w:t>0</w:t>
      </w:r>
      <w:r>
        <w:rPr>
          <w:rFonts w:hint="eastAsia" w:ascii="仿宋_GB2312" w:hAnsi="宋体"/>
          <w:szCs w:val="32"/>
        </w:rPr>
        <w:t>万元。其中：货物类采购</w:t>
      </w:r>
      <w:r>
        <w:rPr>
          <w:rFonts w:hint="eastAsia" w:ascii="仿宋_GB2312" w:hAnsi="宋体"/>
          <w:szCs w:val="32"/>
          <w:lang w:val="en-US" w:eastAsia="zh-CN"/>
        </w:rPr>
        <w:t>0</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0</w:t>
      </w:r>
      <w:r>
        <w:rPr>
          <w:rFonts w:hint="eastAsia" w:ascii="仿宋_GB2312" w:hAnsi="宋体"/>
          <w:szCs w:val="32"/>
        </w:rPr>
        <w:t>万元。</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（三）政府购买服务情况说明</w:t>
      </w:r>
    </w:p>
    <w:p>
      <w:pPr>
        <w:keepNext w:val="0"/>
        <w:keepLines w:val="0"/>
        <w:pageBreakBefore w:val="0"/>
        <w:numPr>
          <w:ilvl w:val="0"/>
          <w:numId w:val="0"/>
        </w:numPr>
        <w:kinsoku/>
        <w:wordWrap/>
        <w:overflowPunct/>
        <w:topLinePunct w:val="0"/>
        <w:autoSpaceDE/>
        <w:autoSpaceDN/>
        <w:bidi w:val="0"/>
        <w:spacing w:line="240" w:lineRule="auto"/>
        <w:ind w:right="0" w:rightChars="0" w:firstLine="640" w:firstLineChars="200"/>
        <w:textAlignment w:val="auto"/>
        <w:rPr>
          <w:rFonts w:hint="eastAsia" w:ascii="仿宋_GB2312" w:hAnsi="宋体"/>
          <w:szCs w:val="32"/>
          <w:highlight w:val="none"/>
          <w:u w:val="single"/>
          <w:lang w:val="en-US" w:eastAsia="zh-CN"/>
        </w:rPr>
      </w:pP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eastAsia="仿宋_GB2312"/>
          <w:sz w:val="32"/>
          <w:szCs w:val="32"/>
          <w:highlight w:val="none"/>
          <w:lang w:eastAsia="zh-CN"/>
        </w:rPr>
        <w:t>单位的</w:t>
      </w:r>
      <w:r>
        <w:rPr>
          <w:rFonts w:hint="eastAsia" w:ascii="仿宋_GB2312" w:eastAsia="仿宋_GB2312"/>
          <w:sz w:val="32"/>
          <w:szCs w:val="32"/>
          <w:highlight w:val="none"/>
        </w:rPr>
        <w:t>政府</w:t>
      </w:r>
      <w:r>
        <w:rPr>
          <w:rFonts w:hint="eastAsia" w:ascii="仿宋_GB2312" w:eastAsia="仿宋_GB2312"/>
          <w:sz w:val="32"/>
          <w:szCs w:val="32"/>
          <w:highlight w:val="none"/>
          <w:lang w:eastAsia="zh-CN"/>
        </w:rPr>
        <w:t>购买</w:t>
      </w:r>
      <w:r>
        <w:rPr>
          <w:rFonts w:hint="eastAsia" w:ascii="仿宋_GB2312" w:eastAsia="仿宋_GB2312"/>
          <w:sz w:val="32"/>
          <w:szCs w:val="32"/>
          <w:highlight w:val="none"/>
        </w:rPr>
        <w:t>预算共</w:t>
      </w:r>
      <w:r>
        <w:rPr>
          <w:rFonts w:hint="eastAsia" w:ascii="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sz w:val="32"/>
          <w:szCs w:val="32"/>
          <w:highlight w:val="none"/>
          <w:lang w:val="en-US" w:eastAsia="zh-CN"/>
        </w:rPr>
        <w:t>与上年持平</w:t>
      </w:r>
      <w:r>
        <w:rPr>
          <w:rFonts w:hint="eastAsia" w:ascii="仿宋_GB2312" w:eastAsia="仿宋_GB2312"/>
          <w:sz w:val="32"/>
          <w:szCs w:val="32"/>
          <w:highlight w:val="none"/>
        </w:rPr>
        <w:t>。</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楷体_GB2312" w:hAnsi="楷体_GB2312" w:eastAsia="楷体_GB2312" w:cs="楷体_GB2312"/>
          <w:kern w:val="0"/>
        </w:rPr>
      </w:pPr>
      <w:r>
        <w:rPr>
          <w:rFonts w:hint="eastAsia" w:ascii="楷体_GB2312" w:hAnsi="楷体_GB2312" w:eastAsia="楷体_GB2312" w:cs="楷体_GB2312"/>
          <w:kern w:val="0"/>
        </w:rPr>
        <w:t>（</w:t>
      </w:r>
      <w:r>
        <w:rPr>
          <w:rFonts w:hint="eastAsia" w:ascii="楷体_GB2312" w:hAnsi="楷体_GB2312" w:eastAsia="楷体_GB2312" w:cs="楷体_GB2312"/>
          <w:kern w:val="0"/>
          <w:lang w:eastAsia="zh-CN"/>
        </w:rPr>
        <w:t>四</w:t>
      </w:r>
      <w:r>
        <w:rPr>
          <w:rFonts w:hint="eastAsia" w:ascii="楷体_GB2312" w:hAnsi="楷体_GB2312" w:eastAsia="楷体_GB2312" w:cs="楷体_GB2312"/>
          <w:kern w:val="0"/>
        </w:rPr>
        <w:t>）国有资产占用情况说明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hAnsi="Arial" w:eastAsia="黑体" w:cs="Arial"/>
          <w:b w:val="0"/>
          <w:bCs w:val="0"/>
          <w:kern w:val="0"/>
          <w:u w:val="none"/>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单位2026年</w:t>
      </w:r>
      <w:r>
        <w:rPr>
          <w:rFonts w:hint="eastAsia" w:ascii="仿宋_GB2312" w:hAnsi="宋体"/>
          <w:b w:val="0"/>
          <w:bCs w:val="0"/>
          <w:szCs w:val="32"/>
          <w:highlight w:val="none"/>
          <w:u w:val="none"/>
        </w:rPr>
        <w:t>无国有资产占用相关情况。</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五</w:t>
      </w:r>
      <w:r>
        <w:rPr>
          <w:rFonts w:hint="eastAsia" w:ascii="楷体_GB2312" w:hAnsi="楷体_GB2312" w:eastAsia="楷体_GB2312" w:cs="楷体_GB2312"/>
          <w:szCs w:val="32"/>
        </w:rPr>
        <w:t>）预算绩效目标情况说明</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lang w:val="en-US" w:eastAsia="zh-CN"/>
        </w:rPr>
      </w:pPr>
      <w:r>
        <w:rPr>
          <w:rFonts w:hint="eastAsia" w:ascii="仿宋_GB2312"/>
          <w:sz w:val="32"/>
          <w:szCs w:val="32"/>
          <w:lang w:val="en-US" w:eastAsia="zh-CN"/>
        </w:rPr>
        <w:t>1.我单位2026年</w:t>
      </w:r>
      <w:r>
        <w:rPr>
          <w:rFonts w:hint="eastAsia" w:ascii="仿宋_GB2312" w:eastAsia="仿宋_GB2312"/>
          <w:sz w:val="32"/>
          <w:szCs w:val="32"/>
          <w:lang w:val="en-US" w:eastAsia="zh-CN"/>
        </w:rPr>
        <w:t>所有项目支出全面实施绩效目标管理，涉及本级项目</w:t>
      </w:r>
      <w:r>
        <w:rPr>
          <w:rFonts w:hint="eastAsia" w:ascii="仿宋_GB2312"/>
          <w:sz w:val="32"/>
          <w:szCs w:val="32"/>
          <w:lang w:val="en-US" w:eastAsia="zh-CN"/>
        </w:rPr>
        <w:t>1</w:t>
      </w:r>
      <w:r>
        <w:rPr>
          <w:rFonts w:hint="eastAsia" w:ascii="仿宋_GB2312" w:eastAsia="仿宋_GB2312"/>
          <w:sz w:val="32"/>
          <w:szCs w:val="32"/>
          <w:lang w:val="en-US" w:eastAsia="zh-CN"/>
        </w:rPr>
        <w:t>个，预算资金</w:t>
      </w:r>
      <w:r>
        <w:rPr>
          <w:rFonts w:hint="eastAsia" w:ascii="仿宋_GB2312"/>
          <w:sz w:val="32"/>
          <w:szCs w:val="32"/>
          <w:lang w:val="en-US" w:eastAsia="zh-CN"/>
        </w:rPr>
        <w:t>1.62</w:t>
      </w:r>
      <w:r>
        <w:rPr>
          <w:rFonts w:hint="eastAsia" w:ascii="仿宋_GB2312" w:eastAsia="仿宋_GB2312"/>
          <w:sz w:val="32"/>
          <w:szCs w:val="32"/>
          <w:lang w:val="en-US" w:eastAsia="zh-CN"/>
        </w:rPr>
        <w:t>万元。绩效目标情况详见报表（涉密项目等除外）。</w:t>
      </w: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default" w:ascii="仿宋_GB2312" w:eastAsia="仿宋_GB2312"/>
          <w:sz w:val="32"/>
          <w:szCs w:val="32"/>
          <w:lang w:val="en-US" w:eastAsia="zh-CN"/>
        </w:rPr>
      </w:pPr>
      <w:r>
        <w:rPr>
          <w:rFonts w:hint="eastAsia" w:ascii="仿宋_GB2312"/>
          <w:sz w:val="32"/>
          <w:szCs w:val="32"/>
          <w:lang w:val="en-US" w:eastAsia="zh-CN"/>
        </w:rPr>
        <w:t>2.重点项目预算绩效目标说明。</w:t>
      </w:r>
    </w:p>
    <w:tbl>
      <w:tblPr>
        <w:tblW w:w="10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68"/>
        <w:gridCol w:w="1116"/>
        <w:gridCol w:w="1476"/>
        <w:gridCol w:w="2916"/>
        <w:gridCol w:w="3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jc w:val="center"/>
        </w:trPr>
        <w:tc>
          <w:tcPr>
            <w:tcW w:w="10680" w:type="dxa"/>
            <w:gridSpan w:val="5"/>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2026年度部门预算柳江区项目支出绩效目标申报表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80" w:type="dxa"/>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综合业务经费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项目编码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450206230412200008657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柳州市柳江区文物保护中心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项目主管单位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122-柳州市柳江区文化体育广电和旅游局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2-阶段性项目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资金来源</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其中：一般公共预算拨款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其中：上级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本级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政府性基金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国有资本经营预算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730" w:type="dxa"/>
            <w:gridSpan w:val="2"/>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2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年度绩效目标</w:t>
            </w:r>
          </w:p>
        </w:tc>
        <w:tc>
          <w:tcPr>
            <w:tcW w:w="9411"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开展各项文物宣传、维护工作，让公众近距离接触和了解文物，增加对文物保护的兴趣和意识。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项目年度绩效目标衡量指标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指标内容</w:t>
            </w:r>
          </w:p>
        </w:tc>
        <w:tc>
          <w:tcPr>
            <w:tcW w:w="3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完成文物宣传、维护工作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文物宣传、维护覆盖率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2026年底前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文物维护成本</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维护柳江文物，提升文物保护意识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有所提升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w:t>
            </w:r>
          </w:p>
        </w:tc>
      </w:tr>
    </w:tbl>
    <w:p>
      <w:pPr>
        <w:pStyle w:val="2"/>
        <w:rPr>
          <w:rFonts w:hint="eastAsia" w:ascii="仿宋_GB2312" w:hAnsi="宋体"/>
          <w:szCs w:val="32"/>
          <w:highlight w:val="none"/>
          <w:lang w:val="en-US" w:eastAsia="zh-CN"/>
        </w:rPr>
      </w:pPr>
    </w:p>
    <w:p>
      <w:pPr>
        <w:pStyle w:val="2"/>
        <w:rPr>
          <w:rFonts w:hint="eastAsia" w:ascii="仿宋_GB2312" w:hAnsi="宋体"/>
          <w:szCs w:val="32"/>
          <w:highlight w:val="none"/>
          <w:lang w:val="en-US" w:eastAsia="zh-CN"/>
        </w:rPr>
      </w:pPr>
    </w:p>
    <w:p>
      <w:pPr>
        <w:pStyle w:val="2"/>
        <w:rPr>
          <w:rFonts w:hint="eastAsia" w:ascii="仿宋_GB2312" w:hAnsi="宋体"/>
          <w:szCs w:val="32"/>
          <w:highlight w:val="none"/>
          <w:lang w:val="en-US" w:eastAsia="zh-CN"/>
        </w:rPr>
      </w:pPr>
    </w:p>
    <w:p>
      <w:pPr>
        <w:pStyle w:val="2"/>
        <w:rPr>
          <w:rFonts w:hint="eastAsia" w:ascii="仿宋_GB2312" w:hAnsi="宋体"/>
          <w:szCs w:val="32"/>
          <w:highlight w:val="none"/>
          <w:lang w:val="en-US" w:eastAsia="zh-CN"/>
        </w:rPr>
      </w:pPr>
    </w:p>
    <w:p>
      <w:pPr>
        <w:pStyle w:val="2"/>
        <w:rPr>
          <w:rFonts w:hint="eastAsia" w:ascii="仿宋_GB2312" w:hAnsi="宋体"/>
          <w:szCs w:val="32"/>
          <w:highlight w:val="none"/>
          <w:lang w:val="en-US" w:eastAsia="zh-CN"/>
        </w:rPr>
      </w:pPr>
    </w:p>
    <w:p>
      <w:pPr>
        <w:pStyle w:val="2"/>
        <w:rPr>
          <w:rFonts w:hint="eastAsia" w:ascii="仿宋_GB2312" w:hAnsi="宋体"/>
          <w:szCs w:val="32"/>
          <w:highlight w:val="none"/>
          <w:lang w:val="en-US" w:eastAsia="zh-CN"/>
        </w:rPr>
      </w:pPr>
    </w:p>
    <w:p>
      <w:pPr>
        <w:keepNext w:val="0"/>
        <w:keepLines w:val="0"/>
        <w:pageBreakBefore w:val="0"/>
        <w:tabs>
          <w:tab w:val="center" w:pos="4475"/>
        </w:tabs>
        <w:kinsoku/>
        <w:wordWrap/>
        <w:overflowPunct/>
        <w:topLinePunct w:val="0"/>
        <w:autoSpaceDE/>
        <w:autoSpaceDN/>
        <w:bidi w:val="0"/>
        <w:spacing w:line="240" w:lineRule="auto"/>
        <w:ind w:right="0" w:rightChars="0" w:firstLine="640" w:firstLineChars="200"/>
        <w:textAlignment w:val="auto"/>
        <w:rPr>
          <w:rFonts w:hint="eastAsia" w:ascii="黑体" w:eastAsia="黑体"/>
          <w:szCs w:val="32"/>
        </w:rPr>
      </w:pPr>
      <w:bookmarkStart w:id="3" w:name="_GoBack"/>
      <w:bookmarkEnd w:id="3"/>
      <w:r>
        <w:rPr>
          <w:rFonts w:hint="eastAsia" w:ascii="黑体" w:eastAsia="黑体"/>
          <w:szCs w:val="32"/>
        </w:rPr>
        <w:t>第三部分：名词解释</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rPr>
        <w:t>五、基本支出：</w:t>
      </w:r>
      <w:r>
        <w:rPr>
          <w:rFonts w:hint="eastAsia" w:ascii="仿宋_GB2312" w:eastAsia="仿宋_GB2312"/>
          <w:sz w:val="32"/>
          <w:szCs w:val="32"/>
          <w:highlight w:val="none"/>
        </w:rPr>
        <w:t>指为保障机构正常运转、完成日常工作任务而发生的人员支出和公用支出。</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六</w:t>
      </w:r>
      <w:r>
        <w:rPr>
          <w:rFonts w:hint="eastAsia" w:ascii="黑体" w:eastAsia="黑体"/>
          <w:sz w:val="32"/>
          <w:szCs w:val="32"/>
          <w:highlight w:val="none"/>
        </w:rPr>
        <w:t>、项目支出：</w:t>
      </w:r>
      <w:r>
        <w:rPr>
          <w:rFonts w:hint="eastAsia" w:ascii="仿宋_GB2312" w:eastAsia="仿宋_GB2312"/>
          <w:sz w:val="32"/>
          <w:szCs w:val="32"/>
          <w:highlight w:val="none"/>
        </w:rPr>
        <w:t xml:space="preserve">指在基本支出之外为完成特定行政任务和事业发展目标所发生的支出。  </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七、</w:t>
      </w:r>
      <w:r>
        <w:rPr>
          <w:rFonts w:hint="eastAsia" w:ascii="黑体" w:eastAsia="黑体"/>
          <w:sz w:val="32"/>
          <w:szCs w:val="32"/>
          <w:highlight w:val="none"/>
        </w:rPr>
        <w:t>“三公”经费：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八</w:t>
      </w:r>
      <w:r>
        <w:rPr>
          <w:rFonts w:hint="eastAsia" w:ascii="黑体" w:eastAsia="黑体"/>
          <w:sz w:val="32"/>
          <w:szCs w:val="32"/>
          <w:highlight w:val="none"/>
        </w:rPr>
        <w:t>、运行经费：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黑体" w:eastAsia="黑体"/>
          <w:sz w:val="32"/>
          <w:szCs w:val="32"/>
          <w:highlight w:val="none"/>
        </w:rPr>
      </w:pPr>
      <w:r>
        <w:rPr>
          <w:rFonts w:hint="eastAsia" w:ascii="黑体" w:eastAsia="黑体"/>
          <w:sz w:val="32"/>
          <w:szCs w:val="32"/>
          <w:highlight w:val="none"/>
          <w:lang w:val="en-US" w:eastAsia="zh-CN"/>
        </w:rPr>
        <w:t>九</w:t>
      </w:r>
      <w:r>
        <w:rPr>
          <w:rFonts w:hint="eastAsia" w:ascii="黑体" w:eastAsia="黑体"/>
          <w:sz w:val="32"/>
          <w:szCs w:val="32"/>
          <w:highlight w:val="none"/>
        </w:rPr>
        <w:t>、支出类常用科目的说明</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highlight w:val="none"/>
        </w:rPr>
      </w:pPr>
      <w:r>
        <w:rPr>
          <w:rFonts w:hint="eastAsia" w:ascii="黑体" w:eastAsia="黑体"/>
          <w:sz w:val="32"/>
          <w:szCs w:val="32"/>
          <w:highlight w:val="none"/>
        </w:rPr>
        <w:t>1．文化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2</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3</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pPr>
        <w:keepNext w:val="0"/>
        <w:keepLines w:val="0"/>
        <w:pageBreakBefore w:val="0"/>
        <w:kinsoku/>
        <w:wordWrap/>
        <w:overflowPunct/>
        <w:topLinePunct w:val="0"/>
        <w:autoSpaceDE/>
        <w:autoSpaceDN/>
        <w:bidi w:val="0"/>
        <w:spacing w:line="240" w:lineRule="auto"/>
        <w:ind w:right="0" w:rightChars="0" w:firstLine="640" w:firstLineChars="200"/>
        <w:textAlignment w:val="auto"/>
        <w:rPr>
          <w:rFonts w:ascii="仿宋_GB2312" w:hAnsi="宋体" w:eastAsia="仿宋_GB2312"/>
          <w:bCs/>
          <w:sz w:val="44"/>
          <w:szCs w:val="44"/>
          <w:highlight w:val="none"/>
        </w:rPr>
      </w:pPr>
      <w:r>
        <w:rPr>
          <w:rFonts w:hint="eastAsia" w:ascii="黑体" w:eastAsia="黑体"/>
          <w:sz w:val="32"/>
          <w:szCs w:val="32"/>
          <w:highlight w:val="none"/>
          <w:lang w:val="en-US" w:eastAsia="zh-CN"/>
        </w:rPr>
        <w:t>4</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5</w:t>
      </w:r>
      <w:r>
        <w:rPr>
          <w:rFonts w:hint="eastAsia" w:ascii="黑体" w:eastAsia="黑体"/>
          <w:sz w:val="32"/>
          <w:szCs w:val="32"/>
          <w:highlight w:val="none"/>
        </w:rPr>
        <w:t xml:space="preserve">．城乡社区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pStyle w:val="2"/>
        <w:rPr>
          <w:rFonts w:hint="eastAsia" w:ascii="黑体" w:hAnsi="宋体" w:eastAsia="黑体"/>
          <w:szCs w:val="32"/>
          <w:lang w:eastAsia="zh-CN"/>
        </w:rPr>
      </w:pPr>
    </w:p>
    <w:p>
      <w:pPr>
        <w:pStyle w:val="2"/>
        <w:rPr>
          <w:rFonts w:hint="eastAsia" w:ascii="黑体" w:hAnsi="宋体" w:eastAsia="黑体"/>
          <w:szCs w:val="32"/>
          <w:lang w:eastAsia="zh-CN"/>
        </w:rPr>
      </w:pPr>
    </w:p>
    <w:p>
      <w:pPr>
        <w:pStyle w:val="2"/>
        <w:rPr>
          <w:rFonts w:hint="eastAsia" w:ascii="黑体" w:hAnsi="宋体" w:eastAsia="黑体"/>
          <w:szCs w:val="32"/>
          <w:lang w:eastAsia="zh-CN"/>
        </w:rPr>
      </w:pPr>
    </w:p>
    <w:p>
      <w:pPr>
        <w:pStyle w:val="2"/>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pStyle w:val="2"/>
        <w:rPr>
          <w:rFonts w:hint="eastAsia" w:ascii="黑体" w:hAnsi="宋体" w:eastAsia="黑体"/>
          <w:szCs w:val="32"/>
          <w:lang w:eastAsia="zh-CN"/>
        </w:rPr>
      </w:pPr>
    </w:p>
    <w:p>
      <w:pPr>
        <w:pStyle w:val="2"/>
        <w:rPr>
          <w:rFonts w:hint="eastAsia" w:ascii="黑体" w:hAnsi="宋体" w:eastAsia="黑体"/>
          <w:szCs w:val="32"/>
          <w:lang w:eastAsia="zh-CN"/>
        </w:rPr>
      </w:pPr>
    </w:p>
    <w:p>
      <w:pPr>
        <w:pStyle w:val="2"/>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240" w:lineRule="auto"/>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szCs w:val="32"/>
          <w:lang w:eastAsia="zh-CN"/>
        </w:rPr>
      </w:pP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textAlignment w:val="auto"/>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lang w:val="en-US" w:eastAsia="zh-CN"/>
        </w:rPr>
        <w:t>柳州市柳江区文物保护中心</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640" w:firstLineChars="200"/>
        <w:textAlignment w:val="auto"/>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pPr>
        <w:keepNext w:val="0"/>
        <w:keepLines w:val="0"/>
        <w:pageBreakBefore w:val="0"/>
        <w:kinsoku/>
        <w:wordWrap/>
        <w:overflowPunct/>
        <w:topLinePunct w:val="0"/>
        <w:autoSpaceDE/>
        <w:autoSpaceDN/>
        <w:bidi w:val="0"/>
        <w:spacing w:line="500" w:lineRule="exact"/>
        <w:ind w:firstLine="880" w:firstLineChars="200"/>
        <w:textAlignment w:val="auto"/>
        <w:rPr>
          <w:rFonts w:ascii="仿宋_GB2312" w:hAnsi="宋体" w:eastAsia="仿宋_GB2312"/>
          <w:bCs/>
          <w:sz w:val="44"/>
          <w:szCs w:val="44"/>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D75E5"/>
    <w:rsid w:val="15DD7808"/>
    <w:rsid w:val="167F4F86"/>
    <w:rsid w:val="18051207"/>
    <w:rsid w:val="21690C6D"/>
    <w:rsid w:val="26735FEA"/>
    <w:rsid w:val="2D3869C9"/>
    <w:rsid w:val="2F0E7201"/>
    <w:rsid w:val="3301025A"/>
    <w:rsid w:val="36190BE4"/>
    <w:rsid w:val="36B97AF4"/>
    <w:rsid w:val="37132994"/>
    <w:rsid w:val="4E3B534E"/>
    <w:rsid w:val="59F847D7"/>
    <w:rsid w:val="606543BF"/>
    <w:rsid w:val="6A3E1DEA"/>
    <w:rsid w:val="6DAE2E3A"/>
    <w:rsid w:val="6EFF64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6737</Words>
  <Characters>7077</Characters>
  <Lines>0</Lines>
  <Paragraphs>0</Paragraphs>
  <TotalTime>17</TotalTime>
  <ScaleCrop>false</ScaleCrop>
  <LinksUpToDate>false</LinksUpToDate>
  <CharactersWithSpaces>7181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Lenovo</cp:lastModifiedBy>
  <dcterms:modified xsi:type="dcterms:W3CDTF">2026-03-25T03:14:16Z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eyJoZGlkIjoiMDFjNWIxOGUzM2RkYmM5MDA4ODkwMzlkMTg0ODUxOWYiLCJ1c2VySWQiOiIxNDUzNDk2NjEyIn0=</vt:lpwstr>
  </property>
  <property fmtid="{D5CDD505-2E9C-101B-9397-08002B2CF9AE}" pid="4" name="ICV">
    <vt:lpwstr>390785053B054AF3AF1B5585CD546566_13</vt:lpwstr>
  </property>
</Properties>
</file>