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D5A1D">
      <w:pPr>
        <w:jc w:val="center"/>
        <w:rPr>
          <w:rFonts w:hint="eastAsia" w:ascii="黑体" w:hAnsi="宋体" w:eastAsia="黑体" w:cs="Times New Roman"/>
          <w:bCs/>
          <w:sz w:val="44"/>
          <w:szCs w:val="44"/>
          <w:highlight w:val="none"/>
          <w:lang w:eastAsia="zh-CN"/>
        </w:rPr>
      </w:pPr>
      <w:r>
        <w:rPr>
          <w:rFonts w:hint="eastAsia" w:ascii="黑体" w:hAnsi="宋体" w:eastAsia="黑体"/>
          <w:bCs/>
          <w:sz w:val="44"/>
          <w:szCs w:val="44"/>
          <w:highlight w:val="none"/>
          <w:lang w:eastAsia="zh-CN"/>
        </w:rPr>
        <w:t>柳州市柳江区</w:t>
      </w:r>
      <w:r>
        <w:rPr>
          <w:rFonts w:hint="eastAsia" w:ascii="黑体" w:hAnsi="宋体" w:eastAsia="黑体" w:cs="Times New Roman"/>
          <w:bCs/>
          <w:sz w:val="44"/>
          <w:szCs w:val="44"/>
          <w:highlight w:val="none"/>
          <w:lang w:eastAsia="zh-CN"/>
        </w:rPr>
        <w:t>初级卫生保健委员会办公室</w:t>
      </w:r>
    </w:p>
    <w:p w14:paraId="7733B7FD">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柳州市柳江区初级卫生保健委员会办公室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柳州市柳江区初级卫生保健委员会办公室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kinsoku/>
        <w:wordWrap/>
        <w:overflowPunct/>
        <w:topLinePunct w:val="0"/>
        <w:autoSpaceDE/>
        <w:autoSpaceDN/>
        <w:bidi w:val="0"/>
        <w:adjustRightInd w:val="0"/>
        <w:snapToGrid w:val="0"/>
        <w:spacing w:line="58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kinsoku/>
        <w:wordWrap/>
        <w:overflowPunct/>
        <w:topLinePunct w:val="0"/>
        <w:autoSpaceDE/>
        <w:autoSpaceDN/>
        <w:bidi w:val="0"/>
        <w:adjustRightInd w:val="0"/>
        <w:snapToGrid w:val="0"/>
        <w:spacing w:line="58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0CBCAD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负责制定全区卫生保健发展规划和年度工作计划；</w:t>
      </w:r>
    </w:p>
    <w:p w14:paraId="1F06A6B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指导乡镇开展和实施初保工作；</w:t>
      </w:r>
    </w:p>
    <w:p w14:paraId="53F4A4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协调爱卫、医疗、卫生监督、妇幼保健等单位开展初级卫生保健工作；</w:t>
      </w:r>
    </w:p>
    <w:p w14:paraId="12B8E1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val="en-US" w:eastAsia="zh-CN"/>
        </w:rPr>
        <w:t>收集有关资料进行整理，分类归档工作；</w:t>
      </w:r>
    </w:p>
    <w:p w14:paraId="346112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val="en-US" w:eastAsia="zh-CN"/>
        </w:rPr>
        <w:t>负责村级卫生人员培训与管理，农民健康教育宣传等工作；</w:t>
      </w:r>
    </w:p>
    <w:p w14:paraId="06B353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val="en-US" w:eastAsia="zh-CN"/>
        </w:rPr>
        <w:t>承办区</w:t>
      </w:r>
      <w:r>
        <w:rPr>
          <w:rFonts w:hint="eastAsia" w:ascii="仿宋_GB2312" w:hAnsi="仿宋_GB2312" w:eastAsia="仿宋_GB2312" w:cs="仿宋_GB2312"/>
          <w:sz w:val="32"/>
          <w:szCs w:val="32"/>
        </w:rPr>
        <w:t>卫生健康局</w:t>
      </w:r>
      <w:r>
        <w:rPr>
          <w:rFonts w:hint="eastAsia" w:ascii="仿宋_GB2312" w:hAnsi="仿宋_GB2312" w:eastAsia="仿宋_GB2312" w:cs="仿宋_GB2312"/>
          <w:sz w:val="32"/>
          <w:szCs w:val="32"/>
          <w:highlight w:val="none"/>
          <w:lang w:val="en-US" w:eastAsia="zh-CN"/>
        </w:rPr>
        <w:t>的其他工作。</w:t>
      </w:r>
    </w:p>
    <w:p w14:paraId="25DCA077">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0691A801">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内设机构：本单位内设初级卫生保健委员会办公室（初保办），负责基层卫生发展、基本公共卫生服务、家庭医生签约、基层卫生服务体系建设、乡村医生管理及初级卫生保健工作落实。</w:t>
      </w:r>
    </w:p>
    <w:p w14:paraId="004A9338">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所属单位：本单位为柳江区卫生健康局下属全额拨款事业单位，无下属单位，工作接受区卫生健康局统一管理、指导和监督，协同推进各项工作落实。</w:t>
      </w:r>
    </w:p>
    <w:p w14:paraId="6E6DF098">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柳州市柳江区初级卫生保健委员会办公室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761A2BED">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sz w:val="32"/>
          <w:szCs w:val="32"/>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121.57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121.57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总收入、总支出较上年均增长19.92%，主要原因是工资调整、社保和公积金缴费基数上调，经费拨款及支出相应增加。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3147EA14">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121.57</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19.92%，主要原因是</w:t>
      </w:r>
      <w:r>
        <w:rPr>
          <w:rFonts w:hint="eastAsia" w:ascii="仿宋_GB2312"/>
          <w:szCs w:val="32"/>
          <w:lang w:val="en-US" w:eastAsia="zh-CN"/>
        </w:rPr>
        <w:t>工资调整、社保和公积金缴费基数上调等，经费拨款相应增加</w:t>
      </w:r>
      <w:r>
        <w:rPr>
          <w:rFonts w:hint="eastAsia" w:ascii="仿宋_GB2312"/>
          <w:sz w:val="32"/>
          <w:szCs w:val="32"/>
          <w:lang w:val="en-US" w:eastAsia="zh-CN"/>
        </w:rPr>
        <w:t>。</w:t>
      </w:r>
    </w:p>
    <w:p w14:paraId="12A12A79">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121.57</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19.92%，主要原因是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事业单位离退休3.35万元，占总支出2.75%；机关事业单位基本养老保险缴费支出14.37万元，占总支出11.82%；机关事业单位职业年金缴费支出7.19万元，占总支出5.91%；其他卫生健康管理事务支出78.74万元，占总支出64.77%；事业单位医疗7.15万元，占总支出5.88%；住房公积金10.78万元，占总支出8.87%</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四、财政拨款收支总体情况说明</w:t>
      </w:r>
    </w:p>
    <w:p w14:paraId="357DCC1A">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121.57</w:t>
      </w:r>
      <w:r>
        <w:rPr>
          <w:rFonts w:hint="eastAsia" w:ascii="仿宋_GB2312" w:eastAsia="仿宋_GB2312"/>
          <w:sz w:val="32"/>
          <w:szCs w:val="32"/>
          <w:lang w:val="en-US" w:eastAsia="zh-CN"/>
        </w:rPr>
        <w:t>万元，总支出</w:t>
      </w:r>
      <w:r>
        <w:rPr>
          <w:rFonts w:hint="eastAsia" w:ascii="仿宋_GB2312"/>
          <w:sz w:val="32"/>
          <w:szCs w:val="32"/>
          <w:lang w:val="en-US" w:eastAsia="zh-CN"/>
        </w:rPr>
        <w:t>121.57</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财政拨款总收入、总支出较上年均增长19.92%，主要原因是工资调整、社保和公积金缴费基数上调，经费拨款及支出相应增加。</w:t>
      </w:r>
    </w:p>
    <w:p w14:paraId="3E3F8172">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rPr>
        <w:t>五、一般公共预算支出情况说明</w:t>
      </w:r>
    </w:p>
    <w:p w14:paraId="66E93FD8">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121.57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较上年增长</w:t>
      </w:r>
      <w:r>
        <w:rPr>
          <w:rFonts w:hint="eastAsia" w:ascii="仿宋_GB2312" w:hAnsi="仿宋_GB2312" w:eastAsia="仿宋_GB2312" w:cs="仿宋_GB2312"/>
          <w:sz w:val="32"/>
          <w:szCs w:val="32"/>
          <w:lang w:val="en-US" w:eastAsia="zh-CN"/>
        </w:rPr>
        <w:t>19.92%，</w:t>
      </w:r>
      <w:r>
        <w:rPr>
          <w:rFonts w:hint="eastAsia" w:ascii="仿宋_GB2312"/>
          <w:sz w:val="32"/>
          <w:szCs w:val="32"/>
          <w:lang w:val="en-US" w:eastAsia="zh-CN"/>
        </w:rPr>
        <w:t>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hAnsi="仿宋_GB2312" w:eastAsia="仿宋_GB2312" w:cs="仿宋_GB2312"/>
          <w:sz w:val="32"/>
          <w:szCs w:val="32"/>
          <w:lang w:eastAsia="zh-CN"/>
        </w:rPr>
        <w:t>具体情况为：</w:t>
      </w:r>
    </w:p>
    <w:p w14:paraId="28CECF97">
      <w:pPr>
        <w:pStyle w:val="5"/>
        <w:keepNext w:val="0"/>
        <w:keepLines w:val="0"/>
        <w:pageBreakBefore w:val="0"/>
        <w:numPr>
          <w:ilvl w:val="0"/>
          <w:numId w:val="0"/>
        </w:numPr>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1.</w:t>
      </w:r>
      <w:r>
        <w:rPr>
          <w:rFonts w:hint="eastAsia" w:ascii="仿宋_GB2312" w:hAnsi="仿宋_GB2312" w:eastAsia="仿宋_GB2312" w:cs="仿宋_GB2312"/>
          <w:kern w:val="2"/>
          <w:sz w:val="32"/>
          <w:szCs w:val="32"/>
          <w:highlight w:val="none"/>
        </w:rPr>
        <w:t>社会保障和就业支出（类）行政事业单位养老支出（款）事业单位离退休</w:t>
      </w:r>
      <w:r>
        <w:rPr>
          <w:rFonts w:hint="eastAsia" w:ascii="仿宋_GB2312" w:hAnsi="仿宋_GB2312" w:eastAsia="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（项）支出预算</w:t>
      </w:r>
      <w:r>
        <w:rPr>
          <w:rFonts w:hint="eastAsia" w:ascii="仿宋_GB2312" w:hAnsi="仿宋_GB2312" w:eastAsia="仿宋_GB2312" w:cs="仿宋_GB2312"/>
          <w:kern w:val="2"/>
          <w:sz w:val="32"/>
          <w:szCs w:val="32"/>
          <w:highlight w:val="none"/>
          <w:lang w:val="en-US" w:eastAsia="zh-CN"/>
        </w:rPr>
        <w:t>3.35万元，占支出总预算2.75%，</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0.28</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9.12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主要因增加离退休干部党组织书记工作补贴；</w:t>
      </w:r>
    </w:p>
    <w:p w14:paraId="7991C215">
      <w:pPr>
        <w:pStyle w:val="5"/>
        <w:keepNext w:val="0"/>
        <w:keepLines w:val="0"/>
        <w:pageBreakBefore w:val="0"/>
        <w:numPr>
          <w:ilvl w:val="0"/>
          <w:numId w:val="0"/>
        </w:numPr>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eastAsia="仿宋_GB2312" w:cs="仿宋_GB2312"/>
          <w:kern w:val="2"/>
          <w:sz w:val="32"/>
          <w:szCs w:val="32"/>
          <w:highlight w:val="none"/>
          <w:lang w:val="en-US" w:eastAsia="zh-CN"/>
        </w:rPr>
        <w:t>14.37万元，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11.82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5.20</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56.</w:t>
      </w:r>
      <w:r>
        <w:rPr>
          <w:rFonts w:hint="eastAsia" w:ascii="仿宋_GB2312" w:hAnsi="仿宋_GB2312" w:cs="仿宋_GB2312"/>
          <w:sz w:val="32"/>
          <w:szCs w:val="32"/>
          <w:highlight w:val="none"/>
          <w:lang w:val="en-US" w:eastAsia="zh-CN"/>
        </w:rPr>
        <w:t>71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主要原因是社保缴费基数上调，支出相应增加</w:t>
      </w:r>
      <w:r>
        <w:rPr>
          <w:rFonts w:hint="eastAsia" w:ascii="仿宋_GB2312" w:hAnsi="仿宋_GB2312" w:eastAsia="仿宋_GB2312" w:cs="仿宋_GB2312"/>
          <w:kern w:val="2"/>
          <w:sz w:val="32"/>
          <w:szCs w:val="32"/>
          <w:highlight w:val="none"/>
        </w:rPr>
        <w:t>；</w:t>
      </w:r>
    </w:p>
    <w:p w14:paraId="7C6E1450">
      <w:pPr>
        <w:pStyle w:val="5"/>
        <w:keepNext w:val="0"/>
        <w:keepLines w:val="0"/>
        <w:pageBreakBefore w:val="0"/>
        <w:numPr>
          <w:ilvl w:val="0"/>
          <w:numId w:val="0"/>
        </w:numPr>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3.</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eastAsia="仿宋_GB2312" w:cs="仿宋_GB2312"/>
          <w:kern w:val="2"/>
          <w:sz w:val="32"/>
          <w:szCs w:val="32"/>
          <w:highlight w:val="none"/>
          <w:lang w:val="en-US" w:eastAsia="zh-CN"/>
        </w:rPr>
        <w:t>7.19万元，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5.91</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2.60</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56.64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19D544D4">
      <w:pPr>
        <w:pStyle w:val="5"/>
        <w:keepNext w:val="0"/>
        <w:keepLines w:val="0"/>
        <w:pageBreakBefore w:val="0"/>
        <w:numPr>
          <w:ilvl w:val="0"/>
          <w:numId w:val="0"/>
        </w:numPr>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（类）卫生健康管理事务（款）其他卫生健康管理事务支出（项）支出预算</w:t>
      </w:r>
      <w:r>
        <w:rPr>
          <w:rFonts w:hint="eastAsia" w:ascii="仿宋_GB2312" w:hAnsi="仿宋_GB2312" w:eastAsia="仿宋_GB2312" w:cs="仿宋_GB2312"/>
          <w:kern w:val="2"/>
          <w:sz w:val="32"/>
          <w:szCs w:val="32"/>
          <w:highlight w:val="none"/>
          <w:lang w:val="en-US" w:eastAsia="zh-CN"/>
        </w:rPr>
        <w:t>78.74万元，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64.77</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16.87</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27.27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工资调整</w:t>
      </w:r>
      <w:r>
        <w:rPr>
          <w:rFonts w:hint="eastAsia" w:ascii="仿宋_GB2312" w:hAnsi="仿宋_GB2312" w:eastAsia="仿宋_GB2312" w:cs="仿宋_GB2312"/>
          <w:sz w:val="32"/>
          <w:szCs w:val="32"/>
          <w:lang w:val="en-US" w:eastAsia="zh-CN"/>
        </w:rPr>
        <w:t>，支出</w:t>
      </w:r>
      <w:r>
        <w:rPr>
          <w:rFonts w:hint="eastAsia" w:ascii="仿宋_GB2312" w:hAnsi="仿宋_GB2312" w:cs="仿宋_GB2312"/>
          <w:sz w:val="32"/>
          <w:szCs w:val="32"/>
          <w:lang w:val="en-US" w:eastAsia="zh-CN"/>
        </w:rPr>
        <w:t>相应</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kern w:val="2"/>
          <w:sz w:val="32"/>
          <w:szCs w:val="32"/>
          <w:highlight w:val="none"/>
        </w:rPr>
        <w:t>；</w:t>
      </w:r>
    </w:p>
    <w:p w14:paraId="3323B47F">
      <w:pPr>
        <w:pStyle w:val="5"/>
        <w:keepNext w:val="0"/>
        <w:keepLines w:val="0"/>
        <w:pageBreakBefore w:val="0"/>
        <w:numPr>
          <w:ilvl w:val="0"/>
          <w:numId w:val="0"/>
        </w:numPr>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5.</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（类）卫生健康管理事务（款）事业单位医疗（项）支出预算</w:t>
      </w:r>
      <w:r>
        <w:rPr>
          <w:rFonts w:hint="eastAsia" w:ascii="仿宋_GB2312" w:hAnsi="仿宋_GB2312" w:cs="仿宋_GB2312"/>
          <w:kern w:val="2"/>
          <w:sz w:val="32"/>
          <w:szCs w:val="32"/>
          <w:highlight w:val="none"/>
          <w:lang w:val="en-US" w:eastAsia="zh-CN"/>
        </w:rPr>
        <w:t>7.15万元，占支出总预算5.88%</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2.63</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58.</w:t>
      </w:r>
      <w:r>
        <w:rPr>
          <w:rFonts w:hint="eastAsia" w:ascii="仿宋_GB2312" w:hAnsi="仿宋_GB2312" w:cs="仿宋_GB2312"/>
          <w:sz w:val="32"/>
          <w:szCs w:val="32"/>
          <w:highlight w:val="none"/>
          <w:lang w:val="en-US" w:eastAsia="zh-CN"/>
        </w:rPr>
        <w:t>84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主要原因是医保缴费基数上调，支出相应增加；</w:t>
      </w:r>
    </w:p>
    <w:p w14:paraId="64EA8FD0">
      <w:pPr>
        <w:pStyle w:val="5"/>
        <w:keepNext w:val="0"/>
        <w:keepLines w:val="0"/>
        <w:pageBreakBefore w:val="0"/>
        <w:kinsoku/>
        <w:wordWrap/>
        <w:overflowPunct/>
        <w:topLinePunct w:val="0"/>
        <w:autoSpaceDE/>
        <w:autoSpaceDN/>
        <w:bidi w:val="0"/>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6.</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eastAsia="仿宋_GB2312" w:cs="仿宋_GB2312"/>
          <w:kern w:val="2"/>
          <w:sz w:val="32"/>
          <w:szCs w:val="32"/>
          <w:highlight w:val="none"/>
          <w:lang w:val="en-US" w:eastAsia="zh-CN"/>
        </w:rPr>
        <w:t>10.78万元，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8.87</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3.90</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56.69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121.57</w:t>
      </w:r>
      <w:r>
        <w:rPr>
          <w:rFonts w:hint="eastAsia" w:ascii="仿宋_GB2312" w:eastAsia="仿宋_GB2312"/>
          <w:sz w:val="32"/>
          <w:szCs w:val="32"/>
        </w:rPr>
        <w:t>万元，</w:t>
      </w:r>
      <w:r>
        <w:rPr>
          <w:rFonts w:hint="eastAsia" w:ascii="仿宋_GB2312"/>
          <w:sz w:val="32"/>
          <w:szCs w:val="32"/>
          <w:lang w:eastAsia="zh-CN"/>
        </w:rPr>
        <w:t>较上年</w:t>
      </w:r>
      <w:bookmarkStart w:id="0" w:name="_GoBack"/>
      <w:bookmarkEnd w:id="0"/>
      <w:r>
        <w:rPr>
          <w:rFonts w:hint="eastAsia" w:ascii="仿宋_GB2312"/>
          <w:sz w:val="32"/>
          <w:szCs w:val="32"/>
          <w:lang w:eastAsia="zh-CN"/>
        </w:rPr>
        <w:t>增长</w:t>
      </w:r>
      <w:r>
        <w:rPr>
          <w:rFonts w:hint="eastAsia" w:ascii="仿宋_GB2312"/>
          <w:sz w:val="32"/>
          <w:szCs w:val="32"/>
          <w:lang w:val="en-US" w:eastAsia="zh-CN"/>
        </w:rPr>
        <w:t>19.92%，主要原因是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636A837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-基本工资34.34万元，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5.16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17.68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主要原因是工资调整，支出相应增加；</w:t>
      </w:r>
    </w:p>
    <w:p w14:paraId="2BAA536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-津贴补贴13.71万元，</w:t>
      </w:r>
      <w:r>
        <w:rPr>
          <w:rFonts w:hint="eastAsia" w:ascii="仿宋_GB2312" w:eastAsia="仿宋_GB2312"/>
          <w:sz w:val="32"/>
          <w:szCs w:val="32"/>
          <w:highlight w:val="none"/>
        </w:rPr>
        <w:t>同比</w:t>
      </w:r>
      <w:r>
        <w:rPr>
          <w:rFonts w:hint="eastAsia" w:ascii="仿宋_GB2312"/>
          <w:sz w:val="32"/>
          <w:szCs w:val="32"/>
          <w:highlight w:val="none"/>
          <w:lang w:val="en-US" w:eastAsia="zh-CN"/>
        </w:rPr>
        <w:t>减0.78</w:t>
      </w:r>
      <w:r>
        <w:rPr>
          <w:rFonts w:hint="eastAsia" w:ascii="仿宋_GB2312" w:eastAsia="仿宋_GB2312"/>
          <w:sz w:val="32"/>
          <w:szCs w:val="32"/>
          <w:highlight w:val="none"/>
        </w:rPr>
        <w:t>万元，同比</w:t>
      </w:r>
      <w:r>
        <w:rPr>
          <w:rFonts w:hint="eastAsia" w:ascii="仿宋_GB2312"/>
          <w:sz w:val="32"/>
          <w:szCs w:val="32"/>
          <w:highlight w:val="none"/>
          <w:lang w:val="en-US" w:eastAsia="zh-CN"/>
        </w:rPr>
        <w:t>下降5.38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主要因驻村队员减少，相应乡镇工作补贴减少；</w:t>
      </w:r>
    </w:p>
    <w:p w14:paraId="7172269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-奖金2.86万元，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0.43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17.69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主要原因是奖金上调，支出相应增加</w:t>
      </w:r>
      <w:r>
        <w:rPr>
          <w:rFonts w:hint="eastAsia" w:ascii="仿宋_GB2312" w:hAnsi="Times New Roman" w:eastAsia="仿宋_GB2312" w:cs="Times New Roman"/>
          <w:kern w:val="2"/>
          <w:sz w:val="32"/>
          <w:szCs w:val="32"/>
          <w:highlight w:val="none"/>
        </w:rPr>
        <w:t>；</w:t>
      </w:r>
    </w:p>
    <w:p w14:paraId="2FEB702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-绩效工资15.37万元，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45E4611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-机关事业单位基本养老保险缴费14.37万元，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5.20</w:t>
      </w:r>
      <w:r>
        <w:rPr>
          <w:rFonts w:hint="eastAsia" w:ascii="仿宋_GB2312" w:eastAsia="仿宋_GB2312"/>
          <w:sz w:val="32"/>
          <w:szCs w:val="32"/>
          <w:highlight w:val="none"/>
        </w:rPr>
        <w:t>万元，同比</w:t>
      </w:r>
      <w:r>
        <w:rPr>
          <w:rFonts w:hint="eastAsia" w:ascii="仿宋_GB2312"/>
          <w:sz w:val="32"/>
          <w:szCs w:val="32"/>
          <w:highlight w:val="none"/>
          <w:lang w:val="en-US" w:eastAsia="zh-CN"/>
        </w:rPr>
        <w:t>增长56.71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30CBB85F">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-职业年金缴费7.19万元，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2.60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56.64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351C29B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-职工基本医疗保险缴费7.10万元，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2.63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58.84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0D79228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-其他社会保障缴费0.68万元，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51.11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5E31BEE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-住房公积金10.78万元，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3.90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56.69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r>
        <w:rPr>
          <w:rFonts w:hint="eastAsia" w:ascii="仿宋_GB2312" w:hAnsi="Times New Roman" w:eastAsia="仿宋_GB2312" w:cs="Times New Roman"/>
          <w:kern w:val="2"/>
          <w:sz w:val="32"/>
          <w:szCs w:val="32"/>
          <w:highlight w:val="none"/>
        </w:rPr>
        <w:t>；</w:t>
      </w:r>
    </w:p>
    <w:p w14:paraId="777176AA">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-办公费0.88万元，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790F5A2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-印刷费0.21万元，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-电费0.56万元，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0F9106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-邮电费0.46万元，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B2DFE0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-差旅费2.52万元，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FD2858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4FF3C4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-会议费0.14万元，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6965FC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-培训费0.17万元，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-公务接待费0.17万元，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83FDD6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-工会经费1.80万元，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0.65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56.52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主要原因是工会计提基数增长</w:t>
      </w:r>
      <w:r>
        <w:rPr>
          <w:rFonts w:hint="eastAsia" w:ascii="仿宋_GB2312" w:hAnsi="Times New Roman" w:eastAsia="仿宋_GB2312" w:cs="Times New Roman"/>
          <w:kern w:val="2"/>
          <w:sz w:val="32"/>
          <w:szCs w:val="32"/>
          <w:highlight w:val="none"/>
        </w:rPr>
        <w:t>；</w:t>
      </w:r>
    </w:p>
    <w:p w14:paraId="0C11018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Cs w:val="32"/>
          <w:lang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-其他商品和服务支出4.58万元，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4.80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主要原因是本期职工福利费调整至本科目核算</w:t>
      </w:r>
      <w:r>
        <w:rPr>
          <w:rFonts w:hint="eastAsia" w:ascii="仿宋_GB2312"/>
          <w:szCs w:val="32"/>
          <w:lang w:eastAsia="zh-CN"/>
        </w:rPr>
        <w:t>。</w:t>
      </w:r>
    </w:p>
    <w:p w14:paraId="164B2C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0.17</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1E650BC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0.17</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overflowPunct/>
        <w:topLinePunct w:val="0"/>
        <w:autoSpaceDE/>
        <w:autoSpaceDN/>
        <w:bidi w:val="0"/>
        <w:spacing w:line="580" w:lineRule="exact"/>
        <w:ind w:firstLine="480" w:firstLineChars="15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11.93</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0.65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5.76</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工会计提基数增长。</w:t>
      </w:r>
      <w:r>
        <w:rPr>
          <w:rFonts w:hint="eastAsia" w:ascii="仿宋_GB2312" w:eastAsia="仿宋_GB2312"/>
          <w:sz w:val="32"/>
          <w:szCs w:val="32"/>
          <w:highlight w:val="none"/>
        </w:rPr>
        <w:t>主要包括办公费、印刷费、水</w:t>
      </w:r>
      <w:r>
        <w:rPr>
          <w:rFonts w:hint="eastAsia" w:ascii="仿宋_GB2312"/>
          <w:sz w:val="32"/>
          <w:szCs w:val="32"/>
          <w:highlight w:val="none"/>
          <w:lang w:val="en-US" w:eastAsia="zh-CN"/>
        </w:rPr>
        <w:t>费、</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3EF1DAC4">
      <w:pPr>
        <w:keepNext w:val="0"/>
        <w:keepLines w:val="0"/>
        <w:pageBreakBefore w:val="0"/>
        <w:tabs>
          <w:tab w:val="center" w:pos="4475"/>
        </w:tabs>
        <w:kinsoku/>
        <w:wordWrap/>
        <w:overflowPunct/>
        <w:topLinePunct w:val="0"/>
        <w:autoSpaceDE/>
        <w:autoSpaceDN/>
        <w:bidi w:val="0"/>
        <w:spacing w:line="580" w:lineRule="exact"/>
        <w:ind w:firstLine="645"/>
        <w:textAlignment w:val="auto"/>
        <w:rPr>
          <w:rFonts w:hint="eastAsia" w:ascii="黑体" w:eastAsia="黑体"/>
          <w:szCs w:val="32"/>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p w14:paraId="6CEB602A">
      <w:pPr>
        <w:keepNext w:val="0"/>
        <w:keepLines w:val="0"/>
        <w:pageBreakBefore w:val="0"/>
        <w:widowControl w:val="0"/>
        <w:tabs>
          <w:tab w:val="center" w:pos="4475"/>
        </w:tabs>
        <w:kinsoku/>
        <w:wordWrap/>
        <w:overflowPunct/>
        <w:topLinePunct w:val="0"/>
        <w:autoSpaceDE/>
        <w:autoSpaceDN/>
        <w:bidi w:val="0"/>
        <w:adjustRightInd/>
        <w:snapToGrid/>
        <w:spacing w:line="520" w:lineRule="exact"/>
        <w:ind w:firstLine="645"/>
        <w:textAlignment w:val="auto"/>
        <w:rPr>
          <w:rFonts w:hint="eastAsia" w:ascii="黑体" w:eastAsia="黑体"/>
          <w:szCs w:val="32"/>
        </w:rPr>
      </w:pPr>
    </w:p>
    <w:p w14:paraId="6BCF616F">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柳州市柳江区初级卫生保健委员会办公室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509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28C51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728C51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576B"/>
    <w:rsid w:val="03407CC0"/>
    <w:rsid w:val="0AD83C5C"/>
    <w:rsid w:val="0EDC36CA"/>
    <w:rsid w:val="15DD7808"/>
    <w:rsid w:val="19BC7981"/>
    <w:rsid w:val="21690C6D"/>
    <w:rsid w:val="2B0C44BA"/>
    <w:rsid w:val="2B2927A6"/>
    <w:rsid w:val="2B794DB7"/>
    <w:rsid w:val="2F0E7201"/>
    <w:rsid w:val="30380390"/>
    <w:rsid w:val="31CD297B"/>
    <w:rsid w:val="36190BE4"/>
    <w:rsid w:val="3B611B63"/>
    <w:rsid w:val="3CCD5882"/>
    <w:rsid w:val="47556BAD"/>
    <w:rsid w:val="4E3B534E"/>
    <w:rsid w:val="55DA47A3"/>
    <w:rsid w:val="606543BF"/>
    <w:rsid w:val="60AB051D"/>
    <w:rsid w:val="68005DE0"/>
    <w:rsid w:val="68D313BC"/>
    <w:rsid w:val="6A3E1DEA"/>
    <w:rsid w:val="6DAE2E3A"/>
    <w:rsid w:val="746D5245"/>
    <w:rsid w:val="777F364F"/>
    <w:rsid w:val="77D90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4134</Words>
  <Characters>4567</Characters>
  <Lines>0</Lines>
  <Paragraphs>0</Paragraphs>
  <TotalTime>39</TotalTime>
  <ScaleCrop>false</ScaleCrop>
  <LinksUpToDate>false</LinksUpToDate>
  <CharactersWithSpaces>4598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2026-03-09T07:30:11Z</cp:lastPrinted>
  <dcterms:modified xsi:type="dcterms:W3CDTF">2026-03-09T07:48:16Z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