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24369">
      <w:pPr>
        <w:jc w:val="center"/>
        <w:rPr>
          <w:rFonts w:hint="eastAsia" w:ascii="黑体" w:hAnsi="宋体" w:eastAsia="黑体"/>
          <w:bCs/>
          <w:sz w:val="44"/>
          <w:szCs w:val="44"/>
          <w:highlight w:val="none"/>
          <w:lang w:val="en-US" w:eastAsia="zh-CN"/>
        </w:rPr>
      </w:pPr>
      <w:bookmarkStart w:id="0" w:name="_GoBack"/>
      <w:bookmarkEnd w:id="0"/>
      <w:r>
        <w:rPr>
          <w:rFonts w:hint="eastAsia" w:ascii="黑体" w:hAnsi="宋体" w:eastAsia="黑体"/>
          <w:bCs/>
          <w:sz w:val="44"/>
          <w:szCs w:val="44"/>
          <w:highlight w:val="none"/>
          <w:lang w:val="en-US" w:eastAsia="zh-CN"/>
        </w:rPr>
        <w:t>柳州市柳江区进德镇卫生院</w:t>
      </w:r>
    </w:p>
    <w:p w14:paraId="6D92F528">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39"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39"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2AF778FF">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（一）</w:t>
      </w:r>
      <w:r>
        <w:rPr>
          <w:rFonts w:hint="eastAsia" w:ascii="仿宋_GB2312" w:hAnsi="宋体"/>
          <w:szCs w:val="32"/>
          <w:lang w:val="en-US" w:eastAsia="zh-CN"/>
        </w:rPr>
        <w:t>以公共卫生服务为主，提供预防、保健和基本医疗、综合性和连续性的健康管理服务。</w:t>
      </w:r>
    </w:p>
    <w:p w14:paraId="12824AC3">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（二）</w:t>
      </w:r>
      <w:r>
        <w:rPr>
          <w:rFonts w:hint="eastAsia" w:ascii="仿宋_GB2312" w:hAnsi="宋体"/>
          <w:szCs w:val="32"/>
          <w:lang w:val="en-US" w:eastAsia="zh-CN"/>
        </w:rPr>
        <w:t>加强农村疾病预防控制，做好传染病、地方病防治和疫情等农村突发性公共卫生事件报告工作，重点控制严重危害农民身体健康的传染病、地方病、职业病和寄生虫病等重大疾病。</w:t>
      </w:r>
    </w:p>
    <w:p w14:paraId="5453AF12">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（三）</w:t>
      </w:r>
      <w:r>
        <w:rPr>
          <w:rFonts w:hint="eastAsia" w:ascii="仿宋_GB2312" w:hAnsi="宋体"/>
          <w:szCs w:val="32"/>
          <w:lang w:val="en-US" w:eastAsia="zh-CN"/>
        </w:rPr>
        <w:t>认真执行儿童计划免疫，积极开展慢性非传染性疾病的防治工作。</w:t>
      </w:r>
    </w:p>
    <w:p w14:paraId="07FED63E">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（四）</w:t>
      </w:r>
      <w:r>
        <w:rPr>
          <w:rFonts w:hint="eastAsia" w:ascii="仿宋_GB2312" w:hAnsi="宋体"/>
          <w:szCs w:val="32"/>
          <w:lang w:val="en-US" w:eastAsia="zh-CN"/>
        </w:rPr>
        <w:t>做好农村孕产妇和儿童保健工作，提高住院分娩率，改善儿童营养状况。</w:t>
      </w:r>
    </w:p>
    <w:p w14:paraId="01F8E465">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（五）</w:t>
      </w:r>
      <w:r>
        <w:rPr>
          <w:rFonts w:hint="eastAsia" w:ascii="仿宋_GB2312" w:hAnsi="宋体"/>
          <w:szCs w:val="32"/>
          <w:lang w:val="en-US" w:eastAsia="zh-CN"/>
        </w:rPr>
        <w:t>积极做好城镇居民、职工的医疗服务、计划生育技术指导、康复等工作。</w:t>
      </w:r>
    </w:p>
    <w:p w14:paraId="10921A4E">
      <w:pPr>
        <w:adjustRightInd w:val="0"/>
        <w:snapToGrid w:val="0"/>
        <w:spacing w:line="560" w:lineRule="exact"/>
        <w:ind w:right="-333" w:rightChars="-104" w:firstLine="640" w:firstLineChars="200"/>
        <w:rPr>
          <w:rFonts w:hint="default" w:ascii="仿宋_GB2312" w:hAnsi="宋体" w:eastAsia="仿宋_GB2312"/>
          <w:szCs w:val="32"/>
          <w:lang w:val="en-US" w:eastAsia="zh-CN"/>
        </w:rPr>
      </w:pPr>
      <w:r>
        <w:rPr>
          <w:rFonts w:hint="eastAsia" w:ascii="仿宋_GB2312" w:hAnsi="宋体"/>
          <w:szCs w:val="32"/>
        </w:rPr>
        <w:t>（六）</w:t>
      </w:r>
      <w:r>
        <w:rPr>
          <w:rFonts w:hint="eastAsia" w:ascii="仿宋_GB2312" w:hAnsi="宋体"/>
          <w:szCs w:val="32"/>
          <w:lang w:val="en-US" w:eastAsia="zh-CN"/>
        </w:rPr>
        <w:t>开展爱国卫生运动，普及基本预防和卫生保健知识，指导群众改善居住、饮食、饮水和环境卫生条件，引导和帮助群众建立良好的卫生习惯。</w:t>
      </w:r>
    </w:p>
    <w:p w14:paraId="38F08561">
      <w:pPr>
        <w:spacing w:line="56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七</w:t>
      </w:r>
      <w:r>
        <w:rPr>
          <w:rFonts w:hint="eastAsia" w:ascii="仿宋_GB2312" w:hAnsi="仿宋_GB2312" w:cs="仿宋_GB2312"/>
          <w:szCs w:val="32"/>
          <w:lang w:eastAsia="zh-CN"/>
        </w:rPr>
        <w:t>）</w:t>
      </w:r>
      <w:r>
        <w:rPr>
          <w:rFonts w:hint="eastAsia" w:ascii="仿宋_GB2312" w:hAnsi="仿宋_GB2312" w:cs="仿宋_GB2312"/>
          <w:szCs w:val="32"/>
          <w:lang w:val="en-US" w:eastAsia="zh-CN"/>
        </w:rPr>
        <w:t>完成区委、区人民政府、区卫生健康行政单位委托的其他卫生管理职能。</w:t>
      </w:r>
    </w:p>
    <w:p w14:paraId="5A0B7DBA">
      <w:pPr>
        <w:spacing w:line="560" w:lineRule="exact"/>
        <w:ind w:firstLine="640" w:firstLineChars="200"/>
        <w:rPr>
          <w:rFonts w:hint="eastAsia" w:ascii="仿宋_GB2312" w:hAnsi="宋体"/>
          <w:szCs w:val="32"/>
          <w:highlight w:val="none"/>
          <w:u w:val="single"/>
        </w:rPr>
      </w:pPr>
      <w:r>
        <w:rPr>
          <w:rFonts w:hint="eastAsia" w:ascii="黑体" w:hAnsi="宋体" w:eastAsia="黑体"/>
          <w:szCs w:val="32"/>
        </w:rPr>
        <w:t>二、机构设置情况</w:t>
      </w:r>
    </w:p>
    <w:p w14:paraId="6763A867">
      <w:pPr>
        <w:tabs>
          <w:tab w:val="center" w:pos="4475"/>
        </w:tabs>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（一）单位内设机构</w:t>
      </w:r>
    </w:p>
    <w:p w14:paraId="0851F5A2">
      <w:pPr>
        <w:tabs>
          <w:tab w:val="center" w:pos="4475"/>
        </w:tabs>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医院占地面积8959.7平方米，建筑面积8698.33平方米，编制床位99张，开放床位210张。我院结合医疗服务工作实际，规范设置业务科室和行政职能科室，明确职责分工，保障各项工作有序开展，具体如下：</w:t>
      </w:r>
    </w:p>
    <w:p w14:paraId="18D8929E">
      <w:pPr>
        <w:tabs>
          <w:tab w:val="center" w:pos="4475"/>
        </w:tabs>
        <w:spacing w:line="560" w:lineRule="exact"/>
        <w:ind w:firstLine="640" w:firstLineChars="200"/>
        <w:rPr>
          <w:rFonts w:hint="default" w:ascii="仿宋_GB2312" w:hAnsi="宋体"/>
          <w:szCs w:val="32"/>
          <w:lang w:val="en-US" w:eastAsia="zh-CN"/>
        </w:rPr>
      </w:pPr>
      <w:r>
        <w:rPr>
          <w:rFonts w:hint="eastAsia" w:ascii="仿宋_GB2312" w:hAnsi="宋体"/>
          <w:szCs w:val="32"/>
          <w:lang w:val="en-US" w:eastAsia="zh-CN"/>
        </w:rPr>
        <w:t>1.业务科室：全科、内科、外科、儿科、急诊医学科、眼耳鼻喉科、精神卫生科、口腔科、检验科、影像功能科、药剂科、公卫科；根据群众就医需求，规范提供诊疗活动，业务科室承担临床诊疗、医技检测、公共卫生等核心服务职能。</w:t>
      </w:r>
    </w:p>
    <w:p w14:paraId="78518216">
      <w:pPr>
        <w:tabs>
          <w:tab w:val="center" w:pos="4475"/>
        </w:tabs>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2.行政职能科室：办公室、财务科、医务科、医保办、护理部、感控科、后勤设备科；职能科室承担医院日常管理、财务核算、质量管控、后勤保障等相关职能。</w:t>
      </w:r>
    </w:p>
    <w:p w14:paraId="5960A89F">
      <w:pPr>
        <w:numPr>
          <w:ilvl w:val="0"/>
          <w:numId w:val="1"/>
        </w:numPr>
        <w:tabs>
          <w:tab w:val="center" w:pos="4475"/>
        </w:tabs>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单位所属单位情况</w:t>
      </w:r>
    </w:p>
    <w:p w14:paraId="4AEC4AD5">
      <w:pPr>
        <w:tabs>
          <w:tab w:val="center" w:pos="4475"/>
        </w:tabs>
        <w:spacing w:line="560" w:lineRule="exact"/>
        <w:ind w:firstLine="640" w:firstLineChars="200"/>
        <w:rPr>
          <w:rFonts w:hint="default" w:ascii="仿宋_GB2312" w:hAnsi="宋体" w:eastAsia="仿宋_GB2312"/>
          <w:szCs w:val="32"/>
          <w:lang w:val="en-US" w:eastAsia="zh-CN"/>
        </w:rPr>
      </w:pPr>
      <w:r>
        <w:rPr>
          <w:rFonts w:hint="eastAsia" w:ascii="仿宋_GB2312" w:hAnsi="宋体"/>
          <w:szCs w:val="32"/>
          <w:lang w:val="en-US" w:eastAsia="zh-CN"/>
        </w:rPr>
        <w:t>本单位为柳州市柳江区卫生健康局下属差额拨款事业单位，无独立设置的所属单位，下设11个规范化村卫生室，主要承担辖区内基本医疗和公共卫生服务相关工作。</w:t>
      </w:r>
    </w:p>
    <w:p w14:paraId="3E6120EF">
      <w:pPr>
        <w:tabs>
          <w:tab w:val="center" w:pos="4475"/>
        </w:tabs>
        <w:spacing w:line="560" w:lineRule="exact"/>
        <w:ind w:firstLine="645"/>
        <w:rPr>
          <w:rFonts w:hint="eastAsia" w:ascii="仿宋_GB2312" w:hAnsi="仿宋_GB2312" w:eastAsia="仿宋_GB2312" w:cs="仿宋_GB2312"/>
          <w:szCs w:val="32"/>
          <w:highlight w:val="none"/>
          <w:u w:val="single"/>
        </w:rPr>
      </w:pPr>
      <w:r>
        <w:rPr>
          <w:rFonts w:hint="eastAsia" w:ascii="黑体" w:eastAsia="黑体"/>
          <w:szCs w:val="32"/>
        </w:rPr>
        <w:t>第二部分：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tabs>
          <w:tab w:val="center" w:pos="4475"/>
        </w:tabs>
        <w:spacing w:line="560" w:lineRule="exact"/>
        <w:ind w:firstLine="645"/>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3560.90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3560.90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12.11%，主要原因是人员基本工资调整，人员经费增加。总支出</w:t>
      </w:r>
      <w:r>
        <w:rPr>
          <w:rFonts w:hint="eastAsia" w:ascii="仿宋_GB2312"/>
          <w:sz w:val="32"/>
          <w:szCs w:val="32"/>
          <w:lang w:eastAsia="zh-CN"/>
        </w:rPr>
        <w:t>较上年增长</w:t>
      </w:r>
      <w:r>
        <w:rPr>
          <w:rFonts w:hint="eastAsia" w:ascii="仿宋_GB2312"/>
          <w:sz w:val="32"/>
          <w:szCs w:val="32"/>
          <w:lang w:val="en-US" w:eastAsia="zh-CN"/>
        </w:rPr>
        <w:t>12.11%，主要原因是</w:t>
      </w:r>
      <w:r>
        <w:rPr>
          <w:rFonts w:hint="eastAsia" w:ascii="仿宋_GB2312"/>
          <w:szCs w:val="32"/>
          <w:lang w:val="en-US" w:eastAsia="zh-CN"/>
        </w:rPr>
        <w:t>人员经费支出增加</w:t>
      </w:r>
      <w:r>
        <w:rPr>
          <w:rFonts w:hint="eastAsia" w:ascii="仿宋_GB2312"/>
          <w:sz w:val="32"/>
          <w:szCs w:val="32"/>
          <w:lang w:val="en-US" w:eastAsia="zh-CN"/>
        </w:rPr>
        <w:t>。</w:t>
      </w:r>
    </w:p>
    <w:p w14:paraId="48A25E8A">
      <w:pPr>
        <w:tabs>
          <w:tab w:val="center" w:pos="4475"/>
        </w:tabs>
        <w:spacing w:line="560" w:lineRule="exact"/>
        <w:ind w:firstLine="645"/>
        <w:rPr>
          <w:rFonts w:hint="eastAsia" w:ascii="仿宋_GB2312" w:hAnsi="宋体"/>
          <w:szCs w:val="32"/>
          <w:highlight w:val="none"/>
          <w:u w:val="single"/>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08404644">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3560.90</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12.11</w:t>
      </w:r>
      <w:r>
        <w:rPr>
          <w:rFonts w:hint="eastAsia" w:ascii="仿宋_GB2312"/>
          <w:sz w:val="32"/>
          <w:szCs w:val="32"/>
          <w:lang w:val="en-US" w:eastAsia="zh-CN"/>
        </w:rPr>
        <w:t>%，主要原因是</w:t>
      </w:r>
      <w:r>
        <w:rPr>
          <w:rFonts w:hint="eastAsia" w:ascii="仿宋_GB2312"/>
          <w:szCs w:val="32"/>
          <w:lang w:val="en-US" w:eastAsia="zh-CN"/>
        </w:rPr>
        <w:t>单位人员</w:t>
      </w:r>
      <w:r>
        <w:rPr>
          <w:rFonts w:hint="eastAsia" w:ascii="仿宋_GB2312"/>
          <w:sz w:val="32"/>
          <w:szCs w:val="32"/>
          <w:lang w:val="en-US" w:eastAsia="zh-CN"/>
        </w:rPr>
        <w:t>工资调整，人员</w:t>
      </w:r>
      <w:r>
        <w:rPr>
          <w:rFonts w:hint="eastAsia" w:ascii="仿宋_GB2312"/>
          <w:szCs w:val="32"/>
          <w:lang w:val="en-US" w:eastAsia="zh-CN"/>
        </w:rPr>
        <w:t>经费增加</w:t>
      </w:r>
      <w:r>
        <w:rPr>
          <w:rFonts w:hint="eastAsia" w:ascii="仿宋_GB2312"/>
          <w:sz w:val="32"/>
          <w:szCs w:val="32"/>
          <w:lang w:val="en-US" w:eastAsia="zh-CN"/>
        </w:rPr>
        <w:t>。</w:t>
      </w:r>
    </w:p>
    <w:p w14:paraId="12A12A79">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3560.90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12.11%，主要原因是</w:t>
      </w:r>
      <w:r>
        <w:rPr>
          <w:rFonts w:hint="eastAsia" w:ascii="仿宋_GB2312"/>
          <w:szCs w:val="32"/>
          <w:lang w:val="en-US" w:eastAsia="zh-CN"/>
        </w:rPr>
        <w:t>人员</w:t>
      </w:r>
      <w:r>
        <w:rPr>
          <w:rFonts w:hint="eastAsia" w:ascii="仿宋_GB2312"/>
          <w:sz w:val="32"/>
          <w:szCs w:val="32"/>
          <w:lang w:val="en-US" w:eastAsia="zh-CN"/>
        </w:rPr>
        <w:t>工资调整，人员</w:t>
      </w:r>
      <w:r>
        <w:rPr>
          <w:rFonts w:hint="eastAsia" w:ascii="仿宋_GB2312"/>
          <w:szCs w:val="32"/>
          <w:lang w:val="en-US" w:eastAsia="zh-CN"/>
        </w:rPr>
        <w:t>经费支出增加</w:t>
      </w:r>
      <w:r>
        <w:rPr>
          <w:rFonts w:hint="eastAsia" w:ascii="仿宋_GB2312"/>
          <w:sz w:val="32"/>
          <w:szCs w:val="32"/>
          <w:lang w:val="en-US" w:eastAsia="zh-CN"/>
        </w:rPr>
        <w:t>。主要包括：</w:t>
      </w:r>
      <w:r>
        <w:rPr>
          <w:rFonts w:hint="eastAsia" w:ascii="仿宋_GB2312" w:hAnsi="宋体"/>
          <w:szCs w:val="32"/>
          <w:lang w:val="en-US" w:eastAsia="zh-CN"/>
        </w:rPr>
        <w:t>事业单位离退休支出19.92万元，占总支出的0.56%，乡镇卫生院支出3228.15万元，占总支出的90.65%，其他基层医疗卫生机构支出34.43万元，占总支出的0.97%，其他国有土地使用权出让收入安排的支出278.40万元，占总支出的7.82%</w:t>
      </w:r>
      <w:r>
        <w:rPr>
          <w:rFonts w:hint="eastAsia" w:ascii="仿宋_GB2312" w:hAnsi="宋体"/>
          <w:szCs w:val="32"/>
          <w:highlight w:val="none"/>
          <w:lang w:val="en-US" w:eastAsia="zh-CN"/>
        </w:rPr>
        <w:t>。</w:t>
      </w:r>
    </w:p>
    <w:p w14:paraId="52AD09B3">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14:paraId="5616E25F">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900.52</w:t>
      </w:r>
      <w:r>
        <w:rPr>
          <w:rFonts w:hint="eastAsia" w:ascii="仿宋_GB2312" w:eastAsia="仿宋_GB2312"/>
          <w:sz w:val="32"/>
          <w:szCs w:val="32"/>
          <w:lang w:val="en-US" w:eastAsia="zh-CN"/>
        </w:rPr>
        <w:t>万元，总支出</w:t>
      </w:r>
      <w:r>
        <w:rPr>
          <w:rFonts w:hint="eastAsia" w:ascii="仿宋_GB2312"/>
          <w:sz w:val="32"/>
          <w:szCs w:val="32"/>
          <w:lang w:val="en-US" w:eastAsia="zh-CN"/>
        </w:rPr>
        <w:t>900.52</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15.50%，主要原因是</w:t>
      </w:r>
      <w:r>
        <w:rPr>
          <w:rFonts w:hint="eastAsia" w:ascii="仿宋_GB2312"/>
          <w:szCs w:val="32"/>
          <w:lang w:val="en-US" w:eastAsia="zh-CN"/>
        </w:rPr>
        <w:t>人员</w:t>
      </w:r>
      <w:r>
        <w:rPr>
          <w:rFonts w:hint="eastAsia" w:ascii="仿宋_GB2312"/>
          <w:sz w:val="32"/>
          <w:szCs w:val="32"/>
          <w:lang w:val="en-US" w:eastAsia="zh-CN"/>
        </w:rPr>
        <w:t>工资调整，人员</w:t>
      </w:r>
      <w:r>
        <w:rPr>
          <w:rFonts w:hint="eastAsia" w:ascii="仿宋_GB2312"/>
          <w:szCs w:val="32"/>
          <w:lang w:val="en-US" w:eastAsia="zh-CN"/>
        </w:rPr>
        <w:t>经费增加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15.50%，主要原因是</w:t>
      </w:r>
      <w:r>
        <w:rPr>
          <w:rFonts w:hint="eastAsia" w:ascii="仿宋_GB2312"/>
          <w:szCs w:val="32"/>
          <w:lang w:val="en-US" w:eastAsia="zh-CN"/>
        </w:rPr>
        <w:t>人员经费支出增加</w:t>
      </w:r>
      <w:r>
        <w:rPr>
          <w:rFonts w:hint="eastAsia" w:ascii="仿宋_GB2312"/>
          <w:sz w:val="32"/>
          <w:szCs w:val="32"/>
          <w:lang w:val="en-US" w:eastAsia="zh-CN"/>
        </w:rPr>
        <w:t>。</w:t>
      </w:r>
    </w:p>
    <w:p w14:paraId="3E3F8172">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14:paraId="66E93FD8">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622.12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20.20%，主要原</w:t>
      </w:r>
      <w:r>
        <w:rPr>
          <w:rFonts w:hint="eastAsia" w:ascii="仿宋_GB2312"/>
          <w:color w:val="auto"/>
          <w:sz w:val="32"/>
          <w:szCs w:val="32"/>
          <w:lang w:val="en-US" w:eastAsia="zh-CN"/>
        </w:rPr>
        <w:t>因是</w:t>
      </w:r>
      <w:r>
        <w:rPr>
          <w:rFonts w:hint="eastAsia" w:ascii="仿宋_GB2312"/>
          <w:color w:val="auto"/>
          <w:szCs w:val="32"/>
          <w:lang w:val="en-US" w:eastAsia="zh-CN"/>
        </w:rPr>
        <w:t>本年度减少重大公共卫生服务项目资金支出</w:t>
      </w:r>
      <w:r>
        <w:rPr>
          <w:rFonts w:hint="eastAsia" w:ascii="仿宋_GB2312"/>
          <w:color w:val="auto"/>
          <w:szCs w:val="32"/>
          <w:lang w:eastAsia="zh-CN"/>
        </w:rPr>
        <w:t>。</w:t>
      </w:r>
      <w:r>
        <w:rPr>
          <w:rFonts w:hint="eastAsia" w:ascii="仿宋_GB2312"/>
          <w:sz w:val="32"/>
          <w:szCs w:val="32"/>
          <w:lang w:eastAsia="zh-CN"/>
        </w:rPr>
        <w:t>具体情况为：</w:t>
      </w:r>
    </w:p>
    <w:p w14:paraId="615066AB">
      <w:pPr>
        <w:pStyle w:val="5"/>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社会保障和就业支出（类）行政事业单位养老支出（款）事业单位离退休（项）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19.92</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3.20</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增加8.63</w:t>
      </w:r>
      <w:r>
        <w:rPr>
          <w:rFonts w:hint="eastAsia" w:ascii="仿宋_GB2312" w:eastAsia="仿宋_GB2312"/>
          <w:sz w:val="32"/>
          <w:szCs w:val="32"/>
          <w:highlight w:val="none"/>
        </w:rPr>
        <w:t>万元，同比</w:t>
      </w:r>
      <w:r>
        <w:rPr>
          <w:rFonts w:hint="eastAsia" w:ascii="仿宋_GB2312"/>
          <w:sz w:val="32"/>
          <w:szCs w:val="32"/>
          <w:highlight w:val="none"/>
          <w:lang w:val="en-US" w:eastAsia="zh-CN"/>
        </w:rPr>
        <w:t>增长76.44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主要原因是本年度离退休人员增加，支出增加。</w:t>
      </w:r>
    </w:p>
    <w:p w14:paraId="3323B47F">
      <w:pPr>
        <w:pStyle w:val="5"/>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卫生健康支出（类）基层医疗卫生机构（款）乡镇卫生院（项）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567.77</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91.26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加49.41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9.53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主要原因是本年度人员基本工资调整，人员经费支出增加。</w:t>
      </w:r>
    </w:p>
    <w:p w14:paraId="656AD001">
      <w:pPr>
        <w:pStyle w:val="5"/>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lang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卫生健康支出（类）基层医疗卫生机构（款）其他基层医疗卫生机构支出（项）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34.43</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5.54</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加34.43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sz w:val="32"/>
          <w:szCs w:val="32"/>
          <w:lang w:val="en-US" w:eastAsia="zh-CN"/>
        </w:rPr>
        <w:t>。</w:t>
      </w:r>
    </w:p>
    <w:p w14:paraId="64D06FA9">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14:paraId="30D06099">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622.12</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增长25.74%，主要原因是人员工资调整及增加乡聘村用项目人员经费支出增加</w:t>
      </w:r>
      <w:r>
        <w:rPr>
          <w:rFonts w:hint="eastAsia" w:ascii="仿宋_GB2312"/>
          <w:szCs w:val="32"/>
          <w:lang w:eastAsia="zh-CN"/>
        </w:rPr>
        <w:t>。</w:t>
      </w:r>
      <w:r>
        <w:rPr>
          <w:rFonts w:hint="eastAsia" w:ascii="仿宋_GB2312"/>
          <w:sz w:val="32"/>
          <w:szCs w:val="32"/>
          <w:lang w:eastAsia="zh-CN"/>
        </w:rPr>
        <w:t>具体情况为：</w:t>
      </w:r>
    </w:p>
    <w:p w14:paraId="617F4C36">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-基本工资567.77万元，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加84.27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17.43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主要原因是本年度人员基本工资调整，人员经费增加</w:t>
      </w:r>
      <w:r>
        <w:rPr>
          <w:rFonts w:hint="eastAsia" w:ascii="仿宋_GB2312" w:hAnsi="Times New Roman" w:eastAsia="仿宋_GB2312" w:cs="Times New Roman"/>
          <w:kern w:val="2"/>
          <w:sz w:val="32"/>
          <w:szCs w:val="32"/>
          <w:highlight w:val="none"/>
        </w:rPr>
        <w:t>；</w:t>
      </w:r>
    </w:p>
    <w:p w14:paraId="6474754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-其他工资福利支出34.43万元，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加34.43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hAnsi="Times New Roman" w:eastAsia="仿宋_GB2312" w:cs="Times New Roman"/>
          <w:kern w:val="2"/>
          <w:sz w:val="32"/>
          <w:szCs w:val="32"/>
          <w:highlight w:val="none"/>
        </w:rPr>
        <w:t>；</w:t>
      </w:r>
    </w:p>
    <w:p w14:paraId="351A91E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color w:val="auto"/>
          <w:sz w:val="32"/>
          <w:szCs w:val="32"/>
          <w:lang w:val="en-US" w:eastAsia="zh-CN"/>
        </w:rPr>
        <w:t>商品和服务支出 -其他商品和服务支出0.40万元，</w:t>
      </w:r>
      <w:r>
        <w:rPr>
          <w:rFonts w:hint="eastAsia" w:ascii="仿宋_GB2312" w:eastAsia="仿宋_GB2312"/>
          <w:color w:val="auto"/>
          <w:sz w:val="32"/>
          <w:szCs w:val="32"/>
          <w:highlight w:val="none"/>
        </w:rPr>
        <w:t>同</w:t>
      </w:r>
      <w:r>
        <w:rPr>
          <w:rFonts w:hint="eastAsia" w:ascii="仿宋_GB2312" w:eastAsia="仿宋_GB2312"/>
          <w:sz w:val="32"/>
          <w:szCs w:val="32"/>
          <w:highlight w:val="none"/>
        </w:rPr>
        <w:t>比增</w:t>
      </w:r>
      <w:r>
        <w:rPr>
          <w:rFonts w:hint="eastAsia" w:ascii="仿宋_GB2312"/>
          <w:sz w:val="32"/>
          <w:szCs w:val="32"/>
          <w:highlight w:val="none"/>
          <w:lang w:val="en-US" w:eastAsia="zh-CN"/>
        </w:rPr>
        <w:t>加0.05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主要原因是本年度增加退休人员，退休公用经费增加</w:t>
      </w:r>
      <w:r>
        <w:rPr>
          <w:rFonts w:hint="eastAsia" w:ascii="仿宋_GB2312" w:hAnsi="Times New Roman" w:eastAsia="仿宋_GB2312" w:cs="Times New Roman"/>
          <w:kern w:val="2"/>
          <w:sz w:val="32"/>
          <w:szCs w:val="32"/>
          <w:highlight w:val="none"/>
        </w:rPr>
        <w:t>；</w:t>
      </w:r>
    </w:p>
    <w:p w14:paraId="15F2EA2C">
      <w:pPr>
        <w:tabs>
          <w:tab w:val="center" w:pos="4475"/>
        </w:tabs>
        <w:spacing w:line="560" w:lineRule="exact"/>
        <w:ind w:firstLine="645"/>
        <w:rPr>
          <w:rFonts w:hint="eastAsia" w:ascii="仿宋_GB2312"/>
          <w:color w:val="auto"/>
          <w:sz w:val="32"/>
          <w:szCs w:val="32"/>
          <w:lang w:val="en-US" w:eastAsia="zh-CN"/>
        </w:rPr>
      </w:pPr>
      <w:r>
        <w:rPr>
          <w:rFonts w:hint="eastAsia" w:ascii="仿宋_GB2312" w:cs="Times New Roman"/>
          <w:kern w:val="2"/>
          <w:sz w:val="32"/>
          <w:szCs w:val="32"/>
          <w:highlight w:val="none"/>
          <w:lang w:val="en-US" w:eastAsia="zh-CN"/>
        </w:rPr>
        <w:t>对个人和家庭的补助</w:t>
      </w:r>
      <w:r>
        <w:rPr>
          <w:rFonts w:hint="eastAsia" w:ascii="仿宋_GB2312"/>
          <w:color w:val="auto"/>
          <w:sz w:val="32"/>
          <w:szCs w:val="32"/>
          <w:lang w:val="en-US" w:eastAsia="zh-CN"/>
        </w:rPr>
        <w:t xml:space="preserve"> -退休费支出12.92万元，同比增加1.98万元，同比增长18.05%，主要原因是本年度增加退休人员，退休费增加；</w:t>
      </w:r>
    </w:p>
    <w:p w14:paraId="52A5D541">
      <w:pPr>
        <w:tabs>
          <w:tab w:val="center" w:pos="4475"/>
        </w:tabs>
        <w:spacing w:line="560" w:lineRule="exact"/>
        <w:ind w:firstLine="645"/>
        <w:rPr>
          <w:rFonts w:hint="default" w:ascii="仿宋_GB2312"/>
          <w:color w:val="auto"/>
          <w:sz w:val="32"/>
          <w:szCs w:val="32"/>
          <w:lang w:val="en-US" w:eastAsia="zh-CN"/>
        </w:rPr>
      </w:pPr>
      <w:r>
        <w:rPr>
          <w:rFonts w:hint="eastAsia" w:ascii="仿宋_GB2312" w:cs="Times New Roman"/>
          <w:kern w:val="2"/>
          <w:sz w:val="32"/>
          <w:szCs w:val="32"/>
          <w:highlight w:val="none"/>
          <w:lang w:val="en-US" w:eastAsia="zh-CN"/>
        </w:rPr>
        <w:t>对个人和家庭的补助</w:t>
      </w:r>
      <w:r>
        <w:rPr>
          <w:rFonts w:hint="eastAsia" w:ascii="仿宋_GB2312"/>
          <w:color w:val="auto"/>
          <w:sz w:val="32"/>
          <w:szCs w:val="32"/>
          <w:lang w:val="en-US" w:eastAsia="zh-CN"/>
        </w:rPr>
        <w:t xml:space="preserve"> -生活补助支出6.60万元，同比增加6.60万元，主要本年度增加退休乡村医生和家庭接生员预算项目，人员经费支出增加。</w:t>
      </w:r>
    </w:p>
    <w:p w14:paraId="164B2C99">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14:paraId="4520FEB2">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1E650BC7">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6129A299">
      <w:pPr>
        <w:tabs>
          <w:tab w:val="center" w:pos="4475"/>
        </w:tabs>
        <w:spacing w:line="560" w:lineRule="exact"/>
        <w:ind w:firstLine="645"/>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1F7EC9B1">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30BFD4BC">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14:paraId="7FC503FE">
      <w:pPr>
        <w:tabs>
          <w:tab w:val="center" w:pos="4475"/>
        </w:tabs>
        <w:spacing w:line="560" w:lineRule="exact"/>
        <w:ind w:firstLine="645"/>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278.40</w:t>
      </w:r>
      <w:r>
        <w:rPr>
          <w:rFonts w:hint="eastAsia" w:ascii="仿宋_GB2312" w:eastAsia="仿宋_GB2312"/>
          <w:sz w:val="32"/>
          <w:szCs w:val="32"/>
        </w:rPr>
        <w:t>万元</w:t>
      </w:r>
      <w:r>
        <w:rPr>
          <w:rFonts w:hint="eastAsia" w:ascii="仿宋_GB2312"/>
          <w:sz w:val="32"/>
          <w:szCs w:val="32"/>
          <w:lang w:val="en-US" w:eastAsia="zh-CN"/>
        </w:rPr>
        <w:t>，主要原因是</w:t>
      </w:r>
      <w:r>
        <w:rPr>
          <w:rFonts w:hint="eastAsia" w:ascii="仿宋_GB2312"/>
          <w:szCs w:val="32"/>
          <w:lang w:val="en-US" w:eastAsia="zh-CN"/>
        </w:rPr>
        <w:t>本年度增加重大公共卫生服务项目支出</w:t>
      </w:r>
      <w:r>
        <w:rPr>
          <w:rFonts w:hint="eastAsia" w:ascii="仿宋_GB2312"/>
          <w:szCs w:val="32"/>
          <w:lang w:eastAsia="zh-CN"/>
        </w:rPr>
        <w:t>。</w:t>
      </w:r>
    </w:p>
    <w:p w14:paraId="357682FD">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w:t>
      </w:r>
      <w:r>
        <w:rPr>
          <w:rFonts w:hint="eastAsia" w:ascii="仿宋_GB2312"/>
          <w:szCs w:val="32"/>
          <w:lang w:val="en-US" w:eastAsia="zh-CN"/>
        </w:rPr>
        <w:t>2026年单位预算无国有资本经营预算</w:t>
      </w:r>
      <w:r>
        <w:rPr>
          <w:rFonts w:hint="eastAsia" w:ascii="仿宋_GB2312"/>
          <w:szCs w:val="32"/>
          <w:lang w:eastAsia="zh-CN"/>
        </w:rPr>
        <w:t>。</w:t>
      </w:r>
    </w:p>
    <w:p w14:paraId="2688F36B">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spacing w:line="4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0.4</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0.05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14.29</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增加退休人员，退休公用经费增加</w:t>
      </w:r>
      <w:r>
        <w:rPr>
          <w:rFonts w:hint="eastAsia" w:ascii="仿宋_GB2312" w:eastAsia="仿宋_GB2312"/>
          <w:sz w:val="32"/>
          <w:szCs w:val="32"/>
          <w:highlight w:val="none"/>
        </w:rPr>
        <w:t>。主要包括其他商品和服务支出。</w:t>
      </w:r>
    </w:p>
    <w:p w14:paraId="0233024E">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A16A78">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123.10</w:t>
      </w:r>
      <w:r>
        <w:rPr>
          <w:rFonts w:hint="eastAsia" w:ascii="仿宋_GB2312" w:hAnsi="宋体"/>
          <w:szCs w:val="32"/>
        </w:rPr>
        <w:t>万元。其中：货物类采购</w:t>
      </w:r>
      <w:r>
        <w:rPr>
          <w:rFonts w:hint="eastAsia" w:ascii="仿宋_GB2312" w:hAnsi="宋体"/>
          <w:szCs w:val="32"/>
          <w:lang w:val="en-US" w:eastAsia="zh-CN"/>
        </w:rPr>
        <w:t>118.10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5.00</w:t>
      </w:r>
      <w:r>
        <w:rPr>
          <w:rFonts w:hint="eastAsia" w:ascii="仿宋_GB2312" w:hAnsi="宋体"/>
          <w:szCs w:val="32"/>
        </w:rPr>
        <w:t>万元。</w:t>
      </w:r>
    </w:p>
    <w:p w14:paraId="744FA10D">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tabs>
          <w:tab w:val="center" w:pos="4475"/>
        </w:tabs>
        <w:spacing w:line="560" w:lineRule="exact"/>
        <w:ind w:firstLine="645"/>
        <w:rPr>
          <w:rFonts w:hint="eastAsia" w:ascii="黑体" w:hAnsi="Arial" w:eastAsia="黑体" w:cs="Arial"/>
          <w:kern w:val="0"/>
        </w:rPr>
      </w:pPr>
      <w:r>
        <w:rPr>
          <w:rFonts w:hint="eastAsia" w:ascii="仿宋_GB2312" w:hAnsi="宋体"/>
          <w:szCs w:val="32"/>
          <w:highlight w:val="none"/>
          <w:u w:val="none"/>
          <w:lang w:val="en-US" w:eastAsia="zh-CN"/>
        </w:rPr>
        <w:t>截至2025年末，我单位房屋土地面积6685.38平方米；设备474台，车辆2辆，其中：应急保障车辆1辆，其他用车1辆；单价100万元（含）以上设备2台</w:t>
      </w:r>
      <w:r>
        <w:rPr>
          <w:rFonts w:hint="eastAsia" w:ascii="仿宋_GB2312" w:hAnsi="宋体"/>
          <w:b w:val="0"/>
          <w:bCs w:val="0"/>
          <w:szCs w:val="32"/>
          <w:highlight w:val="none"/>
          <w:u w:val="none"/>
        </w:rPr>
        <w:t>。</w:t>
      </w:r>
    </w:p>
    <w:p w14:paraId="016FE797">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485218CE">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4</w:t>
      </w:r>
      <w:r>
        <w:rPr>
          <w:rFonts w:hint="eastAsia" w:ascii="仿宋_GB2312" w:eastAsia="仿宋_GB2312"/>
          <w:sz w:val="32"/>
          <w:szCs w:val="32"/>
          <w:lang w:val="en-US" w:eastAsia="zh-CN"/>
        </w:rPr>
        <w:t>个，预算资金</w:t>
      </w:r>
      <w:r>
        <w:rPr>
          <w:rFonts w:hint="eastAsia" w:ascii="仿宋_GB2312"/>
          <w:sz w:val="32"/>
          <w:szCs w:val="32"/>
          <w:lang w:val="en-US" w:eastAsia="zh-CN"/>
        </w:rPr>
        <w:t>2938.78</w:t>
      </w:r>
      <w:r>
        <w:rPr>
          <w:rFonts w:hint="eastAsia" w:ascii="仿宋_GB2312" w:eastAsia="仿宋_GB2312"/>
          <w:sz w:val="32"/>
          <w:szCs w:val="32"/>
          <w:lang w:val="en-US" w:eastAsia="zh-CN"/>
        </w:rPr>
        <w:t>万元。绩效目标情况详见报表。</w:t>
      </w:r>
    </w:p>
    <w:p w14:paraId="08AB7DE7">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2.重点项目预算绩效目标说明。</w:t>
      </w:r>
    </w:p>
    <w:p w14:paraId="63C5DA1C">
      <w:pPr>
        <w:pStyle w:val="2"/>
        <w:rPr>
          <w:rFonts w:hint="eastAsia"/>
        </w:rPr>
      </w:pPr>
      <w:r>
        <w:drawing>
          <wp:inline distT="0" distB="0" distL="114300" distR="114300">
            <wp:extent cx="5273040" cy="6986905"/>
            <wp:effectExtent l="0" t="0" r="381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6986905"/>
                    </a:xfrm>
                    <a:prstGeom prst="rect">
                      <a:avLst/>
                    </a:prstGeom>
                    <a:noFill/>
                    <a:ln>
                      <a:noFill/>
                    </a:ln>
                  </pic:spPr>
                </pic:pic>
              </a:graphicData>
            </a:graphic>
          </wp:inline>
        </w:drawing>
      </w:r>
    </w:p>
    <w:p w14:paraId="306C96C9">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500FBED0">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A2EEF6">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十五、支出类常用科目的说明</w:t>
      </w:r>
    </w:p>
    <w:p w14:paraId="18685BE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543796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4B1566B4">
      <w:pPr>
        <w:ind w:firstLine="862" w:firstLineChars="196"/>
        <w:rPr>
          <w:rFonts w:ascii="仿宋_GB2312" w:hAnsi="宋体" w:eastAsia="仿宋_GB2312"/>
          <w:bCs/>
          <w:sz w:val="44"/>
          <w:szCs w:val="44"/>
          <w:highlight w:val="none"/>
        </w:rPr>
      </w:pPr>
    </w:p>
    <w:p w14:paraId="13A4D375">
      <w:pPr>
        <w:adjustRightInd w:val="0"/>
        <w:snapToGrid w:val="0"/>
        <w:spacing w:line="560" w:lineRule="exact"/>
        <w:ind w:right="-333" w:rightChars="-104" w:firstLine="640" w:firstLineChars="200"/>
        <w:rPr>
          <w:rFonts w:hint="eastAsia" w:ascii="黑体" w:hAnsi="宋体" w:eastAsia="黑体"/>
          <w:szCs w:val="32"/>
          <w:lang w:eastAsia="zh-CN"/>
        </w:rPr>
      </w:pPr>
    </w:p>
    <w:p w14:paraId="7EEEE900">
      <w:pPr>
        <w:adjustRightInd w:val="0"/>
        <w:snapToGrid w:val="0"/>
        <w:spacing w:line="560" w:lineRule="exact"/>
        <w:ind w:right="-333" w:rightChars="-104" w:firstLine="640" w:firstLineChars="200"/>
        <w:rPr>
          <w:rFonts w:hint="eastAsia" w:ascii="黑体" w:hAnsi="宋体" w:eastAsia="黑体"/>
          <w:szCs w:val="32"/>
          <w:lang w:eastAsia="zh-CN"/>
        </w:rPr>
      </w:pPr>
    </w:p>
    <w:p w14:paraId="1A9957A9">
      <w:pPr>
        <w:adjustRightInd w:val="0"/>
        <w:snapToGrid w:val="0"/>
        <w:spacing w:line="560" w:lineRule="exact"/>
        <w:ind w:right="-333" w:rightChars="-104" w:firstLine="640" w:firstLineChars="200"/>
        <w:rPr>
          <w:rFonts w:hint="eastAsia" w:ascii="黑体" w:hAnsi="宋体" w:eastAsia="黑体"/>
          <w:szCs w:val="32"/>
          <w:lang w:eastAsia="zh-CN"/>
        </w:rPr>
      </w:pPr>
    </w:p>
    <w:p w14:paraId="3C34A7D6">
      <w:pPr>
        <w:adjustRightInd w:val="0"/>
        <w:snapToGrid w:val="0"/>
        <w:spacing w:line="560" w:lineRule="exact"/>
        <w:ind w:right="-333" w:rightChars="-104" w:firstLine="640" w:firstLineChars="200"/>
        <w:rPr>
          <w:rFonts w:hint="eastAsia" w:ascii="黑体" w:hAnsi="宋体" w:eastAsia="黑体"/>
          <w:szCs w:val="32"/>
          <w:lang w:eastAsia="zh-CN"/>
        </w:rPr>
      </w:pP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AC7F4C1">
      <w:pPr>
        <w:adjustRightInd w:val="0"/>
        <w:snapToGrid w:val="0"/>
        <w:spacing w:line="560" w:lineRule="exact"/>
        <w:ind w:right="-333" w:rightChars="-104" w:firstLine="640" w:firstLineChars="200"/>
        <w:rPr>
          <w:rFonts w:hint="eastAsia" w:ascii="黑体" w:hAnsi="宋体" w:eastAsia="黑体"/>
          <w:szCs w:val="32"/>
          <w:lang w:eastAsia="zh-CN"/>
        </w:rPr>
      </w:pPr>
    </w:p>
    <w:p w14:paraId="41B0FF85">
      <w:pPr>
        <w:adjustRightInd w:val="0"/>
        <w:snapToGrid w:val="0"/>
        <w:spacing w:line="560" w:lineRule="exact"/>
        <w:ind w:right="-333" w:rightChars="-104" w:firstLine="640" w:firstLineChars="200"/>
        <w:rPr>
          <w:rFonts w:hint="eastAsia" w:ascii="黑体" w:hAnsi="宋体" w:eastAsia="黑体"/>
          <w:szCs w:val="32"/>
          <w:lang w:eastAsia="zh-CN"/>
        </w:rPr>
      </w:pPr>
    </w:p>
    <w:p w14:paraId="248728B9">
      <w:pPr>
        <w:adjustRightInd w:val="0"/>
        <w:snapToGrid w:val="0"/>
        <w:spacing w:line="560" w:lineRule="exact"/>
        <w:ind w:right="-333" w:rightChars="-104"/>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w:t>
      </w:r>
      <w:r>
        <w:rPr>
          <w:rFonts w:hint="eastAsia" w:ascii="仿宋_GB2312"/>
          <w:bCs/>
          <w:sz w:val="32"/>
          <w:szCs w:val="32"/>
          <w:highlight w:val="none"/>
          <w:lang w:val="en-US" w:eastAsia="zh-CN"/>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90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B762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5B762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FDEEE"/>
    <w:multiLevelType w:val="singleLevel"/>
    <w:tmpl w:val="66BFDE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17D8"/>
    <w:rsid w:val="08647852"/>
    <w:rsid w:val="0A0343D3"/>
    <w:rsid w:val="0B4B547F"/>
    <w:rsid w:val="0F9D20D9"/>
    <w:rsid w:val="12FA7CCC"/>
    <w:rsid w:val="157415BE"/>
    <w:rsid w:val="15DD7808"/>
    <w:rsid w:val="18EA1D99"/>
    <w:rsid w:val="1A930EF5"/>
    <w:rsid w:val="1C6F0395"/>
    <w:rsid w:val="21690C6D"/>
    <w:rsid w:val="24762E9E"/>
    <w:rsid w:val="29171044"/>
    <w:rsid w:val="29C1540E"/>
    <w:rsid w:val="2BB93B68"/>
    <w:rsid w:val="2DD83C04"/>
    <w:rsid w:val="2ED90719"/>
    <w:rsid w:val="2F0E7201"/>
    <w:rsid w:val="31B61C41"/>
    <w:rsid w:val="343D7DFF"/>
    <w:rsid w:val="34DD6C8D"/>
    <w:rsid w:val="36190BE4"/>
    <w:rsid w:val="37305FF2"/>
    <w:rsid w:val="379824DC"/>
    <w:rsid w:val="395F2BBE"/>
    <w:rsid w:val="39F633EA"/>
    <w:rsid w:val="3A25535A"/>
    <w:rsid w:val="3B3A0E0E"/>
    <w:rsid w:val="3BC53B1F"/>
    <w:rsid w:val="3C636521"/>
    <w:rsid w:val="3DEB09B3"/>
    <w:rsid w:val="41F67E38"/>
    <w:rsid w:val="42C943DA"/>
    <w:rsid w:val="43654D84"/>
    <w:rsid w:val="44E4041B"/>
    <w:rsid w:val="4C4A1D07"/>
    <w:rsid w:val="4E3B534E"/>
    <w:rsid w:val="52700A8B"/>
    <w:rsid w:val="541F2B3F"/>
    <w:rsid w:val="57B3592E"/>
    <w:rsid w:val="58DE6EBD"/>
    <w:rsid w:val="58F429A2"/>
    <w:rsid w:val="5A8243EF"/>
    <w:rsid w:val="5BC22304"/>
    <w:rsid w:val="5D483B19"/>
    <w:rsid w:val="5E7F4FE5"/>
    <w:rsid w:val="60247E3E"/>
    <w:rsid w:val="606543BF"/>
    <w:rsid w:val="618943CD"/>
    <w:rsid w:val="61ED4617"/>
    <w:rsid w:val="63AE489C"/>
    <w:rsid w:val="68030EA6"/>
    <w:rsid w:val="68395943"/>
    <w:rsid w:val="68503E6F"/>
    <w:rsid w:val="692A3B7C"/>
    <w:rsid w:val="6A3E1DEA"/>
    <w:rsid w:val="6B6E578F"/>
    <w:rsid w:val="6BF22B19"/>
    <w:rsid w:val="6C981262"/>
    <w:rsid w:val="6DAE2E3A"/>
    <w:rsid w:val="6F5141BE"/>
    <w:rsid w:val="712435FD"/>
    <w:rsid w:val="7155295B"/>
    <w:rsid w:val="723B0BAD"/>
    <w:rsid w:val="728C5ACB"/>
    <w:rsid w:val="72C71F66"/>
    <w:rsid w:val="74FD24F8"/>
    <w:rsid w:val="75B75AD4"/>
    <w:rsid w:val="7EBA5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4106</Words>
  <Characters>4433</Characters>
  <Lines>0</Lines>
  <Paragraphs>0</Paragraphs>
  <TotalTime>28</TotalTime>
  <ScaleCrop>false</ScaleCrop>
  <LinksUpToDate>false</LinksUpToDate>
  <CharactersWithSpaces>4450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小小瑜</cp:lastModifiedBy>
  <cp:lastPrinted>2026-03-09T08:16:33Z</cp:lastPrinted>
  <dcterms:modified xsi:type="dcterms:W3CDTF">2026-03-09T08:43:43Z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eyJoZGlkIjoiMjMzZDBjMmE2NGNjZjNkMjExZjA1OTdjZDdjMzAyMWEiLCJ1c2VySWQiOiI0NDgwMjE4NTQifQ==</vt:lpwstr>
  </property>
  <property fmtid="{D5CDD505-2E9C-101B-9397-08002B2CF9AE}" pid="4" name="ICV">
    <vt:lpwstr>3D488F44E0B140DB8FC7AAAE0D678798_13</vt:lpwstr>
  </property>
</Properties>
</file>