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4A27E">
      <w:pPr>
        <w:jc w:val="center"/>
        <w:rPr>
          <w:rFonts w:hint="eastAsia" w:ascii="黑体" w:hAnsi="宋体" w:eastAsia="黑体"/>
          <w:bCs/>
          <w:sz w:val="44"/>
          <w:szCs w:val="44"/>
          <w:highlight w:val="none"/>
          <w:lang w:val="en-US" w:eastAsia="zh-CN"/>
        </w:rPr>
      </w:pPr>
      <w:r>
        <w:rPr>
          <w:rFonts w:hint="eastAsia" w:ascii="黑体" w:hAnsi="宋体" w:eastAsia="黑体"/>
          <w:bCs/>
          <w:sz w:val="44"/>
          <w:szCs w:val="44"/>
          <w:highlight w:val="none"/>
          <w:lang w:val="en-US" w:eastAsia="zh-CN"/>
        </w:rPr>
        <w:t>柳州市柳江区穿山中心卫生院</w:t>
      </w:r>
    </w:p>
    <w:p w14:paraId="6D92F528">
      <w:pPr>
        <w:jc w:val="center"/>
        <w:rPr>
          <w:rFonts w:hint="eastAsia" w:ascii="黑体" w:hAnsi="宋体" w:eastAsia="黑体"/>
          <w:bCs/>
          <w:szCs w:val="32"/>
        </w:rPr>
      </w:pPr>
      <w:r>
        <w:rPr>
          <w:rFonts w:hint="eastAsia" w:ascii="黑体" w:hAnsi="宋体" w:eastAsia="黑体"/>
          <w:bCs/>
          <w:sz w:val="44"/>
          <w:szCs w:val="44"/>
          <w:highlight w:val="none"/>
          <w:lang w:val="en-US" w:eastAsia="zh-CN"/>
        </w:rPr>
        <w:t>2026年</w:t>
      </w:r>
      <w:r>
        <w:rPr>
          <w:rFonts w:hint="eastAsia" w:ascii="黑体" w:hAnsi="宋体" w:eastAsia="黑体"/>
          <w:bCs/>
          <w:sz w:val="44"/>
          <w:szCs w:val="44"/>
          <w:highlight w:val="none"/>
          <w:lang w:eastAsia="zh-CN"/>
        </w:rPr>
        <w:t>单位</w:t>
      </w:r>
      <w:r>
        <w:rPr>
          <w:rFonts w:hint="eastAsia" w:ascii="黑体" w:hAnsi="宋体" w:eastAsia="黑体"/>
          <w:bCs/>
          <w:sz w:val="44"/>
          <w:szCs w:val="44"/>
          <w:highlight w:val="none"/>
        </w:rPr>
        <w:t>预算公开说明</w:t>
      </w:r>
    </w:p>
    <w:p w14:paraId="3DD94B96">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35F53D19">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一、</w:t>
      </w:r>
      <w:r>
        <w:rPr>
          <w:rFonts w:hint="eastAsia" w:ascii="仿宋_GB2312" w:hAnsi="仿宋" w:cs="宋体"/>
          <w:color w:val="000000"/>
          <w:kern w:val="0"/>
          <w:sz w:val="32"/>
          <w:szCs w:val="32"/>
          <w:lang w:val="en-US" w:eastAsia="zh-CN"/>
        </w:rPr>
        <w:t>单位</w:t>
      </w:r>
      <w:r>
        <w:rPr>
          <w:rFonts w:hint="eastAsia" w:ascii="仿宋_GB2312" w:hAnsi="仿宋" w:eastAsia="仿宋_GB2312" w:cs="宋体"/>
          <w:color w:val="000000"/>
          <w:kern w:val="0"/>
          <w:sz w:val="32"/>
          <w:szCs w:val="32"/>
          <w:lang w:val="zh-CN"/>
        </w:rPr>
        <w:t>主要职能</w:t>
      </w:r>
    </w:p>
    <w:p w14:paraId="631B8F87">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000000"/>
          <w:kern w:val="0"/>
          <w:sz w:val="32"/>
          <w:szCs w:val="32"/>
          <w:lang w:val="zh-CN"/>
        </w:rPr>
      </w:pPr>
      <w:r>
        <w:rPr>
          <w:rFonts w:hint="eastAsia" w:ascii="仿宋_GB2312" w:hAnsi="仿宋" w:eastAsia="仿宋_GB2312" w:cs="宋体"/>
          <w:color w:val="000000"/>
          <w:kern w:val="0"/>
          <w:sz w:val="32"/>
          <w:szCs w:val="32"/>
          <w:lang w:val="zh-CN"/>
        </w:rPr>
        <w:t>二、机构设置情况</w:t>
      </w:r>
    </w:p>
    <w:p w14:paraId="4DF7420B">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黑体" w:hAnsi="宋体" w:eastAsia="黑体"/>
          <w:bCs/>
          <w:szCs w:val="32"/>
        </w:rPr>
      </w:pPr>
      <w:r>
        <w:rPr>
          <w:rFonts w:hint="eastAsia" w:ascii="黑体" w:eastAsia="黑体"/>
          <w:szCs w:val="32"/>
        </w:rPr>
        <w:t>第二部分：柳州市柳江区穿山中心卫生院</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预算情况说明</w:t>
      </w:r>
    </w:p>
    <w:p w14:paraId="271226A8">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rPr>
      </w:pPr>
      <w:r>
        <w:rPr>
          <w:rFonts w:hint="eastAsia" w:ascii="仿宋_GB2312" w:hAnsi="仿宋" w:eastAsia="仿宋_GB2312" w:cs="宋体"/>
          <w:color w:val="auto"/>
          <w:sz w:val="32"/>
          <w:szCs w:val="32"/>
        </w:rPr>
        <w:t>一、</w:t>
      </w:r>
      <w:r>
        <w:rPr>
          <w:rFonts w:hint="eastAsia" w:ascii="仿宋_GB2312" w:hAnsi="仿宋" w:eastAsia="仿宋_GB2312" w:cs="宋体"/>
          <w:color w:val="auto"/>
          <w:sz w:val="32"/>
          <w:szCs w:val="32"/>
          <w:lang w:eastAsia="zh-CN"/>
        </w:rPr>
        <w:t>单位</w:t>
      </w:r>
      <w:r>
        <w:rPr>
          <w:rFonts w:hint="eastAsia" w:ascii="仿宋_GB2312" w:hAnsi="仿宋" w:eastAsia="仿宋_GB2312" w:cs="宋体"/>
          <w:color w:val="auto"/>
          <w:sz w:val="32"/>
          <w:szCs w:val="32"/>
        </w:rPr>
        <w:t>预算收支增减变化情况说明</w:t>
      </w:r>
    </w:p>
    <w:p w14:paraId="1E8328D7">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二、单位收入总体情况说明</w:t>
      </w:r>
    </w:p>
    <w:p w14:paraId="2DC6FA6B">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三、单位支出总体情况说明</w:t>
      </w:r>
    </w:p>
    <w:p w14:paraId="6F143ABE">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四、财政拨款收支总体情况说明</w:t>
      </w:r>
    </w:p>
    <w:p w14:paraId="66ED4870">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五、一般公共预算支出情况说明</w:t>
      </w:r>
    </w:p>
    <w:p w14:paraId="0198B3BD">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六、一般公共预算基本支出情况说明</w:t>
      </w:r>
    </w:p>
    <w:p w14:paraId="3C7CA98E">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七、一般公共预算“三公”经费支出情况说明</w:t>
      </w:r>
    </w:p>
    <w:p w14:paraId="0AE9825D">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八、政府性基金预算支出情况说明</w:t>
      </w:r>
    </w:p>
    <w:p w14:paraId="264FAE13">
      <w:pPr>
        <w:keepNext w:val="0"/>
        <w:keepLines w:val="0"/>
        <w:pageBreakBefore w:val="0"/>
        <w:widowControl w:val="0"/>
        <w:tabs>
          <w:tab w:val="right" w:leader="middleDot" w:pos="8640"/>
        </w:tabs>
        <w:kinsoku/>
        <w:wordWrap/>
        <w:overflowPunct w:val="0"/>
        <w:topLinePunct w:val="0"/>
        <w:autoSpaceDE/>
        <w:autoSpaceDN/>
        <w:bidi w:val="0"/>
        <w:adjustRightInd w:val="0"/>
        <w:snapToGrid w:val="0"/>
        <w:spacing w:line="540" w:lineRule="exact"/>
        <w:ind w:firstLine="640" w:firstLineChars="200"/>
        <w:jc w:val="left"/>
        <w:textAlignment w:val="baseline"/>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九、国有资本经营预算支出情况说明</w:t>
      </w:r>
    </w:p>
    <w:p w14:paraId="33F4DA01">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cs="宋体"/>
          <w:color w:val="auto"/>
          <w:sz w:val="32"/>
          <w:szCs w:val="32"/>
          <w:lang w:val="en-US" w:eastAsia="zh-CN"/>
        </w:rPr>
        <w:t>十</w:t>
      </w:r>
      <w:r>
        <w:rPr>
          <w:rFonts w:hint="eastAsia" w:ascii="仿宋_GB2312" w:hAnsi="仿宋" w:eastAsia="仿宋_GB2312" w:cs="宋体"/>
          <w:color w:val="auto"/>
          <w:sz w:val="32"/>
          <w:szCs w:val="32"/>
          <w:lang w:eastAsia="zh-CN"/>
        </w:rPr>
        <w:t>、其他重要事项情况说明</w:t>
      </w:r>
    </w:p>
    <w:p w14:paraId="04981C72">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（一）机关运行经费安排情况说明</w:t>
      </w:r>
    </w:p>
    <w:p w14:paraId="759E97F3">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（二）政府采购预算安排情况说明</w:t>
      </w:r>
    </w:p>
    <w:p w14:paraId="08320CCD">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（三）政府购买服务情况说明</w:t>
      </w:r>
    </w:p>
    <w:p w14:paraId="31EE7DD4">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（四）国有资产占用情况说明</w:t>
      </w:r>
    </w:p>
    <w:p w14:paraId="2CB4BD8C">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仿宋_GB2312" w:hAnsi="仿宋" w:eastAsia="仿宋_GB2312" w:cs="宋体"/>
          <w:color w:val="auto"/>
          <w:sz w:val="32"/>
          <w:szCs w:val="32"/>
          <w:lang w:eastAsia="zh-CN"/>
        </w:rPr>
      </w:pPr>
      <w:r>
        <w:rPr>
          <w:rFonts w:hint="eastAsia" w:ascii="仿宋_GB2312" w:hAnsi="仿宋" w:eastAsia="仿宋_GB2312" w:cs="宋体"/>
          <w:color w:val="auto"/>
          <w:sz w:val="32"/>
          <w:szCs w:val="32"/>
          <w:lang w:eastAsia="zh-CN"/>
        </w:rPr>
        <w:t>（五）预算绩效目标情况说明</w:t>
      </w:r>
    </w:p>
    <w:p w14:paraId="3BFFA347">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黑体" w:hAnsi="宋体" w:eastAsia="黑体"/>
          <w:bCs/>
          <w:szCs w:val="32"/>
        </w:rPr>
      </w:pPr>
      <w:r>
        <w:rPr>
          <w:rFonts w:hint="eastAsia" w:ascii="黑体" w:eastAsia="黑体"/>
          <w:szCs w:val="32"/>
        </w:rPr>
        <w:t>第三部分：名词解释</w:t>
      </w:r>
    </w:p>
    <w:p w14:paraId="4B85F7D6">
      <w:pPr>
        <w:keepNext w:val="0"/>
        <w:keepLines w:val="0"/>
        <w:pageBreakBefore w:val="0"/>
        <w:widowControl w:val="0"/>
        <w:kinsoku/>
        <w:wordWrap/>
        <w:topLinePunct w:val="0"/>
        <w:autoSpaceDE/>
        <w:autoSpaceDN/>
        <w:bidi w:val="0"/>
        <w:adjustRightInd w:val="0"/>
        <w:snapToGrid w:val="0"/>
        <w:spacing w:line="540" w:lineRule="exact"/>
        <w:ind w:right="-333" w:rightChars="-104" w:firstLine="640" w:firstLineChars="200"/>
        <w:rPr>
          <w:rFonts w:hint="eastAsia" w:ascii="黑体" w:hAnsi="宋体" w:eastAsia="黑体"/>
          <w:bCs/>
          <w:szCs w:val="32"/>
        </w:rPr>
      </w:pPr>
      <w:r>
        <w:rPr>
          <w:rFonts w:hint="eastAsia" w:ascii="黑体" w:hAnsi="宋体" w:eastAsia="黑体"/>
          <w:bCs/>
          <w:szCs w:val="32"/>
        </w:rPr>
        <w:t>第四部分：</w:t>
      </w:r>
      <w:r>
        <w:rPr>
          <w:rFonts w:hint="eastAsia" w:ascii="黑体" w:eastAsia="黑体"/>
          <w:szCs w:val="32"/>
        </w:rPr>
        <w:t>柳州市柳江区穿山中心卫生</w:t>
      </w:r>
      <w:r>
        <w:rPr>
          <w:rFonts w:hint="eastAsia" w:ascii="黑体" w:eastAsia="黑体"/>
          <w:szCs w:val="32"/>
          <w:lang w:val="en-US" w:eastAsia="zh-CN"/>
        </w:rPr>
        <w:t>院</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预算报表</w:t>
      </w:r>
    </w:p>
    <w:p w14:paraId="482B1483">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bCs/>
          <w:szCs w:val="32"/>
        </w:rPr>
        <w:t>第一部分：</w:t>
      </w:r>
      <w:r>
        <w:rPr>
          <w:rFonts w:hint="eastAsia" w:ascii="黑体" w:hAnsi="宋体" w:eastAsia="黑体"/>
          <w:bCs/>
          <w:szCs w:val="32"/>
          <w:lang w:eastAsia="zh-CN"/>
        </w:rPr>
        <w:t>单位</w:t>
      </w:r>
      <w:r>
        <w:rPr>
          <w:rFonts w:hint="eastAsia" w:ascii="黑体" w:hAnsi="宋体" w:eastAsia="黑体"/>
          <w:bCs/>
          <w:szCs w:val="32"/>
        </w:rPr>
        <w:t>概况</w:t>
      </w:r>
    </w:p>
    <w:p w14:paraId="5A0E93B6">
      <w:pPr>
        <w:adjustRightInd w:val="0"/>
        <w:snapToGrid w:val="0"/>
        <w:spacing w:line="560" w:lineRule="exact"/>
        <w:ind w:right="-333" w:rightChars="-104" w:firstLine="640" w:firstLineChars="200"/>
        <w:rPr>
          <w:rFonts w:hint="eastAsia" w:ascii="黑体" w:hAnsi="宋体" w:eastAsia="黑体"/>
          <w:szCs w:val="32"/>
        </w:rPr>
      </w:pPr>
      <w:r>
        <w:rPr>
          <w:rFonts w:hint="eastAsia" w:ascii="黑体" w:hAnsi="宋体" w:eastAsia="黑体"/>
          <w:bCs/>
          <w:szCs w:val="32"/>
        </w:rPr>
        <w:t>一</w:t>
      </w:r>
      <w:r>
        <w:rPr>
          <w:rFonts w:hint="eastAsia" w:ascii="黑体" w:hAnsi="宋体" w:eastAsia="黑体"/>
          <w:szCs w:val="32"/>
        </w:rPr>
        <w:t>、主要职责</w:t>
      </w:r>
    </w:p>
    <w:p w14:paraId="5508FBCF">
      <w:pPr>
        <w:keepNext w:val="0"/>
        <w:keepLines w:val="0"/>
        <w:pageBreakBefore w:val="0"/>
        <w:widowControl w:val="0"/>
        <w:tabs>
          <w:tab w:val="center" w:pos="4475"/>
        </w:tabs>
        <w:kinsoku/>
        <w:wordWrap/>
        <w:overflowPunct/>
        <w:topLinePunct w:val="0"/>
        <w:autoSpaceDE/>
        <w:bidi w:val="0"/>
        <w:spacing w:line="620" w:lineRule="exact"/>
        <w:ind w:firstLine="645"/>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eastAsia="zh-CN"/>
        </w:rPr>
        <w:t>（一）</w:t>
      </w:r>
      <w:r>
        <w:rPr>
          <w:rFonts w:hint="eastAsia" w:ascii="仿宋_GB2312" w:eastAsia="仿宋_GB2312"/>
          <w:sz w:val="32"/>
          <w:szCs w:val="32"/>
          <w:highlight w:val="none"/>
          <w:lang w:val="en-US" w:eastAsia="zh-CN"/>
        </w:rPr>
        <w:t>以公共卫生服务为主，综合提供预防、保健和基本医疗等连续性健康管理服务。</w:t>
      </w:r>
    </w:p>
    <w:p w14:paraId="777EF48B">
      <w:pPr>
        <w:keepNext w:val="0"/>
        <w:keepLines w:val="0"/>
        <w:pageBreakBefore w:val="0"/>
        <w:widowControl w:val="0"/>
        <w:tabs>
          <w:tab w:val="center" w:pos="4475"/>
        </w:tabs>
        <w:kinsoku/>
        <w:wordWrap/>
        <w:overflowPunct/>
        <w:topLinePunct w:val="0"/>
        <w:autoSpaceDE/>
        <w:bidi w:val="0"/>
        <w:spacing w:line="620" w:lineRule="exact"/>
        <w:ind w:firstLine="645"/>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eastAsia="zh-CN"/>
        </w:rPr>
        <w:t>（二）</w:t>
      </w:r>
      <w:r>
        <w:rPr>
          <w:rFonts w:hint="eastAsia" w:ascii="仿宋_GB2312" w:eastAsia="仿宋_GB2312"/>
          <w:sz w:val="32"/>
          <w:szCs w:val="32"/>
          <w:highlight w:val="none"/>
          <w:lang w:val="en-US" w:eastAsia="zh-CN"/>
        </w:rPr>
        <w:t>加强疾病预防控制，及时发现、登记并报告辖区内发现的传染病病例和疑似病例，协助处理辖区内突发公共卫生事件。重点监控严重危害居民身体健康的传染病、地方病、职业病等重大疾病。</w:t>
      </w:r>
    </w:p>
    <w:p w14:paraId="4456608A">
      <w:pPr>
        <w:keepNext w:val="0"/>
        <w:keepLines w:val="0"/>
        <w:pageBreakBefore w:val="0"/>
        <w:widowControl w:val="0"/>
        <w:tabs>
          <w:tab w:val="center" w:pos="4475"/>
        </w:tabs>
        <w:kinsoku/>
        <w:wordWrap/>
        <w:overflowPunct/>
        <w:topLinePunct w:val="0"/>
        <w:autoSpaceDE/>
        <w:bidi w:val="0"/>
        <w:spacing w:line="620" w:lineRule="exact"/>
        <w:ind w:firstLine="645"/>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eastAsia="zh-CN"/>
        </w:rPr>
        <w:t>（三）</w:t>
      </w:r>
      <w:r>
        <w:rPr>
          <w:rFonts w:hint="eastAsia" w:ascii="仿宋_GB2312" w:eastAsia="仿宋_GB2312"/>
          <w:sz w:val="32"/>
          <w:szCs w:val="32"/>
          <w:highlight w:val="none"/>
          <w:lang w:val="en-US" w:eastAsia="zh-CN"/>
        </w:rPr>
        <w:t>规范预防接种服务，执行国家免疫规划。积极开展慢性非传染性疾病的防治工作。</w:t>
      </w:r>
    </w:p>
    <w:p w14:paraId="213AF01E">
      <w:pPr>
        <w:keepNext w:val="0"/>
        <w:keepLines w:val="0"/>
        <w:pageBreakBefore w:val="0"/>
        <w:widowControl w:val="0"/>
        <w:tabs>
          <w:tab w:val="center" w:pos="4475"/>
        </w:tabs>
        <w:kinsoku/>
        <w:wordWrap/>
        <w:overflowPunct/>
        <w:topLinePunct w:val="0"/>
        <w:autoSpaceDE/>
        <w:bidi w:val="0"/>
        <w:spacing w:line="620" w:lineRule="exact"/>
        <w:ind w:firstLine="645"/>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eastAsia="zh-CN"/>
        </w:rPr>
        <w:t>（四）</w:t>
      </w:r>
      <w:r>
        <w:rPr>
          <w:rFonts w:hint="eastAsia" w:ascii="仿宋_GB2312" w:eastAsia="仿宋_GB2312"/>
          <w:sz w:val="32"/>
          <w:szCs w:val="32"/>
          <w:highlight w:val="none"/>
          <w:lang w:val="en-US" w:eastAsia="zh-CN"/>
        </w:rPr>
        <w:t>开展新生儿访视及儿童保健系统管理，健康指导。开展孕产妇保健系统管理和产后访视，进行孕期营养、心理健康指导。</w:t>
      </w:r>
    </w:p>
    <w:p w14:paraId="7209B4DB">
      <w:pPr>
        <w:keepNext w:val="0"/>
        <w:keepLines w:val="0"/>
        <w:pageBreakBefore w:val="0"/>
        <w:widowControl w:val="0"/>
        <w:tabs>
          <w:tab w:val="center" w:pos="4475"/>
        </w:tabs>
        <w:kinsoku/>
        <w:wordWrap/>
        <w:overflowPunct/>
        <w:topLinePunct w:val="0"/>
        <w:autoSpaceDE/>
        <w:bidi w:val="0"/>
        <w:spacing w:line="620" w:lineRule="exact"/>
        <w:ind w:firstLine="645"/>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eastAsia="zh-CN"/>
        </w:rPr>
        <w:t>（五）</w:t>
      </w:r>
      <w:r>
        <w:rPr>
          <w:rFonts w:hint="eastAsia" w:ascii="仿宋_GB2312" w:eastAsia="仿宋_GB2312"/>
          <w:sz w:val="32"/>
          <w:szCs w:val="32"/>
          <w:highlight w:val="none"/>
          <w:lang w:val="en-US" w:eastAsia="zh-CN"/>
        </w:rPr>
        <w:t>临床科室重点设置</w:t>
      </w:r>
      <w:r>
        <w:rPr>
          <w:rFonts w:hint="eastAsia" w:ascii="仿宋_GB2312" w:eastAsia="仿宋_GB2312"/>
          <w:sz w:val="32"/>
          <w:szCs w:val="32"/>
          <w:highlight w:val="none"/>
          <w:lang w:eastAsia="zh-CN"/>
        </w:rPr>
        <w:t>综合临床、急诊、外科、妇产、中医、康复、儿保等科室，开展内、外、妇、儿等常见病诊疗，</w:t>
      </w:r>
      <w:r>
        <w:rPr>
          <w:rFonts w:hint="eastAsia" w:ascii="仿宋_GB2312" w:eastAsia="仿宋_GB2312"/>
          <w:sz w:val="32"/>
          <w:szCs w:val="32"/>
          <w:highlight w:val="none"/>
          <w:lang w:val="en-US" w:eastAsia="zh-CN"/>
        </w:rPr>
        <w:t>加强急诊急救等建设。</w:t>
      </w:r>
    </w:p>
    <w:p w14:paraId="5B028F05">
      <w:pPr>
        <w:keepNext w:val="0"/>
        <w:keepLines w:val="0"/>
        <w:pageBreakBefore w:val="0"/>
        <w:widowControl w:val="0"/>
        <w:tabs>
          <w:tab w:val="center" w:pos="4475"/>
        </w:tabs>
        <w:kinsoku/>
        <w:wordWrap/>
        <w:overflowPunct/>
        <w:topLinePunct w:val="0"/>
        <w:autoSpaceDE/>
        <w:bidi w:val="0"/>
        <w:spacing w:line="620" w:lineRule="exact"/>
        <w:ind w:firstLine="645"/>
        <w:textAlignment w:val="auto"/>
        <w:rPr>
          <w:rFonts w:hint="default" w:ascii="仿宋_GB2312" w:eastAsia="仿宋_GB2312"/>
          <w:sz w:val="32"/>
          <w:szCs w:val="32"/>
          <w:highlight w:val="none"/>
          <w:lang w:val="en-US" w:eastAsia="zh-CN"/>
        </w:rPr>
      </w:pPr>
      <w:r>
        <w:rPr>
          <w:rFonts w:hint="eastAsia" w:ascii="仿宋_GB2312" w:eastAsia="仿宋_GB2312"/>
          <w:sz w:val="32"/>
          <w:szCs w:val="32"/>
          <w:highlight w:val="none"/>
          <w:lang w:eastAsia="zh-CN"/>
        </w:rPr>
        <w:t>（六）</w:t>
      </w:r>
      <w:r>
        <w:rPr>
          <w:rFonts w:hint="eastAsia" w:ascii="仿宋_GB2312" w:eastAsia="仿宋_GB2312"/>
          <w:sz w:val="32"/>
          <w:szCs w:val="32"/>
          <w:highlight w:val="none"/>
          <w:lang w:val="en-US" w:eastAsia="zh-CN"/>
        </w:rPr>
        <w:t>普及卫生保健常识，实施重点人群及重点场所健康教育，帮助居民形成有利于维护和增进健康的行为方式</w:t>
      </w:r>
      <w:r>
        <w:rPr>
          <w:rFonts w:hint="eastAsia" w:ascii="仿宋_GB2312"/>
          <w:sz w:val="32"/>
          <w:szCs w:val="32"/>
          <w:highlight w:val="none"/>
          <w:lang w:val="en-US" w:eastAsia="zh-CN"/>
        </w:rPr>
        <w:t>，</w:t>
      </w:r>
      <w:r>
        <w:rPr>
          <w:rFonts w:hint="eastAsia" w:ascii="仿宋_GB2312" w:eastAsia="仿宋_GB2312"/>
          <w:sz w:val="32"/>
          <w:szCs w:val="32"/>
          <w:highlight w:val="none"/>
          <w:lang w:val="en-US" w:eastAsia="zh-CN"/>
        </w:rPr>
        <w:t>指导开展爱国卫生工作。</w:t>
      </w:r>
    </w:p>
    <w:p w14:paraId="25DCA077">
      <w:pPr>
        <w:spacing w:line="560" w:lineRule="exact"/>
        <w:ind w:firstLine="640" w:firstLineChars="200"/>
        <w:rPr>
          <w:rFonts w:hint="eastAsia" w:ascii="黑体" w:hAnsi="宋体" w:eastAsia="黑体"/>
          <w:szCs w:val="32"/>
        </w:rPr>
      </w:pPr>
      <w:r>
        <w:rPr>
          <w:rFonts w:hint="eastAsia" w:ascii="黑体" w:hAnsi="宋体" w:eastAsia="黑体"/>
          <w:szCs w:val="32"/>
        </w:rPr>
        <w:t>二、机构设置情况</w:t>
      </w:r>
    </w:p>
    <w:p w14:paraId="48BE04C9">
      <w:pPr>
        <w:tabs>
          <w:tab w:val="center" w:pos="4475"/>
        </w:tabs>
        <w:spacing w:line="560" w:lineRule="exact"/>
        <w:ind w:firstLine="645"/>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（一）单位内设机构</w:t>
      </w:r>
    </w:p>
    <w:p w14:paraId="76E28DD6">
      <w:pPr>
        <w:tabs>
          <w:tab w:val="center" w:pos="4475"/>
        </w:tabs>
        <w:spacing w:line="560" w:lineRule="exact"/>
        <w:ind w:firstLine="645"/>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我院结合医疗服务工作实际，规范设置业务科室和职能科室，明确职责分工，保障各项工作有序开展，具体设置如下：</w:t>
      </w:r>
    </w:p>
    <w:p w14:paraId="63A530C9">
      <w:pPr>
        <w:tabs>
          <w:tab w:val="center" w:pos="4475"/>
        </w:tabs>
        <w:spacing w:line="560" w:lineRule="exact"/>
        <w:ind w:firstLine="645"/>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1. 业务科室：业务科室承担临床诊疗、公共卫生、医技检测等核心服务职能，包括：公共卫生科、急诊科、内科、外科、妇产科、中医康复科、口腔科、耳鼻喉科、防保儿保科、检验科、放射科，聚焦群众就医需求，规范提供诊疗服务。</w:t>
      </w:r>
    </w:p>
    <w:p w14:paraId="3B884A38">
      <w:pPr>
        <w:tabs>
          <w:tab w:val="center" w:pos="4475"/>
        </w:tabs>
        <w:spacing w:line="560" w:lineRule="exact"/>
        <w:ind w:firstLine="645"/>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2. 职能科室：职能科室承担行政管理、质量管控、后勤保障等管理职能，包括：党政办、院办、财务科、医务科、医保办、护理部，强化统筹协调，为业务科室提供保障。</w:t>
      </w:r>
    </w:p>
    <w:p w14:paraId="7B6E3DC8">
      <w:pPr>
        <w:tabs>
          <w:tab w:val="center" w:pos="4475"/>
        </w:tabs>
        <w:spacing w:line="560" w:lineRule="exact"/>
        <w:ind w:firstLine="645"/>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（二）单位所属单位</w:t>
      </w:r>
    </w:p>
    <w:p w14:paraId="74E53C59">
      <w:pPr>
        <w:tabs>
          <w:tab w:val="center" w:pos="4475"/>
        </w:tabs>
        <w:spacing w:line="560" w:lineRule="exact"/>
        <w:ind w:firstLine="645"/>
        <w:rPr>
          <w:rFonts w:hint="eastAsia" w:ascii="仿宋_GB2312" w:eastAsia="仿宋_GB2312"/>
          <w:color w:val="auto"/>
          <w:sz w:val="32"/>
          <w:szCs w:val="32"/>
          <w:highlight w:val="none"/>
          <w:lang w:eastAsia="zh-CN"/>
        </w:rPr>
      </w:pPr>
      <w:r>
        <w:rPr>
          <w:rFonts w:hint="eastAsia" w:ascii="仿宋_GB2312" w:hAnsi="仿宋_GB2312" w:cs="仿宋_GB2312"/>
          <w:bCs/>
          <w:color w:val="auto"/>
          <w:sz w:val="32"/>
          <w:szCs w:val="32"/>
          <w:highlight w:val="none"/>
          <w:lang w:val="en-US" w:eastAsia="zh-CN"/>
        </w:rPr>
        <w:t>我院</w:t>
      </w:r>
      <w:r>
        <w:rPr>
          <w:rFonts w:hint="eastAsia" w:ascii="仿宋_GB2312" w:hAnsi="仿宋_GB2312" w:eastAsia="仿宋_GB2312" w:cs="仿宋_GB2312"/>
          <w:bCs/>
          <w:color w:val="auto"/>
          <w:sz w:val="32"/>
          <w:szCs w:val="32"/>
          <w:highlight w:val="none"/>
          <w:lang w:eastAsia="zh-CN"/>
        </w:rPr>
        <w:t>为</w:t>
      </w:r>
      <w:r>
        <w:rPr>
          <w:rFonts w:hint="eastAsia" w:ascii="仿宋_GB2312" w:hAnsi="仿宋_GB2312" w:cs="仿宋_GB2312"/>
          <w:bCs/>
          <w:color w:val="auto"/>
          <w:sz w:val="32"/>
          <w:szCs w:val="32"/>
          <w:highlight w:val="none"/>
          <w:lang w:val="en-US" w:eastAsia="zh-CN"/>
        </w:rPr>
        <w:t>柳州市</w:t>
      </w:r>
      <w:r>
        <w:rPr>
          <w:rFonts w:hint="eastAsia" w:ascii="仿宋_GB2312" w:hAnsi="仿宋_GB2312" w:eastAsia="仿宋_GB2312" w:cs="仿宋_GB2312"/>
          <w:bCs/>
          <w:color w:val="auto"/>
          <w:sz w:val="32"/>
          <w:szCs w:val="32"/>
          <w:highlight w:val="none"/>
          <w:lang w:eastAsia="zh-CN"/>
        </w:rPr>
        <w:t>柳江区卫生健康局下属</w:t>
      </w:r>
      <w:r>
        <w:rPr>
          <w:rFonts w:hint="eastAsia" w:ascii="仿宋_GB2312" w:hAnsi="仿宋_GB2312" w:cs="仿宋_GB2312"/>
          <w:bCs/>
          <w:color w:val="auto"/>
          <w:sz w:val="32"/>
          <w:szCs w:val="32"/>
          <w:highlight w:val="none"/>
          <w:lang w:val="en-US" w:eastAsia="zh-CN"/>
        </w:rPr>
        <w:t>差额</w:t>
      </w:r>
      <w:r>
        <w:rPr>
          <w:rFonts w:hint="eastAsia" w:ascii="仿宋_GB2312" w:hAnsi="仿宋_GB2312" w:eastAsia="仿宋_GB2312" w:cs="仿宋_GB2312"/>
          <w:bCs/>
          <w:color w:val="auto"/>
          <w:sz w:val="32"/>
          <w:szCs w:val="32"/>
          <w:highlight w:val="none"/>
          <w:lang w:eastAsia="zh-CN"/>
        </w:rPr>
        <w:t>拨款事业单位，无独立所属单位及二级分支机构。</w:t>
      </w:r>
      <w:r>
        <w:rPr>
          <w:rFonts w:hint="eastAsia" w:ascii="仿宋_GB2312" w:eastAsia="仿宋_GB2312"/>
          <w:color w:val="auto"/>
          <w:sz w:val="32"/>
          <w:szCs w:val="32"/>
          <w:highlight w:val="none"/>
          <w:lang w:eastAsia="zh-CN"/>
        </w:rPr>
        <w:t>下设14个规范化村卫生室，承担辖区基本医疗和公共卫生服务，各项业务及管理由本院内设科室统筹负责。</w:t>
      </w:r>
    </w:p>
    <w:p w14:paraId="6E6DF098">
      <w:pPr>
        <w:tabs>
          <w:tab w:val="center" w:pos="4475"/>
        </w:tabs>
        <w:spacing w:line="560" w:lineRule="exact"/>
        <w:ind w:firstLine="645"/>
        <w:rPr>
          <w:rFonts w:hint="eastAsia" w:ascii="黑体" w:eastAsia="黑体"/>
          <w:szCs w:val="32"/>
        </w:rPr>
      </w:pPr>
      <w:r>
        <w:rPr>
          <w:rFonts w:hint="eastAsia" w:ascii="黑体" w:eastAsia="黑体"/>
          <w:szCs w:val="32"/>
        </w:rPr>
        <w:t>第二部分：柳州市柳江区穿山中心卫生院</w:t>
      </w:r>
      <w:r>
        <w:rPr>
          <w:rFonts w:hint="eastAsia" w:ascii="黑体" w:hAnsi="宋体" w:eastAsia="黑体"/>
          <w:szCs w:val="32"/>
          <w:lang w:eastAsia="zh-CN"/>
        </w:rPr>
        <w:t>2026年</w:t>
      </w:r>
      <w:r>
        <w:rPr>
          <w:rFonts w:hint="eastAsia" w:ascii="黑体" w:eastAsia="黑体"/>
          <w:szCs w:val="32"/>
          <w:lang w:eastAsia="zh-CN"/>
        </w:rPr>
        <w:t>单位</w:t>
      </w:r>
      <w:r>
        <w:rPr>
          <w:rFonts w:hint="eastAsia" w:ascii="黑体" w:eastAsia="黑体"/>
          <w:szCs w:val="32"/>
        </w:rPr>
        <w:t>预算情况说明</w:t>
      </w:r>
    </w:p>
    <w:p w14:paraId="3EF21CB6">
      <w:pPr>
        <w:tabs>
          <w:tab w:val="center" w:pos="4475"/>
        </w:tabs>
        <w:spacing w:line="560" w:lineRule="exact"/>
        <w:ind w:firstLine="645"/>
        <w:rPr>
          <w:rFonts w:hint="eastAsia" w:ascii="黑体" w:eastAsia="黑体"/>
          <w:szCs w:val="32"/>
        </w:rPr>
      </w:pPr>
      <w:r>
        <w:rPr>
          <w:rFonts w:hint="eastAsia" w:ascii="黑体" w:eastAsia="黑体"/>
          <w:szCs w:val="32"/>
        </w:rPr>
        <w:t>一、</w:t>
      </w:r>
      <w:r>
        <w:rPr>
          <w:rFonts w:hint="eastAsia" w:ascii="黑体" w:eastAsia="黑体"/>
          <w:szCs w:val="32"/>
          <w:lang w:eastAsia="zh-CN"/>
        </w:rPr>
        <w:t>单位</w:t>
      </w:r>
      <w:r>
        <w:rPr>
          <w:rFonts w:hint="eastAsia" w:ascii="黑体" w:eastAsia="黑体"/>
          <w:szCs w:val="32"/>
        </w:rPr>
        <w:t>收支总体情况说明</w:t>
      </w:r>
    </w:p>
    <w:p w14:paraId="7D3DF70E">
      <w:pPr>
        <w:tabs>
          <w:tab w:val="center" w:pos="4475"/>
        </w:tabs>
        <w:spacing w:line="560" w:lineRule="exact"/>
        <w:ind w:firstLine="645"/>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总收入</w:t>
      </w:r>
      <w:r>
        <w:rPr>
          <w:rFonts w:hint="eastAsia" w:ascii="仿宋_GB2312"/>
          <w:sz w:val="32"/>
          <w:szCs w:val="32"/>
          <w:lang w:val="en-US" w:eastAsia="zh-CN"/>
        </w:rPr>
        <w:t>2502.86</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总支出</w:t>
      </w:r>
      <w:r>
        <w:rPr>
          <w:rFonts w:hint="eastAsia" w:ascii="仿宋_GB2312"/>
          <w:sz w:val="32"/>
          <w:szCs w:val="32"/>
          <w:lang w:val="en-US" w:eastAsia="zh-CN"/>
        </w:rPr>
        <w:t>2502.86</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sz w:val="32"/>
          <w:szCs w:val="32"/>
          <w:lang w:eastAsia="zh-CN"/>
        </w:rPr>
        <w:t>总收入较上年增长</w:t>
      </w:r>
      <w:r>
        <w:rPr>
          <w:rFonts w:hint="eastAsia" w:ascii="仿宋_GB2312"/>
          <w:sz w:val="32"/>
          <w:szCs w:val="32"/>
          <w:lang w:val="en-US" w:eastAsia="zh-CN"/>
        </w:rPr>
        <w:t>0.3%，主要原因是政策性调增工资基数及人员增加，人员</w:t>
      </w:r>
      <w:r>
        <w:rPr>
          <w:rFonts w:hint="eastAsia" w:ascii="仿宋_GB2312" w:eastAsia="仿宋_GB2312"/>
          <w:sz w:val="32"/>
          <w:szCs w:val="32"/>
          <w:highlight w:val="none"/>
          <w:lang w:val="en-US" w:eastAsia="zh-CN"/>
        </w:rPr>
        <w:t>经费</w:t>
      </w:r>
      <w:r>
        <w:rPr>
          <w:rFonts w:hint="eastAsia" w:ascii="仿宋_GB2312"/>
          <w:sz w:val="32"/>
          <w:szCs w:val="32"/>
          <w:lang w:val="en-US" w:eastAsia="zh-CN"/>
        </w:rPr>
        <w:t>收入增加。总支出</w:t>
      </w:r>
      <w:r>
        <w:rPr>
          <w:rFonts w:hint="eastAsia" w:ascii="仿宋_GB2312"/>
          <w:sz w:val="32"/>
          <w:szCs w:val="32"/>
          <w:lang w:eastAsia="zh-CN"/>
        </w:rPr>
        <w:t>较上年增长</w:t>
      </w:r>
      <w:r>
        <w:rPr>
          <w:rFonts w:hint="eastAsia" w:ascii="仿宋_GB2312"/>
          <w:sz w:val="32"/>
          <w:szCs w:val="32"/>
          <w:lang w:val="en-US" w:eastAsia="zh-CN"/>
        </w:rPr>
        <w:t>0.3%，主要原因是政策性调增工资基数及人员增加，人员经费支出增加。</w:t>
      </w:r>
    </w:p>
    <w:p w14:paraId="0B21BD40">
      <w:pPr>
        <w:tabs>
          <w:tab w:val="center" w:pos="4475"/>
        </w:tabs>
        <w:spacing w:line="560" w:lineRule="exact"/>
        <w:ind w:firstLine="645"/>
        <w:rPr>
          <w:rFonts w:hint="eastAsia" w:ascii="黑体" w:eastAsia="黑体"/>
          <w:szCs w:val="32"/>
        </w:rPr>
      </w:pPr>
      <w:r>
        <w:rPr>
          <w:rFonts w:hint="eastAsia" w:ascii="黑体" w:eastAsia="黑体"/>
          <w:szCs w:val="32"/>
        </w:rPr>
        <w:t>二、</w:t>
      </w:r>
      <w:r>
        <w:rPr>
          <w:rFonts w:hint="eastAsia" w:ascii="黑体" w:eastAsia="黑体"/>
          <w:szCs w:val="32"/>
          <w:lang w:eastAsia="zh-CN"/>
        </w:rPr>
        <w:t>单位</w:t>
      </w:r>
      <w:r>
        <w:rPr>
          <w:rFonts w:hint="eastAsia" w:ascii="黑体" w:eastAsia="黑体"/>
          <w:szCs w:val="32"/>
        </w:rPr>
        <w:t>收入总体情况说明</w:t>
      </w:r>
    </w:p>
    <w:p w14:paraId="134A9663">
      <w:pPr>
        <w:keepNext w:val="0"/>
        <w:keepLines w:val="0"/>
        <w:pageBreakBefore w:val="0"/>
        <w:widowControl w:val="0"/>
        <w:tabs>
          <w:tab w:val="center" w:pos="4475"/>
        </w:tabs>
        <w:kinsoku/>
        <w:wordWrap/>
        <w:overflowPunct/>
        <w:topLinePunct w:val="0"/>
        <w:autoSpaceDE/>
        <w:bidi w:val="0"/>
        <w:spacing w:line="620" w:lineRule="exact"/>
        <w:ind w:firstLine="645"/>
        <w:textAlignment w:val="auto"/>
        <w:rPr>
          <w:rFonts w:hint="eastAsia" w:ascii="黑体" w:eastAsia="黑体"/>
          <w:szCs w:val="32"/>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highlight w:val="none"/>
        </w:rPr>
        <w:t>总收入</w:t>
      </w:r>
      <w:r>
        <w:rPr>
          <w:rFonts w:hint="eastAsia" w:ascii="仿宋_GB2312"/>
          <w:sz w:val="32"/>
          <w:szCs w:val="32"/>
          <w:highlight w:val="none"/>
          <w:lang w:val="en-US" w:eastAsia="zh-CN"/>
        </w:rPr>
        <w:t>2502.86</w:t>
      </w:r>
      <w:r>
        <w:rPr>
          <w:rFonts w:hint="eastAsia" w:ascii="仿宋_GB2312" w:eastAsia="仿宋_GB2312"/>
          <w:sz w:val="32"/>
          <w:szCs w:val="32"/>
          <w:highlight w:val="none"/>
        </w:rPr>
        <w:t>万元</w:t>
      </w:r>
      <w:r>
        <w:rPr>
          <w:rFonts w:hint="eastAsia" w:ascii="仿宋_GB2312"/>
          <w:sz w:val="32"/>
          <w:szCs w:val="32"/>
          <w:highlight w:val="none"/>
          <w:lang w:eastAsia="zh-CN"/>
        </w:rPr>
        <w:t>，较上年增长</w:t>
      </w:r>
      <w:r>
        <w:rPr>
          <w:rFonts w:hint="eastAsia" w:ascii="仿宋_GB2312"/>
          <w:sz w:val="32"/>
          <w:szCs w:val="32"/>
          <w:highlight w:val="none"/>
          <w:lang w:val="en-US" w:eastAsia="zh-CN"/>
        </w:rPr>
        <w:t>0.3</w:t>
      </w:r>
      <w:r>
        <w:rPr>
          <w:rFonts w:hint="eastAsia" w:ascii="仿宋_GB2312"/>
          <w:sz w:val="32"/>
          <w:szCs w:val="32"/>
          <w:lang w:val="en-US" w:eastAsia="zh-CN"/>
        </w:rPr>
        <w:t>%，主要原因是政策性调增工资基数及人员增加，人员经费收入增加。</w:t>
      </w:r>
    </w:p>
    <w:p w14:paraId="12A12A79">
      <w:pPr>
        <w:tabs>
          <w:tab w:val="center" w:pos="4475"/>
        </w:tabs>
        <w:spacing w:line="560" w:lineRule="exact"/>
        <w:ind w:firstLine="645"/>
        <w:rPr>
          <w:rFonts w:hint="eastAsia" w:ascii="黑体" w:eastAsia="黑体"/>
          <w:szCs w:val="32"/>
        </w:rPr>
      </w:pPr>
      <w:r>
        <w:rPr>
          <w:rFonts w:hint="eastAsia" w:ascii="黑体" w:eastAsia="黑体"/>
          <w:szCs w:val="32"/>
        </w:rPr>
        <w:t>三、</w:t>
      </w:r>
      <w:r>
        <w:rPr>
          <w:rFonts w:hint="eastAsia" w:ascii="黑体" w:eastAsia="黑体"/>
          <w:szCs w:val="32"/>
          <w:lang w:eastAsia="zh-CN"/>
        </w:rPr>
        <w:t>单位</w:t>
      </w:r>
      <w:r>
        <w:rPr>
          <w:rFonts w:hint="eastAsia" w:ascii="黑体" w:eastAsia="黑体"/>
          <w:szCs w:val="32"/>
        </w:rPr>
        <w:t>支出总体情况说明</w:t>
      </w:r>
    </w:p>
    <w:p w14:paraId="63491F33">
      <w:pPr>
        <w:tabs>
          <w:tab w:val="center" w:pos="4475"/>
        </w:tabs>
        <w:spacing w:line="560" w:lineRule="exact"/>
        <w:ind w:firstLine="645"/>
        <w:rPr>
          <w:rFonts w:hint="default" w:ascii="黑体" w:eastAsia="黑体"/>
          <w:color w:val="auto"/>
          <w:szCs w:val="32"/>
          <w:lang w:val="en-US"/>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总</w:t>
      </w:r>
      <w:r>
        <w:rPr>
          <w:rFonts w:hint="eastAsia" w:ascii="仿宋_GB2312"/>
          <w:sz w:val="32"/>
          <w:szCs w:val="32"/>
          <w:lang w:eastAsia="zh-CN"/>
        </w:rPr>
        <w:t>支出</w:t>
      </w:r>
      <w:r>
        <w:rPr>
          <w:rFonts w:hint="eastAsia" w:ascii="仿宋_GB2312"/>
          <w:sz w:val="32"/>
          <w:szCs w:val="32"/>
          <w:lang w:val="en-US" w:eastAsia="zh-CN"/>
        </w:rPr>
        <w:t>2502.86</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0.3%，主要原因是政策性调增工资基数及人员增加，人员经费支出增加。主要包括：事业单位离退休</w:t>
      </w:r>
      <w:r>
        <w:rPr>
          <w:rFonts w:hint="eastAsia" w:ascii="仿宋_GB2312" w:eastAsia="仿宋_GB2312"/>
          <w:color w:val="auto"/>
          <w:sz w:val="32"/>
          <w:szCs w:val="32"/>
          <w:highlight w:val="none"/>
          <w:lang w:val="en-US" w:eastAsia="zh-CN"/>
        </w:rPr>
        <w:t>支出</w:t>
      </w:r>
      <w:r>
        <w:rPr>
          <w:rFonts w:hint="eastAsia" w:ascii="仿宋_GB2312"/>
          <w:color w:val="auto"/>
          <w:sz w:val="32"/>
          <w:szCs w:val="32"/>
          <w:highlight w:val="none"/>
          <w:lang w:val="en-US" w:eastAsia="zh-CN"/>
        </w:rPr>
        <w:t>13.56</w:t>
      </w:r>
      <w:r>
        <w:rPr>
          <w:rFonts w:hint="eastAsia" w:ascii="仿宋_GB2312" w:eastAsia="仿宋_GB2312"/>
          <w:color w:val="auto"/>
          <w:sz w:val="32"/>
          <w:szCs w:val="32"/>
          <w:highlight w:val="none"/>
          <w:lang w:val="en-US" w:eastAsia="zh-CN"/>
        </w:rPr>
        <w:t>万元，占总支出</w:t>
      </w:r>
      <w:r>
        <w:rPr>
          <w:rFonts w:hint="eastAsia" w:ascii="仿宋_GB2312"/>
          <w:color w:val="auto"/>
          <w:sz w:val="32"/>
          <w:szCs w:val="32"/>
          <w:highlight w:val="none"/>
          <w:lang w:val="en-US" w:eastAsia="zh-CN"/>
        </w:rPr>
        <w:t>0.54%</w:t>
      </w:r>
      <w:r>
        <w:rPr>
          <w:rFonts w:hint="eastAsia" w:ascii="仿宋_GB2312" w:eastAsia="仿宋_GB2312"/>
          <w:color w:val="auto"/>
          <w:sz w:val="32"/>
          <w:szCs w:val="32"/>
          <w:highlight w:val="none"/>
          <w:lang w:val="en-US" w:eastAsia="zh-CN"/>
        </w:rPr>
        <w:t>；乡镇卫生院支出</w:t>
      </w:r>
      <w:r>
        <w:rPr>
          <w:rFonts w:hint="eastAsia" w:ascii="仿宋_GB2312"/>
          <w:color w:val="auto"/>
          <w:sz w:val="32"/>
          <w:szCs w:val="32"/>
          <w:highlight w:val="none"/>
          <w:lang w:val="en-US" w:eastAsia="zh-CN"/>
        </w:rPr>
        <w:t>2430.93</w:t>
      </w:r>
      <w:r>
        <w:rPr>
          <w:rFonts w:hint="eastAsia" w:ascii="仿宋_GB2312" w:eastAsia="仿宋_GB2312"/>
          <w:color w:val="auto"/>
          <w:sz w:val="32"/>
          <w:szCs w:val="32"/>
          <w:highlight w:val="none"/>
          <w:lang w:val="en-US" w:eastAsia="zh-CN"/>
        </w:rPr>
        <w:t>万元，占总支出</w:t>
      </w:r>
      <w:r>
        <w:rPr>
          <w:rFonts w:hint="eastAsia" w:ascii="仿宋_GB2312"/>
          <w:color w:val="auto"/>
          <w:sz w:val="32"/>
          <w:szCs w:val="32"/>
          <w:highlight w:val="none"/>
          <w:lang w:val="en-US" w:eastAsia="zh-CN"/>
        </w:rPr>
        <w:t>97.13%；其他基层医疗卫生机构支出46.49万元，</w:t>
      </w:r>
      <w:r>
        <w:rPr>
          <w:rFonts w:hint="eastAsia" w:ascii="仿宋_GB2312" w:eastAsia="仿宋_GB2312"/>
          <w:color w:val="auto"/>
          <w:sz w:val="32"/>
          <w:szCs w:val="32"/>
          <w:highlight w:val="none"/>
          <w:lang w:val="en-US" w:eastAsia="zh-CN"/>
        </w:rPr>
        <w:t>占总支出</w:t>
      </w:r>
      <w:r>
        <w:rPr>
          <w:rFonts w:hint="eastAsia" w:ascii="仿宋_GB2312"/>
          <w:color w:val="auto"/>
          <w:sz w:val="32"/>
          <w:szCs w:val="32"/>
          <w:highlight w:val="none"/>
          <w:lang w:val="en-US" w:eastAsia="zh-CN"/>
        </w:rPr>
        <w:t>1.86%</w:t>
      </w:r>
      <w:r>
        <w:rPr>
          <w:rFonts w:hint="eastAsia" w:ascii="仿宋_GB2312" w:eastAsia="仿宋_GB2312"/>
          <w:color w:val="auto"/>
          <w:sz w:val="32"/>
          <w:szCs w:val="32"/>
          <w:highlight w:val="none"/>
          <w:lang w:val="en-US" w:eastAsia="zh-CN"/>
        </w:rPr>
        <w:t>。其他国有土地使用权出让收入安排的</w:t>
      </w:r>
      <w:r>
        <w:rPr>
          <w:rFonts w:hint="eastAsia" w:ascii="仿宋_GB2312"/>
          <w:color w:val="auto"/>
          <w:sz w:val="32"/>
          <w:szCs w:val="32"/>
          <w:highlight w:val="none"/>
          <w:lang w:val="en-US" w:eastAsia="zh-CN"/>
        </w:rPr>
        <w:t>支出11.88万元，</w:t>
      </w:r>
      <w:r>
        <w:rPr>
          <w:rFonts w:hint="eastAsia" w:ascii="仿宋_GB2312" w:eastAsia="仿宋_GB2312"/>
          <w:color w:val="auto"/>
          <w:sz w:val="32"/>
          <w:szCs w:val="32"/>
          <w:highlight w:val="none"/>
          <w:lang w:val="en-US" w:eastAsia="zh-CN"/>
        </w:rPr>
        <w:t>占总支出</w:t>
      </w:r>
      <w:r>
        <w:rPr>
          <w:rFonts w:hint="eastAsia" w:ascii="仿宋_GB2312"/>
          <w:color w:val="auto"/>
          <w:sz w:val="32"/>
          <w:szCs w:val="32"/>
          <w:highlight w:val="none"/>
          <w:lang w:val="en-US" w:eastAsia="zh-CN"/>
        </w:rPr>
        <w:t>0.47%。</w:t>
      </w:r>
    </w:p>
    <w:p w14:paraId="52AD09B3">
      <w:pPr>
        <w:tabs>
          <w:tab w:val="center" w:pos="4475"/>
        </w:tabs>
        <w:spacing w:line="560" w:lineRule="exact"/>
        <w:ind w:firstLine="645"/>
        <w:rPr>
          <w:rFonts w:hint="eastAsia" w:ascii="黑体" w:eastAsia="黑体"/>
          <w:szCs w:val="32"/>
        </w:rPr>
      </w:pPr>
      <w:r>
        <w:rPr>
          <w:rFonts w:hint="eastAsia" w:ascii="黑体" w:eastAsia="黑体"/>
          <w:szCs w:val="32"/>
        </w:rPr>
        <w:t>四、财政拨款收支总体情况说明</w:t>
      </w:r>
    </w:p>
    <w:p w14:paraId="5616E25F">
      <w:pPr>
        <w:tabs>
          <w:tab w:val="center" w:pos="4475"/>
        </w:tabs>
        <w:spacing w:line="560" w:lineRule="exact"/>
        <w:ind w:firstLine="645"/>
        <w:rPr>
          <w:rFonts w:hint="eastAsia" w:ascii="仿宋_GB2312" w:eastAsia="仿宋_GB2312"/>
          <w:sz w:val="32"/>
          <w:szCs w:val="32"/>
          <w:highlight w:val="none"/>
          <w:lang w:eastAsia="zh-CN"/>
        </w:rPr>
      </w:pPr>
      <w:r>
        <w:rPr>
          <w:rFonts w:hint="eastAsia" w:ascii="仿宋_GB2312" w:hAnsi="宋体" w:eastAsia="仿宋_GB2312" w:cs="Times New Roman"/>
          <w:szCs w:val="32"/>
          <w:highlight w:val="none"/>
          <w:lang w:eastAsia="zh-CN"/>
        </w:rPr>
        <w:t>我</w:t>
      </w:r>
      <w:r>
        <w:rPr>
          <w:rFonts w:hint="eastAsia" w:ascii="仿宋_GB2312" w:hAnsi="宋体" w:cs="Times New Roman"/>
          <w:szCs w:val="32"/>
          <w:highlight w:val="none"/>
          <w:lang w:eastAsia="zh-CN"/>
        </w:rPr>
        <w:t>单位</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val="en-US" w:eastAsia="zh-CN"/>
        </w:rPr>
        <w:t>622.7</w:t>
      </w:r>
      <w:r>
        <w:rPr>
          <w:rFonts w:hint="eastAsia" w:ascii="仿宋_GB2312" w:eastAsia="仿宋_GB2312"/>
          <w:sz w:val="32"/>
          <w:szCs w:val="32"/>
          <w:lang w:val="en-US" w:eastAsia="zh-CN"/>
        </w:rPr>
        <w:t>万元，总支出</w:t>
      </w:r>
      <w:r>
        <w:rPr>
          <w:rFonts w:hint="eastAsia" w:ascii="仿宋_GB2312"/>
          <w:sz w:val="32"/>
          <w:szCs w:val="32"/>
          <w:lang w:val="en-US" w:eastAsia="zh-CN"/>
        </w:rPr>
        <w:t>622.7</w:t>
      </w:r>
      <w:r>
        <w:rPr>
          <w:rFonts w:hint="eastAsia" w:ascii="仿宋_GB2312" w:eastAsia="仿宋_GB2312"/>
          <w:sz w:val="32"/>
          <w:szCs w:val="32"/>
          <w:lang w:val="en-US" w:eastAsia="zh-CN"/>
        </w:rPr>
        <w:t>万元</w:t>
      </w:r>
      <w:r>
        <w:rPr>
          <w:rFonts w:hint="eastAsia" w:ascii="仿宋_GB2312"/>
          <w:sz w:val="32"/>
          <w:szCs w:val="32"/>
          <w:highlight w:val="none"/>
          <w:lang w:eastAsia="zh-CN"/>
        </w:rPr>
        <w:t>。</w:t>
      </w:r>
      <w:r>
        <w:rPr>
          <w:rFonts w:hint="eastAsia" w:ascii="仿宋_GB2312" w:eastAsia="仿宋_GB2312"/>
          <w:sz w:val="32"/>
          <w:szCs w:val="32"/>
        </w:rPr>
        <w:t>财政拨款</w:t>
      </w:r>
      <w:r>
        <w:rPr>
          <w:rFonts w:hint="eastAsia" w:ascii="仿宋_GB2312" w:eastAsia="仿宋_GB2312"/>
          <w:sz w:val="32"/>
          <w:szCs w:val="32"/>
          <w:lang w:eastAsia="zh-CN"/>
        </w:rPr>
        <w:t>总收入</w:t>
      </w:r>
      <w:r>
        <w:rPr>
          <w:rFonts w:hint="eastAsia" w:ascii="仿宋_GB2312"/>
          <w:sz w:val="32"/>
          <w:szCs w:val="32"/>
          <w:lang w:eastAsia="zh-CN"/>
        </w:rPr>
        <w:t>较上年增长</w:t>
      </w:r>
      <w:r>
        <w:rPr>
          <w:rFonts w:hint="eastAsia" w:ascii="仿宋_GB2312"/>
          <w:sz w:val="32"/>
          <w:szCs w:val="32"/>
          <w:lang w:val="en-US" w:eastAsia="zh-CN"/>
        </w:rPr>
        <w:t>25.8%，主要原因是政策性调增工资基数及人员增加，收入增加。</w:t>
      </w:r>
      <w:r>
        <w:rPr>
          <w:rFonts w:hint="eastAsia" w:ascii="仿宋_GB2312" w:eastAsia="仿宋_GB2312"/>
          <w:sz w:val="32"/>
          <w:szCs w:val="32"/>
        </w:rPr>
        <w:t>财政拨款</w:t>
      </w:r>
      <w:r>
        <w:rPr>
          <w:rFonts w:hint="eastAsia" w:ascii="仿宋_GB2312"/>
          <w:sz w:val="32"/>
          <w:szCs w:val="32"/>
          <w:lang w:val="en-US" w:eastAsia="zh-CN"/>
        </w:rPr>
        <w:t>总支出</w:t>
      </w:r>
      <w:r>
        <w:rPr>
          <w:rFonts w:hint="eastAsia" w:ascii="仿宋_GB2312"/>
          <w:sz w:val="32"/>
          <w:szCs w:val="32"/>
          <w:lang w:eastAsia="zh-CN"/>
        </w:rPr>
        <w:t>较上年增长</w:t>
      </w:r>
      <w:r>
        <w:rPr>
          <w:rFonts w:hint="eastAsia" w:ascii="仿宋_GB2312"/>
          <w:sz w:val="32"/>
          <w:szCs w:val="32"/>
          <w:lang w:val="en-US" w:eastAsia="zh-CN"/>
        </w:rPr>
        <w:t>25.8 %，主要原因是政策性调增工资基数及人员增加，支出增加。</w:t>
      </w:r>
    </w:p>
    <w:p w14:paraId="3E3F8172">
      <w:pPr>
        <w:tabs>
          <w:tab w:val="center" w:pos="4475"/>
        </w:tabs>
        <w:spacing w:line="560" w:lineRule="exact"/>
        <w:ind w:firstLine="645"/>
        <w:rPr>
          <w:rFonts w:hint="eastAsia" w:ascii="黑体" w:eastAsia="黑体"/>
          <w:szCs w:val="32"/>
        </w:rPr>
      </w:pPr>
      <w:r>
        <w:rPr>
          <w:rFonts w:hint="eastAsia" w:ascii="黑体" w:eastAsia="黑体"/>
          <w:szCs w:val="32"/>
        </w:rPr>
        <w:t>五、一般公共预算支出情况说明</w:t>
      </w:r>
    </w:p>
    <w:p w14:paraId="66E93FD8">
      <w:pPr>
        <w:tabs>
          <w:tab w:val="center" w:pos="4475"/>
        </w:tabs>
        <w:spacing w:line="560" w:lineRule="exact"/>
        <w:ind w:firstLine="645"/>
        <w:rPr>
          <w:rFonts w:hint="default" w:ascii="仿宋_GB2312"/>
          <w:sz w:val="32"/>
          <w:szCs w:val="32"/>
          <w:lang w:val="en-US" w:eastAsia="zh-CN"/>
        </w:rPr>
      </w:pPr>
      <w:r>
        <w:rPr>
          <w:rFonts w:hint="eastAsia" w:ascii="仿宋_GB2312"/>
          <w:sz w:val="32"/>
          <w:szCs w:val="32"/>
          <w:lang w:eastAsia="zh-CN"/>
        </w:rPr>
        <w:t>我单位</w:t>
      </w:r>
      <w:r>
        <w:rPr>
          <w:rFonts w:hint="eastAsia" w:ascii="仿宋_GB2312" w:eastAsia="仿宋_GB2312"/>
          <w:sz w:val="32"/>
          <w:szCs w:val="32"/>
        </w:rPr>
        <w:t>一般公共预算支出</w:t>
      </w:r>
      <w:r>
        <w:rPr>
          <w:rFonts w:hint="eastAsia" w:ascii="仿宋_GB2312" w:eastAsia="仿宋_GB2312"/>
          <w:sz w:val="32"/>
          <w:szCs w:val="32"/>
          <w:lang w:eastAsia="zh-CN"/>
        </w:rPr>
        <w:t>共</w:t>
      </w:r>
      <w:r>
        <w:rPr>
          <w:rFonts w:hint="eastAsia" w:ascii="仿宋_GB2312"/>
          <w:sz w:val="32"/>
          <w:szCs w:val="32"/>
          <w:lang w:val="en-US" w:eastAsia="zh-CN"/>
        </w:rPr>
        <w:t>610.82</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23.4%，主要原因是政策性调增工资基数及人员增加，人员经费支出增加</w:t>
      </w:r>
      <w:r>
        <w:rPr>
          <w:rFonts w:hint="eastAsia" w:ascii="仿宋_GB2312"/>
          <w:szCs w:val="32"/>
          <w:lang w:eastAsia="zh-CN"/>
        </w:rPr>
        <w:t>。</w:t>
      </w:r>
      <w:r>
        <w:rPr>
          <w:rFonts w:hint="eastAsia" w:ascii="仿宋_GB2312"/>
          <w:sz w:val="32"/>
          <w:szCs w:val="32"/>
          <w:lang w:eastAsia="zh-CN"/>
        </w:rPr>
        <w:t>具体情况为：</w:t>
      </w:r>
    </w:p>
    <w:p w14:paraId="615066AB">
      <w:pPr>
        <w:pStyle w:val="4"/>
        <w:spacing w:before="0" w:beforeAutospacing="0" w:after="0" w:afterAutospacing="0" w:line="540" w:lineRule="exact"/>
        <w:ind w:firstLine="640" w:firstLineChars="200"/>
        <w:rPr>
          <w:rFonts w:hint="eastAsia" w:ascii="仿宋_GB2312" w:hAnsi="Times New Roman" w:eastAsia="仿宋_GB2312" w:cs="Times New Roman"/>
          <w:color w:val="auto"/>
          <w:kern w:val="2"/>
          <w:sz w:val="32"/>
          <w:szCs w:val="32"/>
          <w:highlight w:val="none"/>
        </w:rPr>
      </w:pPr>
      <w:r>
        <w:rPr>
          <w:rFonts w:hint="eastAsia" w:ascii="仿宋_GB2312" w:hAnsi="Times New Roman" w:eastAsia="仿宋_GB2312" w:cs="Times New Roman"/>
          <w:color w:val="auto"/>
          <w:kern w:val="2"/>
          <w:sz w:val="32"/>
          <w:szCs w:val="32"/>
          <w:highlight w:val="none"/>
        </w:rPr>
        <w:t>（1）社会保障和就业支出</w:t>
      </w:r>
      <w:r>
        <w:rPr>
          <w:rFonts w:hint="eastAsia" w:ascii="仿宋_GB2312" w:hAnsi="Times New Roman" w:cs="Times New Roman"/>
          <w:color w:val="auto"/>
          <w:kern w:val="2"/>
          <w:sz w:val="32"/>
          <w:szCs w:val="32"/>
          <w:highlight w:val="none"/>
          <w:lang w:eastAsia="zh-CN"/>
        </w:rPr>
        <w:t>（</w:t>
      </w:r>
      <w:r>
        <w:rPr>
          <w:rFonts w:hint="eastAsia" w:ascii="仿宋_GB2312" w:hAnsi="Times New Roman" w:cs="Times New Roman"/>
          <w:color w:val="auto"/>
          <w:kern w:val="2"/>
          <w:sz w:val="32"/>
          <w:szCs w:val="32"/>
          <w:highlight w:val="none"/>
          <w:lang w:val="en-US" w:eastAsia="zh-CN"/>
        </w:rPr>
        <w:t>类</w:t>
      </w:r>
      <w:r>
        <w:rPr>
          <w:rFonts w:hint="eastAsia" w:ascii="仿宋_GB2312" w:hAnsi="Times New Roman" w:cs="Times New Roman"/>
          <w:color w:val="auto"/>
          <w:kern w:val="2"/>
          <w:sz w:val="32"/>
          <w:szCs w:val="32"/>
          <w:highlight w:val="none"/>
          <w:lang w:eastAsia="zh-CN"/>
        </w:rPr>
        <w:t>）行政事业单位养老支出（</w:t>
      </w:r>
      <w:r>
        <w:rPr>
          <w:rFonts w:hint="eastAsia" w:ascii="仿宋_GB2312" w:hAnsi="Times New Roman" w:cs="Times New Roman"/>
          <w:color w:val="auto"/>
          <w:kern w:val="2"/>
          <w:sz w:val="32"/>
          <w:szCs w:val="32"/>
          <w:highlight w:val="none"/>
          <w:lang w:val="en-US" w:eastAsia="zh-CN"/>
        </w:rPr>
        <w:t>款</w:t>
      </w:r>
      <w:r>
        <w:rPr>
          <w:rFonts w:hint="eastAsia" w:ascii="仿宋_GB2312" w:hAnsi="Times New Roman" w:cs="Times New Roman"/>
          <w:color w:val="auto"/>
          <w:kern w:val="2"/>
          <w:sz w:val="32"/>
          <w:szCs w:val="32"/>
          <w:highlight w:val="none"/>
          <w:lang w:eastAsia="zh-CN"/>
        </w:rPr>
        <w:t>）事业单位离退休（</w:t>
      </w:r>
      <w:r>
        <w:rPr>
          <w:rFonts w:hint="eastAsia" w:ascii="仿宋_GB2312" w:hAnsi="Times New Roman" w:cs="Times New Roman"/>
          <w:color w:val="auto"/>
          <w:kern w:val="2"/>
          <w:sz w:val="32"/>
          <w:szCs w:val="32"/>
          <w:highlight w:val="none"/>
          <w:lang w:val="en-US" w:eastAsia="zh-CN"/>
        </w:rPr>
        <w:t>项</w:t>
      </w:r>
      <w:r>
        <w:rPr>
          <w:rFonts w:hint="eastAsia" w:ascii="仿宋_GB2312" w:hAnsi="Times New Roman" w:cs="Times New Roman"/>
          <w:color w:val="auto"/>
          <w:kern w:val="2"/>
          <w:sz w:val="32"/>
          <w:szCs w:val="32"/>
          <w:highlight w:val="none"/>
          <w:lang w:eastAsia="zh-CN"/>
        </w:rPr>
        <w:t>）</w:t>
      </w:r>
      <w:r>
        <w:rPr>
          <w:rFonts w:hint="eastAsia" w:ascii="仿宋_GB2312" w:hAnsi="Times New Roman" w:cs="Times New Roman"/>
          <w:color w:val="auto"/>
          <w:kern w:val="2"/>
          <w:sz w:val="32"/>
          <w:szCs w:val="32"/>
          <w:highlight w:val="none"/>
          <w:lang w:val="en-US" w:eastAsia="zh-CN"/>
        </w:rPr>
        <w:t>支出</w:t>
      </w:r>
      <w:r>
        <w:rPr>
          <w:rFonts w:hint="eastAsia" w:ascii="仿宋_GB2312" w:hAnsi="Times New Roman" w:eastAsia="仿宋_GB2312" w:cs="Times New Roman"/>
          <w:color w:val="auto"/>
          <w:kern w:val="2"/>
          <w:sz w:val="32"/>
          <w:szCs w:val="32"/>
          <w:highlight w:val="none"/>
        </w:rPr>
        <w:t>预算</w:t>
      </w:r>
      <w:r>
        <w:rPr>
          <w:rFonts w:hint="eastAsia" w:ascii="仿宋_GB2312" w:hAnsi="Times New Roman" w:cs="Times New Roman"/>
          <w:color w:val="auto"/>
          <w:kern w:val="2"/>
          <w:sz w:val="32"/>
          <w:szCs w:val="32"/>
          <w:highlight w:val="none"/>
          <w:lang w:val="en-US" w:eastAsia="zh-CN"/>
        </w:rPr>
        <w:t>13.56</w:t>
      </w:r>
      <w:r>
        <w:rPr>
          <w:rFonts w:hint="eastAsia" w:ascii="仿宋_GB2312" w:hAnsi="Times New Roman" w:eastAsia="仿宋_GB2312" w:cs="Times New Roman"/>
          <w:color w:val="auto"/>
          <w:kern w:val="2"/>
          <w:sz w:val="32"/>
          <w:szCs w:val="32"/>
          <w:highlight w:val="none"/>
        </w:rPr>
        <w:t>万元，占支出总预算</w:t>
      </w:r>
      <w:r>
        <w:rPr>
          <w:rFonts w:hint="eastAsia" w:ascii="仿宋_GB2312" w:hAnsi="Times New Roman" w:cs="Times New Roman"/>
          <w:color w:val="auto"/>
          <w:kern w:val="2"/>
          <w:sz w:val="32"/>
          <w:szCs w:val="32"/>
          <w:highlight w:val="none"/>
          <w:lang w:val="en-US" w:eastAsia="zh-CN"/>
        </w:rPr>
        <w:t>2.22%</w:t>
      </w:r>
      <w:r>
        <w:rPr>
          <w:rFonts w:hint="eastAsia" w:ascii="仿宋_GB2312" w:hAnsi="Times New Roman" w:eastAsia="仿宋_GB2312" w:cs="Times New Roman"/>
          <w:color w:val="auto"/>
          <w:kern w:val="2"/>
          <w:sz w:val="32"/>
          <w:szCs w:val="32"/>
          <w:highlight w:val="none"/>
        </w:rPr>
        <w:t>，</w:t>
      </w:r>
      <w:r>
        <w:rPr>
          <w:rFonts w:hint="eastAsia" w:ascii="仿宋_GB2312" w:eastAsia="仿宋_GB2312"/>
          <w:color w:val="auto"/>
          <w:sz w:val="32"/>
          <w:szCs w:val="32"/>
          <w:highlight w:val="none"/>
        </w:rPr>
        <w:t>同比增</w:t>
      </w:r>
      <w:r>
        <w:rPr>
          <w:rFonts w:hint="eastAsia" w:ascii="仿宋_GB2312"/>
          <w:color w:val="auto"/>
          <w:sz w:val="32"/>
          <w:szCs w:val="32"/>
          <w:highlight w:val="none"/>
          <w:lang w:val="en-US" w:eastAsia="zh-CN"/>
        </w:rPr>
        <w:t>加4.33</w:t>
      </w:r>
      <w:r>
        <w:rPr>
          <w:rFonts w:hint="eastAsia" w:ascii="仿宋_GB2312" w:eastAsia="仿宋_GB2312"/>
          <w:color w:val="auto"/>
          <w:sz w:val="32"/>
          <w:szCs w:val="32"/>
          <w:highlight w:val="none"/>
        </w:rPr>
        <w:t>万元，同比增长</w:t>
      </w:r>
      <w:r>
        <w:rPr>
          <w:rFonts w:hint="eastAsia" w:ascii="仿宋_GB2312"/>
          <w:color w:val="auto"/>
          <w:sz w:val="32"/>
          <w:szCs w:val="32"/>
          <w:highlight w:val="none"/>
          <w:lang w:val="en-US" w:eastAsia="zh-CN"/>
        </w:rPr>
        <w:t>46.91</w:t>
      </w:r>
      <w:r>
        <w:rPr>
          <w:rFonts w:hint="eastAsia" w:ascii="仿宋_GB2312" w:eastAsia="仿宋_GB2312"/>
          <w:color w:val="auto"/>
          <w:sz w:val="32"/>
          <w:szCs w:val="32"/>
          <w:highlight w:val="none"/>
        </w:rPr>
        <w:t>%</w:t>
      </w:r>
      <w:r>
        <w:rPr>
          <w:rFonts w:hint="eastAsia" w:ascii="仿宋_GB2312"/>
          <w:color w:val="auto"/>
          <w:sz w:val="32"/>
          <w:szCs w:val="32"/>
          <w:highlight w:val="none"/>
          <w:lang w:eastAsia="zh-CN"/>
        </w:rPr>
        <w:t>，</w:t>
      </w:r>
      <w:r>
        <w:rPr>
          <w:rFonts w:hint="eastAsia" w:ascii="仿宋_GB2312"/>
          <w:color w:val="auto"/>
          <w:sz w:val="32"/>
          <w:szCs w:val="32"/>
          <w:lang w:val="en-US" w:eastAsia="zh-CN"/>
        </w:rPr>
        <w:t>主要原因是本年新增</w:t>
      </w:r>
      <w:r>
        <w:rPr>
          <w:rFonts w:hint="eastAsia" w:ascii="仿宋_GB2312"/>
          <w:color w:val="auto"/>
          <w:sz w:val="32"/>
          <w:szCs w:val="32"/>
          <w:highlight w:val="none"/>
          <w:lang w:val="en-US" w:eastAsia="zh-CN"/>
        </w:rPr>
        <w:t>退休乡村医生及家庭接生员</w:t>
      </w:r>
      <w:r>
        <w:rPr>
          <w:rFonts w:hint="eastAsia" w:ascii="仿宋_GB2312"/>
          <w:color w:val="auto"/>
          <w:sz w:val="32"/>
          <w:szCs w:val="32"/>
          <w:lang w:val="en-US" w:eastAsia="zh-CN"/>
        </w:rPr>
        <w:t>预算项目</w:t>
      </w:r>
      <w:r>
        <w:rPr>
          <w:rFonts w:hint="eastAsia" w:ascii="仿宋_GB2312"/>
          <w:color w:val="auto"/>
          <w:sz w:val="32"/>
          <w:szCs w:val="32"/>
          <w:highlight w:val="none"/>
          <w:lang w:val="en-US" w:eastAsia="zh-CN"/>
        </w:rPr>
        <w:t>。</w:t>
      </w:r>
    </w:p>
    <w:p w14:paraId="2FECB612">
      <w:pPr>
        <w:pStyle w:val="4"/>
        <w:spacing w:before="0" w:beforeAutospacing="0" w:after="0" w:afterAutospacing="0" w:line="540" w:lineRule="exact"/>
        <w:ind w:firstLine="640" w:firstLineChars="200"/>
        <w:rPr>
          <w:rFonts w:hint="eastAsia" w:ascii="仿宋_GB2312"/>
          <w:color w:val="auto"/>
          <w:sz w:val="32"/>
          <w:szCs w:val="32"/>
          <w:lang w:val="en-US" w:eastAsia="zh-CN"/>
        </w:rPr>
      </w:pPr>
      <w:r>
        <w:rPr>
          <w:rFonts w:hint="eastAsia" w:ascii="仿宋_GB2312" w:hAnsi="Times New Roman" w:eastAsia="仿宋_GB2312" w:cs="Times New Roman"/>
          <w:color w:val="auto"/>
          <w:kern w:val="2"/>
          <w:sz w:val="32"/>
          <w:szCs w:val="32"/>
          <w:highlight w:val="none"/>
        </w:rPr>
        <w:t>（2）卫生健康支出</w:t>
      </w:r>
      <w:r>
        <w:rPr>
          <w:rFonts w:hint="eastAsia" w:ascii="仿宋_GB2312" w:hAnsi="Times New Roman" w:cs="Times New Roman"/>
          <w:color w:val="auto"/>
          <w:kern w:val="2"/>
          <w:sz w:val="32"/>
          <w:szCs w:val="32"/>
          <w:highlight w:val="none"/>
          <w:lang w:eastAsia="zh-CN"/>
        </w:rPr>
        <w:t>（</w:t>
      </w:r>
      <w:r>
        <w:rPr>
          <w:rFonts w:hint="eastAsia" w:ascii="仿宋_GB2312" w:hAnsi="Times New Roman" w:cs="Times New Roman"/>
          <w:color w:val="auto"/>
          <w:kern w:val="2"/>
          <w:sz w:val="32"/>
          <w:szCs w:val="32"/>
          <w:highlight w:val="none"/>
          <w:lang w:val="en-US" w:eastAsia="zh-CN"/>
        </w:rPr>
        <w:t>类</w:t>
      </w:r>
      <w:r>
        <w:rPr>
          <w:rFonts w:hint="eastAsia" w:ascii="仿宋_GB2312" w:hAnsi="Times New Roman" w:cs="Times New Roman"/>
          <w:color w:val="auto"/>
          <w:kern w:val="2"/>
          <w:sz w:val="32"/>
          <w:szCs w:val="32"/>
          <w:highlight w:val="none"/>
          <w:lang w:eastAsia="zh-CN"/>
        </w:rPr>
        <w:t>）基层医疗卫生机构（</w:t>
      </w:r>
      <w:r>
        <w:rPr>
          <w:rFonts w:hint="eastAsia" w:ascii="仿宋_GB2312" w:hAnsi="Times New Roman" w:cs="Times New Roman"/>
          <w:color w:val="auto"/>
          <w:kern w:val="2"/>
          <w:sz w:val="32"/>
          <w:szCs w:val="32"/>
          <w:highlight w:val="none"/>
          <w:lang w:val="en-US" w:eastAsia="zh-CN"/>
        </w:rPr>
        <w:t>款</w:t>
      </w:r>
      <w:r>
        <w:rPr>
          <w:rFonts w:hint="eastAsia" w:ascii="仿宋_GB2312" w:hAnsi="Times New Roman" w:cs="Times New Roman"/>
          <w:color w:val="auto"/>
          <w:kern w:val="2"/>
          <w:sz w:val="32"/>
          <w:szCs w:val="32"/>
          <w:highlight w:val="none"/>
          <w:lang w:eastAsia="zh-CN"/>
        </w:rPr>
        <w:t>）乡镇卫生院（</w:t>
      </w:r>
      <w:r>
        <w:rPr>
          <w:rFonts w:hint="eastAsia" w:ascii="仿宋_GB2312" w:hAnsi="Times New Roman" w:cs="Times New Roman"/>
          <w:color w:val="auto"/>
          <w:kern w:val="2"/>
          <w:sz w:val="32"/>
          <w:szCs w:val="32"/>
          <w:highlight w:val="none"/>
          <w:lang w:val="en-US" w:eastAsia="zh-CN"/>
        </w:rPr>
        <w:t>项</w:t>
      </w:r>
      <w:r>
        <w:rPr>
          <w:rFonts w:hint="eastAsia" w:ascii="仿宋_GB2312" w:hAnsi="Times New Roman" w:cs="Times New Roman"/>
          <w:color w:val="auto"/>
          <w:kern w:val="2"/>
          <w:sz w:val="32"/>
          <w:szCs w:val="32"/>
          <w:highlight w:val="none"/>
          <w:lang w:eastAsia="zh-CN"/>
        </w:rPr>
        <w:t>）</w:t>
      </w:r>
      <w:r>
        <w:rPr>
          <w:rFonts w:hint="eastAsia" w:ascii="仿宋_GB2312" w:hAnsi="Times New Roman" w:eastAsia="仿宋_GB2312" w:cs="Times New Roman"/>
          <w:color w:val="auto"/>
          <w:kern w:val="2"/>
          <w:sz w:val="32"/>
          <w:szCs w:val="32"/>
          <w:highlight w:val="none"/>
        </w:rPr>
        <w:t>支出预算</w:t>
      </w:r>
      <w:r>
        <w:rPr>
          <w:rFonts w:hint="eastAsia" w:ascii="仿宋_GB2312" w:hAnsi="Times New Roman" w:cs="Times New Roman"/>
          <w:color w:val="auto"/>
          <w:kern w:val="2"/>
          <w:sz w:val="32"/>
          <w:szCs w:val="32"/>
          <w:highlight w:val="none"/>
          <w:lang w:val="en-US" w:eastAsia="zh-CN"/>
        </w:rPr>
        <w:t>550.77</w:t>
      </w:r>
      <w:r>
        <w:rPr>
          <w:rFonts w:hint="eastAsia" w:ascii="仿宋_GB2312" w:hAnsi="Times New Roman" w:eastAsia="仿宋_GB2312" w:cs="Times New Roman"/>
          <w:color w:val="auto"/>
          <w:kern w:val="2"/>
          <w:sz w:val="32"/>
          <w:szCs w:val="32"/>
          <w:highlight w:val="none"/>
        </w:rPr>
        <w:t>万元, 占支出总预算</w:t>
      </w:r>
      <w:r>
        <w:rPr>
          <w:rFonts w:hint="eastAsia" w:ascii="仿宋_GB2312" w:hAnsi="Times New Roman" w:cs="Times New Roman"/>
          <w:color w:val="auto"/>
          <w:kern w:val="2"/>
          <w:sz w:val="32"/>
          <w:szCs w:val="32"/>
          <w:highlight w:val="none"/>
          <w:lang w:val="en-US" w:eastAsia="zh-CN"/>
        </w:rPr>
        <w:t>90.17%</w:t>
      </w:r>
      <w:r>
        <w:rPr>
          <w:rFonts w:hint="eastAsia" w:ascii="仿宋_GB2312" w:hAnsi="Times New Roman" w:eastAsia="仿宋_GB2312" w:cs="Times New Roman"/>
          <w:color w:val="auto"/>
          <w:kern w:val="2"/>
          <w:sz w:val="32"/>
          <w:szCs w:val="32"/>
          <w:highlight w:val="none"/>
        </w:rPr>
        <w:t>，</w:t>
      </w:r>
      <w:r>
        <w:rPr>
          <w:rFonts w:hint="eastAsia" w:ascii="仿宋_GB2312" w:eastAsia="仿宋_GB2312"/>
          <w:color w:val="auto"/>
          <w:sz w:val="32"/>
          <w:szCs w:val="32"/>
          <w:highlight w:val="none"/>
        </w:rPr>
        <w:t>同比增</w:t>
      </w:r>
      <w:r>
        <w:rPr>
          <w:rFonts w:hint="eastAsia" w:ascii="仿宋_GB2312"/>
          <w:color w:val="auto"/>
          <w:sz w:val="32"/>
          <w:szCs w:val="32"/>
          <w:highlight w:val="none"/>
          <w:lang w:val="en-US" w:eastAsia="zh-CN"/>
        </w:rPr>
        <w:t>加64.99</w:t>
      </w:r>
      <w:r>
        <w:rPr>
          <w:rFonts w:hint="eastAsia" w:ascii="仿宋_GB2312" w:eastAsia="仿宋_GB2312"/>
          <w:color w:val="auto"/>
          <w:sz w:val="32"/>
          <w:szCs w:val="32"/>
          <w:highlight w:val="none"/>
        </w:rPr>
        <w:t>万元，同比增长</w:t>
      </w:r>
      <w:r>
        <w:rPr>
          <w:rFonts w:hint="eastAsia" w:ascii="仿宋_GB2312"/>
          <w:color w:val="auto"/>
          <w:sz w:val="32"/>
          <w:szCs w:val="32"/>
          <w:highlight w:val="none"/>
          <w:lang w:val="en-US" w:eastAsia="zh-CN"/>
        </w:rPr>
        <w:t>13.38</w:t>
      </w:r>
      <w:r>
        <w:rPr>
          <w:rFonts w:hint="eastAsia" w:ascii="仿宋_GB2312" w:eastAsia="仿宋_GB2312"/>
          <w:color w:val="auto"/>
          <w:sz w:val="32"/>
          <w:szCs w:val="32"/>
          <w:highlight w:val="none"/>
        </w:rPr>
        <w:t>%</w:t>
      </w:r>
      <w:r>
        <w:rPr>
          <w:rFonts w:hint="eastAsia" w:ascii="仿宋_GB2312"/>
          <w:color w:val="auto"/>
          <w:sz w:val="32"/>
          <w:szCs w:val="32"/>
          <w:highlight w:val="none"/>
          <w:lang w:eastAsia="zh-CN"/>
        </w:rPr>
        <w:t>，</w:t>
      </w:r>
      <w:r>
        <w:rPr>
          <w:rFonts w:hint="eastAsia" w:ascii="仿宋_GB2312"/>
          <w:color w:val="auto"/>
          <w:sz w:val="32"/>
          <w:szCs w:val="32"/>
          <w:lang w:val="en-US" w:eastAsia="zh-CN"/>
        </w:rPr>
        <w:t>主要原因是政策性调增工资基数</w:t>
      </w:r>
      <w:r>
        <w:rPr>
          <w:rFonts w:hint="eastAsia" w:ascii="仿宋_GB2312"/>
          <w:sz w:val="32"/>
          <w:szCs w:val="32"/>
          <w:lang w:val="en-US" w:eastAsia="zh-CN"/>
        </w:rPr>
        <w:t>及人员增加</w:t>
      </w:r>
      <w:r>
        <w:rPr>
          <w:rFonts w:hint="eastAsia" w:ascii="仿宋_GB2312"/>
          <w:color w:val="auto"/>
          <w:sz w:val="32"/>
          <w:szCs w:val="32"/>
          <w:lang w:val="en-US" w:eastAsia="zh-CN"/>
        </w:rPr>
        <w:t>，人员经费支出增加。</w:t>
      </w:r>
    </w:p>
    <w:p w14:paraId="2C2189DC">
      <w:pPr>
        <w:pStyle w:val="4"/>
        <w:spacing w:before="0" w:beforeAutospacing="0" w:after="0" w:afterAutospacing="0" w:line="540" w:lineRule="exact"/>
        <w:ind w:firstLine="640" w:firstLineChars="200"/>
        <w:rPr>
          <w:rFonts w:hint="eastAsia" w:ascii="仿宋_GB2312"/>
          <w:color w:val="auto"/>
          <w:sz w:val="32"/>
          <w:szCs w:val="32"/>
          <w:lang w:val="en-US" w:eastAsia="zh-CN"/>
        </w:rPr>
      </w:pPr>
      <w:r>
        <w:rPr>
          <w:rFonts w:hint="eastAsia" w:ascii="仿宋_GB2312" w:hAnsi="Times New Roman" w:eastAsia="仿宋_GB2312" w:cs="Times New Roman"/>
          <w:color w:val="auto"/>
          <w:kern w:val="2"/>
          <w:sz w:val="32"/>
          <w:szCs w:val="32"/>
          <w:highlight w:val="none"/>
        </w:rPr>
        <w:t>（</w:t>
      </w:r>
      <w:r>
        <w:rPr>
          <w:rFonts w:hint="eastAsia" w:ascii="仿宋_GB2312" w:hAnsi="Times New Roman" w:cs="Times New Roman"/>
          <w:color w:val="auto"/>
          <w:kern w:val="2"/>
          <w:sz w:val="32"/>
          <w:szCs w:val="32"/>
          <w:highlight w:val="none"/>
          <w:lang w:val="en-US" w:eastAsia="zh-CN"/>
        </w:rPr>
        <w:t>3</w:t>
      </w:r>
      <w:r>
        <w:rPr>
          <w:rFonts w:hint="eastAsia" w:ascii="仿宋_GB2312" w:hAnsi="Times New Roman" w:eastAsia="仿宋_GB2312" w:cs="Times New Roman"/>
          <w:color w:val="auto"/>
          <w:kern w:val="2"/>
          <w:sz w:val="32"/>
          <w:szCs w:val="32"/>
          <w:highlight w:val="none"/>
        </w:rPr>
        <w:t>）卫生健康支出</w:t>
      </w:r>
      <w:r>
        <w:rPr>
          <w:rFonts w:hint="eastAsia" w:ascii="仿宋_GB2312" w:hAnsi="Times New Roman" w:cs="Times New Roman"/>
          <w:color w:val="auto"/>
          <w:kern w:val="2"/>
          <w:sz w:val="32"/>
          <w:szCs w:val="32"/>
          <w:highlight w:val="none"/>
          <w:lang w:eastAsia="zh-CN"/>
        </w:rPr>
        <w:t>（</w:t>
      </w:r>
      <w:r>
        <w:rPr>
          <w:rFonts w:hint="eastAsia" w:ascii="仿宋_GB2312" w:hAnsi="Times New Roman" w:cs="Times New Roman"/>
          <w:color w:val="auto"/>
          <w:kern w:val="2"/>
          <w:sz w:val="32"/>
          <w:szCs w:val="32"/>
          <w:highlight w:val="none"/>
          <w:lang w:val="en-US" w:eastAsia="zh-CN"/>
        </w:rPr>
        <w:t>类</w:t>
      </w:r>
      <w:r>
        <w:rPr>
          <w:rFonts w:hint="eastAsia" w:ascii="仿宋_GB2312" w:hAnsi="Times New Roman" w:cs="Times New Roman"/>
          <w:color w:val="auto"/>
          <w:kern w:val="2"/>
          <w:sz w:val="32"/>
          <w:szCs w:val="32"/>
          <w:highlight w:val="none"/>
          <w:lang w:eastAsia="zh-CN"/>
        </w:rPr>
        <w:t>）基层医疗卫生机构（</w:t>
      </w:r>
      <w:r>
        <w:rPr>
          <w:rFonts w:hint="eastAsia" w:ascii="仿宋_GB2312" w:hAnsi="Times New Roman" w:cs="Times New Roman"/>
          <w:color w:val="auto"/>
          <w:kern w:val="2"/>
          <w:sz w:val="32"/>
          <w:szCs w:val="32"/>
          <w:highlight w:val="none"/>
          <w:lang w:val="en-US" w:eastAsia="zh-CN"/>
        </w:rPr>
        <w:t>款</w:t>
      </w:r>
      <w:r>
        <w:rPr>
          <w:rFonts w:hint="eastAsia" w:ascii="仿宋_GB2312" w:hAnsi="Times New Roman" w:cs="Times New Roman"/>
          <w:color w:val="auto"/>
          <w:kern w:val="2"/>
          <w:sz w:val="32"/>
          <w:szCs w:val="32"/>
          <w:highlight w:val="none"/>
          <w:lang w:eastAsia="zh-CN"/>
        </w:rPr>
        <w:t>）其他基层医疗卫生机构支出（</w:t>
      </w:r>
      <w:r>
        <w:rPr>
          <w:rFonts w:hint="eastAsia" w:ascii="仿宋_GB2312" w:hAnsi="Times New Roman" w:cs="Times New Roman"/>
          <w:color w:val="auto"/>
          <w:kern w:val="2"/>
          <w:sz w:val="32"/>
          <w:szCs w:val="32"/>
          <w:highlight w:val="none"/>
          <w:lang w:val="en-US" w:eastAsia="zh-CN"/>
        </w:rPr>
        <w:t>项</w:t>
      </w:r>
      <w:r>
        <w:rPr>
          <w:rFonts w:hint="eastAsia" w:ascii="仿宋_GB2312" w:hAnsi="Times New Roman" w:cs="Times New Roman"/>
          <w:color w:val="auto"/>
          <w:kern w:val="2"/>
          <w:sz w:val="32"/>
          <w:szCs w:val="32"/>
          <w:highlight w:val="none"/>
          <w:lang w:eastAsia="zh-CN"/>
        </w:rPr>
        <w:t>）</w:t>
      </w:r>
      <w:r>
        <w:rPr>
          <w:rFonts w:hint="eastAsia" w:ascii="仿宋_GB2312" w:hAnsi="Times New Roman" w:eastAsia="仿宋_GB2312" w:cs="Times New Roman"/>
          <w:color w:val="auto"/>
          <w:kern w:val="2"/>
          <w:sz w:val="32"/>
          <w:szCs w:val="32"/>
          <w:highlight w:val="none"/>
        </w:rPr>
        <w:t>支出预算</w:t>
      </w:r>
      <w:r>
        <w:rPr>
          <w:rFonts w:hint="eastAsia" w:ascii="仿宋_GB2312" w:hAnsi="Times New Roman" w:cs="Times New Roman"/>
          <w:color w:val="auto"/>
          <w:kern w:val="2"/>
          <w:sz w:val="32"/>
          <w:szCs w:val="32"/>
          <w:highlight w:val="none"/>
          <w:lang w:val="en-US" w:eastAsia="zh-CN"/>
        </w:rPr>
        <w:t>46.49</w:t>
      </w:r>
      <w:r>
        <w:rPr>
          <w:rFonts w:hint="eastAsia" w:ascii="仿宋_GB2312" w:hAnsi="Times New Roman" w:eastAsia="仿宋_GB2312" w:cs="Times New Roman"/>
          <w:color w:val="auto"/>
          <w:kern w:val="2"/>
          <w:sz w:val="32"/>
          <w:szCs w:val="32"/>
          <w:highlight w:val="none"/>
        </w:rPr>
        <w:t>万元, 占支出总预算</w:t>
      </w:r>
      <w:r>
        <w:rPr>
          <w:rFonts w:hint="eastAsia" w:ascii="仿宋_GB2312" w:hAnsi="Times New Roman" w:cs="Times New Roman"/>
          <w:color w:val="auto"/>
          <w:kern w:val="2"/>
          <w:sz w:val="32"/>
          <w:szCs w:val="32"/>
          <w:highlight w:val="none"/>
          <w:lang w:val="en-US" w:eastAsia="zh-CN"/>
        </w:rPr>
        <w:t>7.61%</w:t>
      </w:r>
      <w:r>
        <w:rPr>
          <w:rFonts w:hint="eastAsia" w:ascii="仿宋_GB2312" w:hAnsi="Times New Roman" w:eastAsia="仿宋_GB2312" w:cs="Times New Roman"/>
          <w:color w:val="auto"/>
          <w:kern w:val="2"/>
          <w:sz w:val="32"/>
          <w:szCs w:val="32"/>
          <w:highlight w:val="none"/>
        </w:rPr>
        <w:t>，</w:t>
      </w:r>
      <w:r>
        <w:rPr>
          <w:rFonts w:hint="eastAsia" w:ascii="仿宋_GB2312" w:eastAsia="仿宋_GB2312"/>
          <w:color w:val="auto"/>
          <w:sz w:val="32"/>
          <w:szCs w:val="32"/>
          <w:highlight w:val="none"/>
        </w:rPr>
        <w:t>同比增</w:t>
      </w:r>
      <w:r>
        <w:rPr>
          <w:rFonts w:hint="eastAsia" w:ascii="仿宋_GB2312"/>
          <w:color w:val="auto"/>
          <w:sz w:val="32"/>
          <w:szCs w:val="32"/>
          <w:highlight w:val="none"/>
          <w:lang w:val="en-US" w:eastAsia="zh-CN"/>
        </w:rPr>
        <w:t>加46.49</w:t>
      </w:r>
      <w:r>
        <w:rPr>
          <w:rFonts w:hint="eastAsia" w:ascii="仿宋_GB2312" w:eastAsia="仿宋_GB2312"/>
          <w:color w:val="auto"/>
          <w:sz w:val="32"/>
          <w:szCs w:val="32"/>
          <w:highlight w:val="none"/>
        </w:rPr>
        <w:t>万元，</w:t>
      </w:r>
      <w:r>
        <w:rPr>
          <w:rFonts w:hint="eastAsia" w:ascii="仿宋_GB2312"/>
          <w:color w:val="auto"/>
          <w:sz w:val="32"/>
          <w:szCs w:val="32"/>
          <w:lang w:val="en-US" w:eastAsia="zh-CN"/>
        </w:rPr>
        <w:t>主要原因是本年新增乡村医生预算项目。</w:t>
      </w:r>
    </w:p>
    <w:p w14:paraId="64D06FA9">
      <w:pPr>
        <w:tabs>
          <w:tab w:val="center" w:pos="4475"/>
        </w:tabs>
        <w:spacing w:line="560" w:lineRule="exact"/>
        <w:ind w:firstLine="645"/>
        <w:rPr>
          <w:rFonts w:hint="eastAsia" w:ascii="黑体" w:eastAsia="黑体"/>
          <w:szCs w:val="32"/>
        </w:rPr>
      </w:pPr>
      <w:r>
        <w:rPr>
          <w:rFonts w:hint="eastAsia" w:ascii="黑体" w:eastAsia="黑体"/>
          <w:szCs w:val="32"/>
        </w:rPr>
        <w:t>六、一般公共预算基本支出情况说明</w:t>
      </w:r>
    </w:p>
    <w:p w14:paraId="30D06099">
      <w:pPr>
        <w:tabs>
          <w:tab w:val="center" w:pos="4475"/>
        </w:tabs>
        <w:spacing w:line="560" w:lineRule="exact"/>
        <w:ind w:firstLine="645"/>
        <w:rPr>
          <w:rFonts w:hint="eastAsia" w:ascii="仿宋_GB2312"/>
          <w:sz w:val="32"/>
          <w:szCs w:val="32"/>
          <w:lang w:eastAsia="zh-CN"/>
        </w:rPr>
      </w:pPr>
      <w:r>
        <w:rPr>
          <w:rFonts w:hint="eastAsia" w:ascii="仿宋_GB2312"/>
          <w:sz w:val="32"/>
          <w:szCs w:val="32"/>
          <w:lang w:eastAsia="zh-CN"/>
        </w:rPr>
        <w:t>我单位</w:t>
      </w:r>
      <w:r>
        <w:rPr>
          <w:rFonts w:hint="eastAsia" w:ascii="仿宋_GB2312"/>
          <w:szCs w:val="32"/>
        </w:rPr>
        <w:t>一般公共预算基本支出</w:t>
      </w:r>
      <w:r>
        <w:rPr>
          <w:rFonts w:hint="eastAsia" w:ascii="仿宋_GB2312" w:eastAsia="仿宋_GB2312"/>
          <w:sz w:val="32"/>
          <w:szCs w:val="32"/>
          <w:lang w:eastAsia="zh-CN"/>
        </w:rPr>
        <w:t>共</w:t>
      </w:r>
      <w:r>
        <w:rPr>
          <w:rFonts w:hint="eastAsia" w:ascii="仿宋_GB2312"/>
          <w:sz w:val="32"/>
          <w:szCs w:val="32"/>
          <w:lang w:val="en-US" w:eastAsia="zh-CN"/>
        </w:rPr>
        <w:t>610.82</w:t>
      </w:r>
      <w:r>
        <w:rPr>
          <w:rFonts w:hint="eastAsia" w:ascii="仿宋_GB2312" w:eastAsia="仿宋_GB2312"/>
          <w:sz w:val="32"/>
          <w:szCs w:val="32"/>
        </w:rPr>
        <w:t>万元，</w:t>
      </w:r>
      <w:r>
        <w:rPr>
          <w:rFonts w:hint="eastAsia" w:ascii="仿宋_GB2312"/>
          <w:sz w:val="32"/>
          <w:szCs w:val="32"/>
          <w:lang w:eastAsia="zh-CN"/>
        </w:rPr>
        <w:t>较上年增长</w:t>
      </w:r>
      <w:r>
        <w:rPr>
          <w:rFonts w:hint="eastAsia" w:ascii="仿宋_GB2312"/>
          <w:sz w:val="32"/>
          <w:szCs w:val="32"/>
          <w:lang w:val="en-US" w:eastAsia="zh-CN"/>
        </w:rPr>
        <w:t>26.8%，主要原因是政策性调资因素工资基数增长及人员增加，人员经费支出增加</w:t>
      </w:r>
      <w:r>
        <w:rPr>
          <w:rFonts w:hint="eastAsia" w:ascii="仿宋_GB2312"/>
          <w:szCs w:val="32"/>
          <w:lang w:eastAsia="zh-CN"/>
        </w:rPr>
        <w:t>。</w:t>
      </w:r>
      <w:r>
        <w:rPr>
          <w:rFonts w:hint="eastAsia" w:ascii="仿宋_GB2312"/>
          <w:sz w:val="32"/>
          <w:szCs w:val="32"/>
          <w:lang w:eastAsia="zh-CN"/>
        </w:rPr>
        <w:t>具体情况为：</w:t>
      </w:r>
    </w:p>
    <w:p w14:paraId="617F4C36">
      <w:pPr>
        <w:tabs>
          <w:tab w:val="center" w:pos="4475"/>
        </w:tabs>
        <w:spacing w:line="560" w:lineRule="exact"/>
        <w:ind w:firstLine="645"/>
        <w:rPr>
          <w:rFonts w:hint="eastAsia"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-基本工资550.77万元，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加78.27</w:t>
      </w:r>
      <w:r>
        <w:rPr>
          <w:rFonts w:hint="eastAsia" w:ascii="仿宋_GB2312" w:eastAsia="仿宋_GB2312"/>
          <w:sz w:val="32"/>
          <w:szCs w:val="32"/>
          <w:highlight w:val="none"/>
        </w:rPr>
        <w:t>万元，同比增长</w:t>
      </w:r>
      <w:r>
        <w:rPr>
          <w:rFonts w:hint="eastAsia" w:ascii="仿宋_GB2312"/>
          <w:sz w:val="32"/>
          <w:szCs w:val="32"/>
          <w:highlight w:val="none"/>
          <w:lang w:val="en-US" w:eastAsia="zh-CN"/>
        </w:rPr>
        <w:t>16.57</w:t>
      </w:r>
      <w:r>
        <w:rPr>
          <w:rFonts w:hint="eastAsia" w:ascii="仿宋_GB2312" w:eastAsia="仿宋_GB2312"/>
          <w:sz w:val="32"/>
          <w:szCs w:val="32"/>
          <w:highlight w:val="none"/>
        </w:rPr>
        <w:t>%</w:t>
      </w:r>
      <w:r>
        <w:rPr>
          <w:rFonts w:hint="eastAsia" w:ascii="仿宋_GB2312"/>
          <w:sz w:val="32"/>
          <w:szCs w:val="32"/>
          <w:highlight w:val="none"/>
          <w:lang w:eastAsia="zh-CN"/>
        </w:rPr>
        <w:t>，</w:t>
      </w:r>
      <w:r>
        <w:rPr>
          <w:rFonts w:hint="eastAsia" w:ascii="仿宋_GB2312"/>
          <w:sz w:val="32"/>
          <w:szCs w:val="32"/>
          <w:lang w:val="en-US" w:eastAsia="zh-CN"/>
        </w:rPr>
        <w:t>主要原因是工资标准调高人员经费支出增加。</w:t>
      </w:r>
    </w:p>
    <w:p w14:paraId="3786D1E5">
      <w:pPr>
        <w:tabs>
          <w:tab w:val="center" w:pos="4475"/>
        </w:tabs>
        <w:spacing w:line="560" w:lineRule="exact"/>
        <w:ind w:firstLine="645"/>
        <w:rPr>
          <w:rFonts w:hint="eastAsia" w:ascii="仿宋_GB2312"/>
          <w:sz w:val="32"/>
          <w:szCs w:val="32"/>
          <w:lang w:val="en-US" w:eastAsia="zh-CN"/>
        </w:rPr>
      </w:pPr>
      <w:r>
        <w:rPr>
          <w:rFonts w:hint="eastAsia" w:ascii="仿宋_GB2312"/>
          <w:sz w:val="32"/>
          <w:szCs w:val="32"/>
          <w:lang w:eastAsia="zh-CN"/>
        </w:rPr>
        <w:t>工资福利支出</w:t>
      </w:r>
      <w:r>
        <w:rPr>
          <w:rFonts w:hint="eastAsia" w:ascii="仿宋_GB2312"/>
          <w:sz w:val="32"/>
          <w:szCs w:val="32"/>
          <w:lang w:val="en-US" w:eastAsia="zh-CN"/>
        </w:rPr>
        <w:t xml:space="preserve"> -其他工资福利支出46.49万元，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加46.49</w:t>
      </w:r>
      <w:r>
        <w:rPr>
          <w:rFonts w:hint="eastAsia" w:ascii="仿宋_GB2312" w:eastAsia="仿宋_GB2312"/>
          <w:sz w:val="32"/>
          <w:szCs w:val="32"/>
          <w:highlight w:val="none"/>
        </w:rPr>
        <w:t>万元，</w:t>
      </w:r>
      <w:r>
        <w:rPr>
          <w:rFonts w:hint="eastAsia" w:ascii="仿宋_GB2312"/>
          <w:sz w:val="32"/>
          <w:szCs w:val="32"/>
          <w:lang w:val="en-US" w:eastAsia="zh-CN"/>
        </w:rPr>
        <w:t>主要原因是本年新增乡村医生预算项目。</w:t>
      </w:r>
    </w:p>
    <w:p w14:paraId="193CD7BB">
      <w:pPr>
        <w:tabs>
          <w:tab w:val="center" w:pos="4475"/>
        </w:tabs>
        <w:spacing w:line="560" w:lineRule="exact"/>
        <w:ind w:firstLine="645"/>
        <w:rPr>
          <w:rFonts w:hint="eastAsia" w:ascii="仿宋_GB2312"/>
          <w:sz w:val="32"/>
          <w:szCs w:val="32"/>
          <w:highlight w:val="none"/>
          <w:lang w:val="en-US" w:eastAsia="zh-CN"/>
        </w:rPr>
      </w:pPr>
      <w:r>
        <w:rPr>
          <w:rFonts w:hint="eastAsia" w:ascii="仿宋_GB2312"/>
          <w:sz w:val="32"/>
          <w:szCs w:val="32"/>
          <w:lang w:val="en-US" w:eastAsia="zh-CN"/>
        </w:rPr>
        <w:t>商品和服务支出 -其他商品和服务支出0.3万元，</w:t>
      </w:r>
      <w:r>
        <w:rPr>
          <w:rFonts w:hint="eastAsia" w:ascii="仿宋_GB2312"/>
          <w:sz w:val="32"/>
          <w:szCs w:val="32"/>
          <w:highlight w:val="none"/>
          <w:lang w:val="en-US" w:eastAsia="zh-CN"/>
        </w:rPr>
        <w:t>与上年持平。</w:t>
      </w:r>
    </w:p>
    <w:p w14:paraId="23131557">
      <w:pPr>
        <w:tabs>
          <w:tab w:val="center" w:pos="4475"/>
        </w:tabs>
        <w:spacing w:line="560" w:lineRule="exact"/>
        <w:ind w:firstLine="645"/>
        <w:rPr>
          <w:rFonts w:hint="eastAsia" w:ascii="仿宋_GB2312"/>
          <w:color w:val="E46C0A" w:themeColor="accent6" w:themeShade="BF"/>
          <w:sz w:val="32"/>
          <w:szCs w:val="32"/>
          <w:highlight w:val="none"/>
          <w:lang w:val="en-US" w:eastAsia="zh-CN"/>
        </w:rPr>
      </w:pPr>
      <w:r>
        <w:rPr>
          <w:rFonts w:hint="eastAsia" w:ascii="仿宋_GB2312"/>
          <w:sz w:val="32"/>
          <w:szCs w:val="32"/>
          <w:lang w:val="en-US" w:eastAsia="zh-CN"/>
        </w:rPr>
        <w:t>对个人和家庭的补助 -退休费支出8.93万元，与</w:t>
      </w:r>
      <w:r>
        <w:rPr>
          <w:rFonts w:hint="eastAsia" w:ascii="仿宋_GB2312"/>
          <w:sz w:val="32"/>
          <w:szCs w:val="32"/>
          <w:highlight w:val="none"/>
          <w:lang w:val="en-US" w:eastAsia="zh-CN"/>
        </w:rPr>
        <w:t>上年持平。</w:t>
      </w:r>
    </w:p>
    <w:p w14:paraId="7032FE44">
      <w:pPr>
        <w:tabs>
          <w:tab w:val="center" w:pos="4475"/>
        </w:tabs>
        <w:spacing w:line="560" w:lineRule="exact"/>
        <w:ind w:firstLine="645"/>
        <w:rPr>
          <w:rFonts w:hint="eastAsia" w:ascii="仿宋_GB2312"/>
          <w:sz w:val="32"/>
          <w:szCs w:val="32"/>
          <w:lang w:val="en-US" w:eastAsia="zh-CN"/>
        </w:rPr>
      </w:pPr>
      <w:r>
        <w:rPr>
          <w:rFonts w:hint="eastAsia" w:ascii="仿宋_GB2312"/>
          <w:sz w:val="32"/>
          <w:szCs w:val="32"/>
          <w:lang w:val="en-US" w:eastAsia="zh-CN"/>
        </w:rPr>
        <w:t>对个人和家庭的补助 -生活补助支出4.33万元，</w:t>
      </w:r>
      <w:r>
        <w:rPr>
          <w:rFonts w:hint="eastAsia" w:ascii="仿宋_GB2312" w:eastAsia="仿宋_GB2312"/>
          <w:sz w:val="32"/>
          <w:szCs w:val="32"/>
          <w:highlight w:val="none"/>
        </w:rPr>
        <w:t>同比增</w:t>
      </w:r>
      <w:r>
        <w:rPr>
          <w:rFonts w:hint="eastAsia" w:ascii="仿宋_GB2312"/>
          <w:sz w:val="32"/>
          <w:szCs w:val="32"/>
          <w:highlight w:val="none"/>
          <w:lang w:val="en-US" w:eastAsia="zh-CN"/>
        </w:rPr>
        <w:t>加4.33</w:t>
      </w:r>
      <w:r>
        <w:rPr>
          <w:rFonts w:hint="eastAsia" w:ascii="仿宋_GB2312" w:eastAsia="仿宋_GB2312"/>
          <w:sz w:val="32"/>
          <w:szCs w:val="32"/>
          <w:highlight w:val="none"/>
        </w:rPr>
        <w:t>万元，</w:t>
      </w:r>
      <w:r>
        <w:rPr>
          <w:rFonts w:hint="eastAsia" w:ascii="仿宋_GB2312"/>
          <w:sz w:val="32"/>
          <w:szCs w:val="32"/>
          <w:lang w:val="en-US" w:eastAsia="zh-CN"/>
        </w:rPr>
        <w:t>主要原因是本年新增退休乡村医生及家庭接生员预算项目。</w:t>
      </w:r>
    </w:p>
    <w:p w14:paraId="164B2C99">
      <w:pPr>
        <w:tabs>
          <w:tab w:val="center" w:pos="4475"/>
        </w:tabs>
        <w:spacing w:line="560" w:lineRule="exact"/>
        <w:ind w:firstLine="645"/>
        <w:rPr>
          <w:rFonts w:hint="eastAsia" w:ascii="黑体" w:eastAsia="黑体"/>
          <w:szCs w:val="32"/>
        </w:rPr>
      </w:pPr>
      <w:r>
        <w:rPr>
          <w:rFonts w:hint="eastAsia" w:ascii="黑体" w:eastAsia="黑体"/>
          <w:szCs w:val="32"/>
        </w:rPr>
        <w:t>七、一般公共预算“三公”经费支出情况说明</w:t>
      </w:r>
    </w:p>
    <w:p w14:paraId="4520FEB2">
      <w:pPr>
        <w:tabs>
          <w:tab w:val="center" w:pos="4475"/>
        </w:tabs>
        <w:spacing w:line="560" w:lineRule="exact"/>
        <w:ind w:firstLine="645"/>
        <w:rPr>
          <w:rFonts w:hint="eastAsia" w:ascii="仿宋_GB2312" w:hAnsi="宋体"/>
          <w:szCs w:val="32"/>
        </w:rPr>
      </w:pPr>
      <w:r>
        <w:rPr>
          <w:rFonts w:hint="eastAsia" w:ascii="仿宋_GB2312" w:hAnsi="宋体"/>
          <w:szCs w:val="32"/>
          <w:highlight w:val="none"/>
        </w:rPr>
        <w:t>我</w:t>
      </w:r>
      <w:r>
        <w:rPr>
          <w:rFonts w:hint="eastAsia" w:ascii="仿宋_GB2312" w:hAnsi="宋体"/>
          <w:szCs w:val="32"/>
          <w:highlight w:val="none"/>
          <w:lang w:eastAsia="zh-CN"/>
        </w:rPr>
        <w:t>单位</w:t>
      </w:r>
      <w:r>
        <w:rPr>
          <w:rFonts w:hint="eastAsia" w:ascii="仿宋_GB2312"/>
          <w:lang w:eastAsia="zh-CN"/>
        </w:rPr>
        <w:t>2026年</w:t>
      </w:r>
      <w:r>
        <w:rPr>
          <w:rFonts w:hint="eastAsia" w:ascii="仿宋_GB2312"/>
        </w:rPr>
        <w:t>一般公共预算</w:t>
      </w:r>
      <w:r>
        <w:rPr>
          <w:rFonts w:hint="eastAsia" w:ascii="仿宋_GB2312"/>
          <w:bCs/>
        </w:rPr>
        <w:t>安排的“三公”经费支出预算</w:t>
      </w:r>
      <w:r>
        <w:rPr>
          <w:rFonts w:hint="eastAsia" w:ascii="仿宋_GB2312"/>
          <w:bCs/>
          <w:lang w:val="en-US" w:eastAsia="zh-CN"/>
        </w:rPr>
        <w:t>0</w:t>
      </w:r>
      <w:r>
        <w:rPr>
          <w:rFonts w:hint="eastAsia" w:ascii="仿宋_GB2312"/>
          <w:bCs/>
        </w:rPr>
        <w:t>万元，</w:t>
      </w:r>
      <w:r>
        <w:rPr>
          <w:rFonts w:hint="eastAsia" w:ascii="仿宋_GB2312" w:eastAsia="仿宋_GB2312"/>
          <w:sz w:val="32"/>
          <w:szCs w:val="32"/>
          <w:highlight w:val="none"/>
          <w:lang w:val="en-US" w:eastAsia="zh-CN"/>
        </w:rPr>
        <w:t>与上年持平</w:t>
      </w:r>
      <w:r>
        <w:rPr>
          <w:rFonts w:hint="eastAsia" w:ascii="仿宋_GB2312"/>
          <w:bCs/>
        </w:rPr>
        <w:t>，具体如下：</w:t>
      </w:r>
    </w:p>
    <w:p w14:paraId="1E650BC7">
      <w:pPr>
        <w:tabs>
          <w:tab w:val="center" w:pos="4475"/>
        </w:tabs>
        <w:spacing w:line="560" w:lineRule="exact"/>
        <w:ind w:firstLine="645"/>
        <w:rPr>
          <w:rFonts w:hint="eastAsia" w:ascii="仿宋_GB2312" w:hAnsi="Arial" w:cs="Arial"/>
          <w:kern w:val="0"/>
        </w:rPr>
      </w:pPr>
      <w:r>
        <w:rPr>
          <w:rFonts w:hint="eastAsia" w:ascii="仿宋_GB2312"/>
        </w:rPr>
        <w:t>1.因公出国（境）费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eastAsia="仿宋_GB2312"/>
          <w:sz w:val="32"/>
          <w:szCs w:val="32"/>
          <w:highlight w:val="none"/>
          <w:lang w:val="en-US" w:eastAsia="zh-CN"/>
        </w:rPr>
        <w:t>与上年持平</w:t>
      </w:r>
      <w:r>
        <w:rPr>
          <w:rFonts w:hint="eastAsia" w:ascii="仿宋_GB2312" w:hAnsi="Arial" w:cs="Arial"/>
          <w:kern w:val="0"/>
        </w:rPr>
        <w:t>。</w:t>
      </w:r>
    </w:p>
    <w:p w14:paraId="6129A299">
      <w:pPr>
        <w:tabs>
          <w:tab w:val="center" w:pos="4475"/>
        </w:tabs>
        <w:spacing w:line="560" w:lineRule="exact"/>
        <w:ind w:firstLine="645"/>
        <w:rPr>
          <w:rFonts w:hint="eastAsia" w:ascii="仿宋_GB2312" w:hAnsi="Arial" w:cs="Arial"/>
          <w:color w:val="E46C0A" w:themeColor="accent6" w:themeShade="BF"/>
          <w:kern w:val="0"/>
        </w:rPr>
      </w:pPr>
      <w:r>
        <w:rPr>
          <w:rFonts w:hint="eastAsia" w:ascii="仿宋_GB2312"/>
        </w:rPr>
        <w:t>2.公务接待费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eastAsia="仿宋_GB2312"/>
          <w:color w:val="auto"/>
          <w:sz w:val="32"/>
          <w:szCs w:val="32"/>
          <w:highlight w:val="none"/>
          <w:lang w:val="en-US" w:eastAsia="zh-CN"/>
        </w:rPr>
        <w:t>与上年持平</w:t>
      </w:r>
      <w:r>
        <w:rPr>
          <w:rFonts w:hint="eastAsia" w:ascii="仿宋_GB2312" w:hAnsi="Arial" w:cs="Arial"/>
          <w:color w:val="auto"/>
          <w:kern w:val="0"/>
        </w:rPr>
        <w:t>。</w:t>
      </w:r>
    </w:p>
    <w:p w14:paraId="1F7EC9B1">
      <w:pPr>
        <w:tabs>
          <w:tab w:val="center" w:pos="4475"/>
        </w:tabs>
        <w:spacing w:line="560" w:lineRule="exact"/>
        <w:ind w:firstLine="645"/>
        <w:rPr>
          <w:rFonts w:hint="eastAsia" w:ascii="仿宋_GB2312" w:hAnsi="宋体"/>
          <w:szCs w:val="32"/>
        </w:rPr>
      </w:pPr>
      <w:r>
        <w:rPr>
          <w:rFonts w:hint="eastAsia" w:ascii="仿宋_GB2312"/>
        </w:rPr>
        <w:t>3.公务用车购置及运行费</w:t>
      </w:r>
      <w:r>
        <w:rPr>
          <w:rFonts w:hint="eastAsia" w:ascii="仿宋_GB2312" w:hAnsi="宋体"/>
          <w:szCs w:val="32"/>
          <w:lang w:eastAsia="zh-CN"/>
        </w:rPr>
        <w:t>2026年</w:t>
      </w:r>
      <w:r>
        <w:rPr>
          <w:rFonts w:hint="eastAsia" w:ascii="仿宋_GB2312" w:hAnsi="宋体"/>
          <w:szCs w:val="32"/>
        </w:rPr>
        <w:t>预算安排</w:t>
      </w:r>
      <w:r>
        <w:rPr>
          <w:rFonts w:hint="eastAsia" w:ascii="仿宋_GB2312" w:hAnsi="宋体"/>
          <w:szCs w:val="32"/>
          <w:lang w:val="en-US" w:eastAsia="zh-CN"/>
        </w:rPr>
        <w:t>0</w:t>
      </w:r>
      <w:r>
        <w:rPr>
          <w:rFonts w:hint="eastAsia" w:ascii="仿宋_GB2312" w:hAnsi="宋体"/>
          <w:szCs w:val="32"/>
        </w:rPr>
        <w:t>万元，</w:t>
      </w:r>
      <w:r>
        <w:rPr>
          <w:rFonts w:hint="eastAsia" w:ascii="仿宋_GB2312" w:eastAsia="仿宋_GB2312"/>
          <w:sz w:val="32"/>
          <w:szCs w:val="32"/>
          <w:highlight w:val="none"/>
          <w:lang w:val="en-US" w:eastAsia="zh-CN"/>
        </w:rPr>
        <w:t>与上年持平</w:t>
      </w:r>
      <w:r>
        <w:rPr>
          <w:rFonts w:hint="eastAsia" w:ascii="仿宋_GB2312"/>
          <w:sz w:val="32"/>
          <w:szCs w:val="32"/>
          <w:highlight w:val="none"/>
          <w:lang w:val="en-US" w:eastAsia="zh-CN"/>
        </w:rPr>
        <w:t>。</w:t>
      </w:r>
    </w:p>
    <w:p w14:paraId="30BFD4BC">
      <w:pPr>
        <w:tabs>
          <w:tab w:val="center" w:pos="4475"/>
        </w:tabs>
        <w:spacing w:line="560" w:lineRule="exact"/>
        <w:ind w:firstLine="645"/>
        <w:rPr>
          <w:rFonts w:hint="eastAsia" w:ascii="黑体" w:eastAsia="黑体"/>
          <w:szCs w:val="32"/>
        </w:rPr>
      </w:pPr>
      <w:r>
        <w:rPr>
          <w:rFonts w:hint="eastAsia" w:ascii="黑体" w:eastAsia="黑体"/>
          <w:szCs w:val="32"/>
        </w:rPr>
        <w:t>八、政府性基金预算支出情况说明</w:t>
      </w:r>
    </w:p>
    <w:p w14:paraId="7FC503FE">
      <w:pPr>
        <w:tabs>
          <w:tab w:val="center" w:pos="4475"/>
        </w:tabs>
        <w:spacing w:line="560" w:lineRule="exact"/>
        <w:ind w:firstLine="645"/>
        <w:rPr>
          <w:rFonts w:hint="default" w:ascii="黑体" w:eastAsia="黑体"/>
          <w:szCs w:val="32"/>
          <w:highlight w:val="yellow"/>
          <w:lang w:val="en-US"/>
        </w:rPr>
      </w:pPr>
      <w:r>
        <w:rPr>
          <w:rFonts w:hint="eastAsia" w:ascii="仿宋_GB2312"/>
          <w:sz w:val="32"/>
          <w:szCs w:val="32"/>
          <w:lang w:eastAsia="zh-CN"/>
        </w:rPr>
        <w:t>我单位</w:t>
      </w:r>
      <w:r>
        <w:rPr>
          <w:rFonts w:hint="eastAsia" w:ascii="仿宋_GB2312"/>
          <w:szCs w:val="32"/>
        </w:rPr>
        <w:t>政府性基金预算支出</w:t>
      </w:r>
      <w:r>
        <w:rPr>
          <w:rFonts w:hint="eastAsia" w:ascii="仿宋_GB2312" w:eastAsia="仿宋_GB2312"/>
          <w:sz w:val="32"/>
          <w:szCs w:val="32"/>
          <w:lang w:eastAsia="zh-CN"/>
        </w:rPr>
        <w:t>共</w:t>
      </w:r>
      <w:r>
        <w:rPr>
          <w:rFonts w:hint="eastAsia" w:ascii="仿宋_GB2312"/>
          <w:sz w:val="32"/>
          <w:szCs w:val="32"/>
          <w:lang w:val="en-US" w:eastAsia="zh-CN"/>
        </w:rPr>
        <w:t>11.88</w:t>
      </w:r>
      <w:r>
        <w:rPr>
          <w:rFonts w:hint="eastAsia" w:ascii="仿宋_GB2312" w:eastAsia="仿宋_GB2312"/>
          <w:sz w:val="32"/>
          <w:szCs w:val="32"/>
        </w:rPr>
        <w:t>万元，</w:t>
      </w:r>
      <w:r>
        <w:rPr>
          <w:rFonts w:hint="eastAsia" w:ascii="仿宋_GB2312"/>
          <w:color w:val="auto"/>
          <w:sz w:val="32"/>
          <w:szCs w:val="32"/>
          <w:lang w:eastAsia="zh-CN"/>
        </w:rPr>
        <w:t>较上年增</w:t>
      </w:r>
      <w:r>
        <w:rPr>
          <w:rFonts w:hint="eastAsia" w:ascii="仿宋_GB2312"/>
          <w:color w:val="auto"/>
          <w:sz w:val="32"/>
          <w:szCs w:val="32"/>
          <w:lang w:val="en-US" w:eastAsia="zh-CN"/>
        </w:rPr>
        <w:t>加11.88万元，主</w:t>
      </w:r>
      <w:r>
        <w:rPr>
          <w:rFonts w:hint="eastAsia" w:ascii="仿宋_GB2312"/>
          <w:sz w:val="32"/>
          <w:szCs w:val="32"/>
          <w:lang w:val="en-US" w:eastAsia="zh-CN"/>
        </w:rPr>
        <w:t>要原因是本年新增</w:t>
      </w:r>
      <w:r>
        <w:rPr>
          <w:rFonts w:hint="eastAsia" w:ascii="仿宋_GB2312"/>
          <w:szCs w:val="32"/>
          <w:lang w:val="en-US" w:eastAsia="zh-CN"/>
        </w:rPr>
        <w:t>预防接种服务费计入</w:t>
      </w:r>
      <w:r>
        <w:rPr>
          <w:rFonts w:hint="eastAsia" w:ascii="仿宋_GB2312"/>
          <w:szCs w:val="32"/>
        </w:rPr>
        <w:t>政府性基金预算</w:t>
      </w:r>
      <w:r>
        <w:rPr>
          <w:rFonts w:hint="eastAsia" w:ascii="仿宋_GB2312"/>
          <w:szCs w:val="32"/>
          <w:lang w:val="en-US" w:eastAsia="zh-CN"/>
        </w:rPr>
        <w:t>编制</w:t>
      </w:r>
      <w:r>
        <w:rPr>
          <w:rFonts w:hint="eastAsia" w:ascii="仿宋_GB2312"/>
          <w:szCs w:val="32"/>
          <w:lang w:eastAsia="zh-CN"/>
        </w:rPr>
        <w:t>。</w:t>
      </w:r>
    </w:p>
    <w:p w14:paraId="357682FD">
      <w:pPr>
        <w:tabs>
          <w:tab w:val="center" w:pos="4475"/>
        </w:tabs>
        <w:spacing w:line="560" w:lineRule="exact"/>
        <w:ind w:firstLine="645"/>
        <w:rPr>
          <w:rFonts w:hint="eastAsia" w:ascii="黑体" w:eastAsia="黑体"/>
          <w:szCs w:val="32"/>
          <w:highlight w:val="yellow"/>
          <w:lang w:eastAsia="zh-CN"/>
        </w:rPr>
      </w:pPr>
      <w:r>
        <w:rPr>
          <w:rFonts w:hint="eastAsia" w:ascii="黑体" w:eastAsia="黑体"/>
          <w:szCs w:val="32"/>
          <w:highlight w:val="none"/>
        </w:rPr>
        <w:t>九、</w:t>
      </w:r>
      <w:r>
        <w:rPr>
          <w:rFonts w:hint="eastAsia" w:ascii="黑体" w:eastAsia="黑体"/>
          <w:szCs w:val="32"/>
          <w:highlight w:val="none"/>
          <w:lang w:eastAsia="zh-CN"/>
        </w:rPr>
        <w:t>国有资本经营</w:t>
      </w:r>
      <w:r>
        <w:rPr>
          <w:rFonts w:hint="eastAsia" w:ascii="黑体" w:eastAsia="黑体"/>
          <w:szCs w:val="32"/>
          <w:highlight w:val="none"/>
        </w:rPr>
        <w:t>预算支出情况说明</w:t>
      </w:r>
    </w:p>
    <w:p w14:paraId="2323E844">
      <w:pPr>
        <w:tabs>
          <w:tab w:val="center" w:pos="4475"/>
        </w:tabs>
        <w:spacing w:line="560" w:lineRule="exact"/>
        <w:ind w:firstLine="645"/>
        <w:rPr>
          <w:rFonts w:hint="eastAsia" w:ascii="黑体" w:eastAsia="黑体"/>
          <w:szCs w:val="32"/>
        </w:rPr>
      </w:pPr>
      <w:r>
        <w:rPr>
          <w:rFonts w:hint="eastAsia" w:ascii="仿宋_GB2312"/>
          <w:sz w:val="32"/>
          <w:szCs w:val="32"/>
          <w:lang w:eastAsia="zh-CN"/>
        </w:rPr>
        <w:t>我单位2026年单位预算无国有资本经营预算</w:t>
      </w:r>
      <w:r>
        <w:rPr>
          <w:rFonts w:hint="eastAsia" w:ascii="仿宋_GB2312"/>
          <w:szCs w:val="32"/>
          <w:lang w:eastAsia="zh-CN"/>
        </w:rPr>
        <w:t>。</w:t>
      </w:r>
    </w:p>
    <w:p w14:paraId="2688F36B">
      <w:pPr>
        <w:tabs>
          <w:tab w:val="center" w:pos="4475"/>
        </w:tabs>
        <w:spacing w:line="560" w:lineRule="exact"/>
        <w:ind w:firstLine="645"/>
        <w:rPr>
          <w:rFonts w:hint="eastAsia" w:ascii="黑体" w:eastAsia="黑体"/>
          <w:szCs w:val="32"/>
        </w:rPr>
      </w:pPr>
      <w:r>
        <w:rPr>
          <w:rFonts w:hint="eastAsia" w:ascii="黑体" w:eastAsia="黑体"/>
          <w:szCs w:val="32"/>
          <w:lang w:eastAsia="zh-CN"/>
        </w:rPr>
        <w:t>十</w:t>
      </w:r>
      <w:r>
        <w:rPr>
          <w:rFonts w:hint="eastAsia" w:ascii="黑体" w:eastAsia="黑体"/>
          <w:szCs w:val="32"/>
        </w:rPr>
        <w:t>、其他重要事项情况说明</w:t>
      </w:r>
    </w:p>
    <w:p w14:paraId="3FC0A599">
      <w:pPr>
        <w:tabs>
          <w:tab w:val="center" w:pos="4475"/>
        </w:tabs>
        <w:spacing w:line="560" w:lineRule="exact"/>
        <w:ind w:firstLine="645"/>
        <w:rPr>
          <w:rFonts w:hint="eastAsia" w:ascii="楷体_GB2312" w:hAnsi="楷体_GB2312" w:eastAsia="楷体_GB2312" w:cs="楷体_GB2312"/>
          <w:szCs w:val="32"/>
        </w:rPr>
      </w:pPr>
      <w:r>
        <w:rPr>
          <w:rFonts w:hint="eastAsia" w:ascii="楷体_GB2312" w:hAnsi="楷体_GB2312" w:eastAsia="楷体_GB2312" w:cs="楷体_GB2312"/>
          <w:szCs w:val="32"/>
        </w:rPr>
        <w:t>（一）</w:t>
      </w:r>
      <w:r>
        <w:rPr>
          <w:rFonts w:hint="eastAsia" w:ascii="楷体_GB2312" w:hAnsi="楷体_GB2312" w:eastAsia="楷体_GB2312" w:cs="楷体_GB2312"/>
          <w:szCs w:val="32"/>
          <w:lang w:eastAsia="zh-CN"/>
        </w:rPr>
        <w:t>单位</w:t>
      </w:r>
      <w:r>
        <w:rPr>
          <w:rFonts w:hint="eastAsia" w:ascii="楷体_GB2312" w:hAnsi="楷体_GB2312" w:eastAsia="楷体_GB2312" w:cs="楷体_GB2312"/>
          <w:szCs w:val="32"/>
        </w:rPr>
        <w:t>运行经费安排情况说明</w:t>
      </w:r>
    </w:p>
    <w:p w14:paraId="65A1C34F">
      <w:pPr>
        <w:spacing w:line="460" w:lineRule="exact"/>
        <w:ind w:firstLine="480" w:firstLineChars="150"/>
        <w:rPr>
          <w:rFonts w:hint="eastAsia" w:ascii="仿宋_GB2312" w:eastAsia="仿宋_GB2312"/>
          <w:sz w:val="32"/>
          <w:szCs w:val="32"/>
          <w:highlight w:val="none"/>
        </w:rPr>
      </w:pPr>
      <w:r>
        <w:rPr>
          <w:rFonts w:hint="eastAsia" w:ascii="仿宋_GB2312" w:eastAsia="仿宋_GB2312"/>
          <w:sz w:val="32"/>
          <w:szCs w:val="32"/>
          <w:highlight w:val="none"/>
        </w:rPr>
        <w:t xml:space="preserve"> </w:t>
      </w: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sz w:val="32"/>
          <w:szCs w:val="32"/>
          <w:highlight w:val="none"/>
          <w:lang w:eastAsia="zh-CN"/>
        </w:rPr>
        <w:t>单位</w:t>
      </w:r>
      <w:r>
        <w:rPr>
          <w:rFonts w:hint="eastAsia" w:ascii="仿宋_GB2312" w:eastAsia="仿宋_GB2312"/>
          <w:sz w:val="32"/>
          <w:szCs w:val="32"/>
          <w:highlight w:val="none"/>
        </w:rPr>
        <w:t>的运行经费预算共</w:t>
      </w:r>
      <w:r>
        <w:rPr>
          <w:rFonts w:hint="eastAsia" w:ascii="仿宋_GB2312"/>
          <w:sz w:val="32"/>
          <w:szCs w:val="32"/>
          <w:highlight w:val="none"/>
          <w:lang w:val="en-US" w:eastAsia="zh-CN"/>
        </w:rPr>
        <w:t>0.3</w:t>
      </w:r>
      <w:r>
        <w:rPr>
          <w:rFonts w:hint="eastAsia" w:ascii="仿宋_GB2312" w:eastAsia="仿宋_GB2312"/>
          <w:sz w:val="32"/>
          <w:szCs w:val="32"/>
          <w:highlight w:val="none"/>
        </w:rPr>
        <w:t>万元，</w:t>
      </w:r>
      <w:r>
        <w:rPr>
          <w:rFonts w:hint="eastAsia" w:ascii="仿宋_GB2312" w:eastAsia="仿宋_GB2312"/>
          <w:sz w:val="32"/>
          <w:szCs w:val="32"/>
          <w:highlight w:val="none"/>
          <w:lang w:val="en-US" w:eastAsia="zh-CN"/>
        </w:rPr>
        <w:t>与上年持平</w:t>
      </w:r>
      <w:r>
        <w:rPr>
          <w:rFonts w:hint="eastAsia" w:ascii="仿宋_GB2312" w:eastAsia="仿宋_GB2312"/>
          <w:sz w:val="32"/>
          <w:szCs w:val="32"/>
          <w:highlight w:val="none"/>
        </w:rPr>
        <w:t>。主要包括其他商品和服务支出。</w:t>
      </w:r>
    </w:p>
    <w:p w14:paraId="0233024E">
      <w:pPr>
        <w:tabs>
          <w:tab w:val="center" w:pos="4475"/>
        </w:tabs>
        <w:spacing w:line="560" w:lineRule="exact"/>
        <w:ind w:firstLine="645"/>
        <w:rPr>
          <w:rFonts w:hint="eastAsia" w:ascii="楷体_GB2312" w:hAnsi="楷体_GB2312" w:eastAsia="楷体_GB2312" w:cs="楷体_GB2312"/>
          <w:kern w:val="0"/>
        </w:rPr>
      </w:pPr>
      <w:r>
        <w:rPr>
          <w:rFonts w:hint="eastAsia" w:ascii="楷体_GB2312" w:hAnsi="楷体_GB2312" w:eastAsia="楷体_GB2312" w:cs="楷体_GB2312"/>
          <w:szCs w:val="32"/>
        </w:rPr>
        <w:t>（二）</w:t>
      </w:r>
      <w:r>
        <w:rPr>
          <w:rFonts w:hint="eastAsia" w:ascii="楷体_GB2312" w:hAnsi="楷体_GB2312" w:eastAsia="楷体_GB2312" w:cs="楷体_GB2312"/>
          <w:kern w:val="0"/>
        </w:rPr>
        <w:t>政府采购预算安排情况说明</w:t>
      </w:r>
    </w:p>
    <w:p w14:paraId="2B369C07">
      <w:pPr>
        <w:tabs>
          <w:tab w:val="center" w:pos="4475"/>
        </w:tabs>
        <w:spacing w:line="560" w:lineRule="exact"/>
        <w:ind w:firstLine="645"/>
        <w:rPr>
          <w:rFonts w:hint="default" w:ascii="仿宋_GB2312" w:hAnsi="宋体"/>
          <w:szCs w:val="32"/>
          <w:highlight w:val="none"/>
          <w:u w:val="single"/>
          <w:lang w:val="en-US" w:eastAsia="zh-CN"/>
        </w:rPr>
      </w:pPr>
      <w:r>
        <w:rPr>
          <w:rFonts w:hint="eastAsia" w:ascii="仿宋_GB2312" w:hAnsi="宋体"/>
          <w:szCs w:val="32"/>
          <w:highlight w:val="none"/>
        </w:rPr>
        <w:t>我</w:t>
      </w:r>
      <w:r>
        <w:rPr>
          <w:rFonts w:hint="eastAsia" w:ascii="仿宋_GB2312" w:hAnsi="宋体"/>
          <w:szCs w:val="32"/>
          <w:lang w:eastAsia="zh-CN"/>
        </w:rPr>
        <w:t>单位2026年</w:t>
      </w:r>
      <w:r>
        <w:rPr>
          <w:rFonts w:hint="eastAsia" w:ascii="仿宋_GB2312" w:hAnsi="宋体"/>
          <w:szCs w:val="32"/>
        </w:rPr>
        <w:t>政府采购预算总金额</w:t>
      </w:r>
      <w:r>
        <w:rPr>
          <w:rFonts w:hint="eastAsia" w:ascii="仿宋_GB2312" w:hAnsi="宋体"/>
          <w:szCs w:val="32"/>
          <w:lang w:val="en-US" w:eastAsia="zh-CN"/>
        </w:rPr>
        <w:t>419.12</w:t>
      </w:r>
      <w:r>
        <w:rPr>
          <w:rFonts w:hint="eastAsia" w:ascii="仿宋_GB2312" w:hAnsi="宋体"/>
          <w:szCs w:val="32"/>
        </w:rPr>
        <w:t>万元。其中：货物类采购382万元、工程类采购</w:t>
      </w:r>
      <w:r>
        <w:rPr>
          <w:rFonts w:hint="eastAsia" w:ascii="仿宋_GB2312" w:hAnsi="宋体"/>
          <w:szCs w:val="32"/>
          <w:lang w:val="en-US" w:eastAsia="zh-CN"/>
        </w:rPr>
        <w:t>0</w:t>
      </w:r>
      <w:r>
        <w:rPr>
          <w:rFonts w:hint="eastAsia" w:ascii="仿宋_GB2312" w:hAnsi="宋体"/>
          <w:szCs w:val="32"/>
        </w:rPr>
        <w:t>万元、服务类采购</w:t>
      </w:r>
      <w:r>
        <w:rPr>
          <w:rFonts w:hint="eastAsia" w:ascii="仿宋_GB2312" w:hAnsi="宋体"/>
          <w:szCs w:val="32"/>
          <w:lang w:val="en-US" w:eastAsia="zh-CN"/>
        </w:rPr>
        <w:t>37.12</w:t>
      </w:r>
      <w:r>
        <w:rPr>
          <w:rFonts w:hint="eastAsia" w:ascii="仿宋_GB2312" w:hAnsi="宋体"/>
          <w:szCs w:val="32"/>
        </w:rPr>
        <w:t>万元。</w:t>
      </w:r>
      <w:r>
        <w:rPr>
          <w:rFonts w:hint="eastAsia" w:ascii="仿宋_GB2312" w:eastAsia="仿宋_GB2312"/>
          <w:sz w:val="32"/>
          <w:szCs w:val="32"/>
          <w:highlight w:val="none"/>
          <w:lang w:eastAsia="zh-CN"/>
        </w:rPr>
        <w:t>货物类采购</w:t>
      </w:r>
      <w:r>
        <w:rPr>
          <w:rFonts w:hint="eastAsia" w:ascii="仿宋_GB2312" w:eastAsia="仿宋_GB2312"/>
          <w:sz w:val="32"/>
          <w:szCs w:val="32"/>
          <w:highlight w:val="none"/>
          <w:lang w:val="en-US" w:eastAsia="zh-CN"/>
        </w:rPr>
        <w:t>包括：</w:t>
      </w:r>
      <w:r>
        <w:rPr>
          <w:rFonts w:hint="eastAsia" w:ascii="仿宋_GB2312"/>
          <w:sz w:val="32"/>
          <w:szCs w:val="32"/>
          <w:highlight w:val="none"/>
          <w:lang w:val="en-US" w:eastAsia="zh-CN"/>
        </w:rPr>
        <w:t>专用设备购置</w:t>
      </w:r>
      <w:r>
        <w:rPr>
          <w:rFonts w:hint="eastAsia" w:ascii="仿宋_GB2312" w:eastAsia="仿宋_GB2312"/>
          <w:sz w:val="32"/>
          <w:szCs w:val="32"/>
          <w:highlight w:val="none"/>
          <w:lang w:val="en-US" w:eastAsia="zh-CN"/>
        </w:rPr>
        <w:t>337</w:t>
      </w:r>
      <w:r>
        <w:rPr>
          <w:rFonts w:hint="eastAsia" w:ascii="仿宋_GB2312"/>
          <w:sz w:val="32"/>
          <w:szCs w:val="32"/>
          <w:highlight w:val="none"/>
          <w:lang w:val="en-US" w:eastAsia="zh-CN"/>
        </w:rPr>
        <w:t>万元（医用 X 线诊断设备300万元、检验检测设备16万元、其他医疗设备18万元、病房护理设备3万元）；办公设备购置17.4万元；办公用品购置27.6万元。</w:t>
      </w:r>
      <w:r>
        <w:rPr>
          <w:rFonts w:hint="eastAsia" w:ascii="仿宋_GB2312" w:hAnsi="宋体"/>
          <w:szCs w:val="32"/>
        </w:rPr>
        <w:t>服务类采购</w:t>
      </w:r>
      <w:r>
        <w:rPr>
          <w:rFonts w:hint="eastAsia" w:ascii="仿宋_GB2312" w:hAnsi="宋体"/>
          <w:szCs w:val="32"/>
          <w:lang w:val="en-US" w:eastAsia="zh-CN"/>
        </w:rPr>
        <w:t>包括：</w:t>
      </w:r>
      <w:r>
        <w:rPr>
          <w:rFonts w:hint="eastAsia" w:ascii="仿宋_GB2312"/>
          <w:sz w:val="32"/>
          <w:szCs w:val="32"/>
          <w:highlight w:val="none"/>
          <w:lang w:val="en-US" w:eastAsia="zh-CN"/>
        </w:rPr>
        <w:t>印刷服务购置26万元；公务用车运行维护费购置11.12万元。</w:t>
      </w:r>
    </w:p>
    <w:p w14:paraId="744FA10D">
      <w:pPr>
        <w:tabs>
          <w:tab w:val="center" w:pos="4475"/>
        </w:tabs>
        <w:spacing w:line="560" w:lineRule="exact"/>
        <w:ind w:firstLine="645"/>
        <w:rPr>
          <w:rFonts w:hint="eastAsia" w:ascii="楷体_GB2312" w:hAnsi="楷体_GB2312" w:eastAsia="楷体_GB2312" w:cs="楷体_GB2312"/>
          <w:szCs w:val="32"/>
          <w:lang w:eastAsia="zh-CN"/>
        </w:rPr>
      </w:pPr>
      <w:r>
        <w:rPr>
          <w:rFonts w:hint="eastAsia" w:ascii="楷体_GB2312" w:hAnsi="楷体_GB2312" w:eastAsia="楷体_GB2312" w:cs="楷体_GB2312"/>
          <w:szCs w:val="32"/>
          <w:lang w:eastAsia="zh-CN"/>
        </w:rPr>
        <w:t>（三）政府购买服务情况说明</w:t>
      </w:r>
    </w:p>
    <w:p w14:paraId="64EC4880">
      <w:pPr>
        <w:numPr>
          <w:ilvl w:val="0"/>
          <w:numId w:val="0"/>
        </w:numPr>
        <w:spacing w:line="460" w:lineRule="exact"/>
        <w:ind w:firstLine="640" w:firstLineChars="200"/>
        <w:rPr>
          <w:rFonts w:hint="eastAsia" w:ascii="仿宋_GB2312" w:hAnsi="宋体"/>
          <w:szCs w:val="32"/>
          <w:highlight w:val="none"/>
          <w:u w:val="single"/>
          <w:lang w:val="en-US" w:eastAsia="zh-CN"/>
        </w:rPr>
      </w:pPr>
      <w:r>
        <w:rPr>
          <w:rFonts w:hint="eastAsia" w:ascii="仿宋_GB2312"/>
          <w:sz w:val="32"/>
          <w:szCs w:val="32"/>
          <w:highlight w:val="none"/>
          <w:lang w:eastAsia="zh-CN"/>
        </w:rPr>
        <w:t>2026年</w:t>
      </w:r>
      <w:r>
        <w:rPr>
          <w:rFonts w:hint="eastAsia" w:ascii="仿宋_GB2312" w:eastAsia="仿宋_GB2312"/>
          <w:sz w:val="32"/>
          <w:szCs w:val="32"/>
          <w:highlight w:val="none"/>
        </w:rPr>
        <w:t>本</w:t>
      </w:r>
      <w:r>
        <w:rPr>
          <w:rFonts w:hint="eastAsia" w:ascii="仿宋_GB2312" w:eastAsia="仿宋_GB2312"/>
          <w:sz w:val="32"/>
          <w:szCs w:val="32"/>
          <w:highlight w:val="none"/>
          <w:lang w:eastAsia="zh-CN"/>
        </w:rPr>
        <w:t>单位的</w:t>
      </w:r>
      <w:r>
        <w:rPr>
          <w:rFonts w:hint="eastAsia" w:ascii="仿宋_GB2312" w:eastAsia="仿宋_GB2312"/>
          <w:sz w:val="32"/>
          <w:szCs w:val="32"/>
          <w:highlight w:val="none"/>
        </w:rPr>
        <w:t>政府</w:t>
      </w:r>
      <w:r>
        <w:rPr>
          <w:rFonts w:hint="eastAsia" w:ascii="仿宋_GB2312" w:eastAsia="仿宋_GB2312"/>
          <w:sz w:val="32"/>
          <w:szCs w:val="32"/>
          <w:highlight w:val="none"/>
          <w:lang w:eastAsia="zh-CN"/>
        </w:rPr>
        <w:t>购买</w:t>
      </w:r>
      <w:r>
        <w:rPr>
          <w:rFonts w:hint="eastAsia" w:ascii="仿宋_GB2312" w:eastAsia="仿宋_GB2312"/>
          <w:sz w:val="32"/>
          <w:szCs w:val="32"/>
          <w:highlight w:val="none"/>
        </w:rPr>
        <w:t>预算共</w:t>
      </w:r>
      <w:r>
        <w:rPr>
          <w:rFonts w:hint="eastAsia" w:ascii="仿宋_GB2312"/>
          <w:sz w:val="32"/>
          <w:szCs w:val="32"/>
          <w:highlight w:val="none"/>
          <w:lang w:val="en-US" w:eastAsia="zh-CN"/>
        </w:rPr>
        <w:t>0</w:t>
      </w:r>
      <w:r>
        <w:rPr>
          <w:rFonts w:hint="eastAsia" w:ascii="仿宋_GB2312" w:eastAsia="仿宋_GB2312"/>
          <w:sz w:val="32"/>
          <w:szCs w:val="32"/>
          <w:highlight w:val="none"/>
        </w:rPr>
        <w:t>万元，</w:t>
      </w:r>
      <w:r>
        <w:rPr>
          <w:rFonts w:hint="eastAsia" w:ascii="仿宋_GB2312" w:eastAsia="仿宋_GB2312"/>
          <w:sz w:val="32"/>
          <w:szCs w:val="32"/>
          <w:highlight w:val="none"/>
          <w:lang w:val="en-US" w:eastAsia="zh-CN"/>
        </w:rPr>
        <w:t>与上年持平</w:t>
      </w:r>
      <w:r>
        <w:rPr>
          <w:rFonts w:hint="eastAsia" w:ascii="仿宋_GB2312" w:eastAsia="仿宋_GB2312"/>
          <w:sz w:val="32"/>
          <w:szCs w:val="32"/>
          <w:highlight w:val="none"/>
        </w:rPr>
        <w:t>。</w:t>
      </w:r>
    </w:p>
    <w:p w14:paraId="6B03ABC3">
      <w:pPr>
        <w:tabs>
          <w:tab w:val="center" w:pos="4475"/>
        </w:tabs>
        <w:spacing w:line="560" w:lineRule="exact"/>
        <w:ind w:firstLine="645"/>
        <w:rPr>
          <w:rFonts w:hint="eastAsia" w:ascii="楷体_GB2312" w:hAnsi="楷体_GB2312" w:eastAsia="楷体_GB2312" w:cs="楷体_GB2312"/>
          <w:kern w:val="0"/>
        </w:rPr>
      </w:pPr>
      <w:r>
        <w:rPr>
          <w:rFonts w:hint="eastAsia" w:ascii="楷体_GB2312" w:hAnsi="楷体_GB2312" w:eastAsia="楷体_GB2312" w:cs="楷体_GB2312"/>
          <w:kern w:val="0"/>
        </w:rPr>
        <w:t>（</w:t>
      </w:r>
      <w:r>
        <w:rPr>
          <w:rFonts w:hint="eastAsia" w:ascii="楷体_GB2312" w:hAnsi="楷体_GB2312" w:eastAsia="楷体_GB2312" w:cs="楷体_GB2312"/>
          <w:kern w:val="0"/>
          <w:lang w:eastAsia="zh-CN"/>
        </w:rPr>
        <w:t>四</w:t>
      </w:r>
      <w:r>
        <w:rPr>
          <w:rFonts w:hint="eastAsia" w:ascii="楷体_GB2312" w:hAnsi="楷体_GB2312" w:eastAsia="楷体_GB2312" w:cs="楷体_GB2312"/>
          <w:kern w:val="0"/>
        </w:rPr>
        <w:t>）国有资产占用情况说明</w:t>
      </w:r>
    </w:p>
    <w:p w14:paraId="0A7A7DC4">
      <w:pPr>
        <w:tabs>
          <w:tab w:val="center" w:pos="4475"/>
        </w:tabs>
        <w:spacing w:line="560" w:lineRule="exact"/>
        <w:ind w:firstLine="645"/>
        <w:rPr>
          <w:rFonts w:hint="default" w:ascii="楷体_GB2312" w:hAnsi="楷体_GB2312" w:eastAsia="楷体_GB2312" w:cs="楷体_GB2312"/>
          <w:szCs w:val="32"/>
          <w:lang w:val="en-US" w:eastAsia="zh-CN"/>
        </w:rPr>
      </w:pPr>
      <w:r>
        <w:rPr>
          <w:rFonts w:hint="eastAsia" w:ascii="仿宋_GB2312" w:hAnsi="宋体" w:cs="Times New Roman"/>
          <w:szCs w:val="32"/>
          <w:highlight w:val="none"/>
          <w:lang w:eastAsia="zh-CN"/>
        </w:rPr>
        <w:t>2026年本单位</w:t>
      </w:r>
      <w:r>
        <w:rPr>
          <w:rFonts w:hint="eastAsia" w:ascii="仿宋_GB2312" w:hAnsi="宋体" w:cs="Times New Roman"/>
          <w:szCs w:val="32"/>
          <w:highlight w:val="none"/>
          <w:lang w:val="en-US" w:eastAsia="zh-CN"/>
        </w:rPr>
        <w:t>房屋和构筑物4599平方米。设备651台，其中：</w:t>
      </w:r>
      <w:r>
        <w:rPr>
          <w:rFonts w:hint="eastAsia" w:ascii="仿宋_GB2312" w:eastAsia="仿宋_GB2312"/>
          <w:sz w:val="32"/>
          <w:szCs w:val="32"/>
          <w:highlight w:val="none"/>
          <w:lang w:eastAsia="zh-CN"/>
        </w:rPr>
        <w:t>单价100万元（含）以上设备</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lang w:eastAsia="zh-CN"/>
        </w:rPr>
        <w:t>台（套）</w:t>
      </w:r>
      <w:r>
        <w:rPr>
          <w:rFonts w:hint="eastAsia" w:ascii="仿宋_GB2312"/>
          <w:sz w:val="32"/>
          <w:szCs w:val="32"/>
          <w:highlight w:val="none"/>
          <w:lang w:eastAsia="zh-CN"/>
        </w:rPr>
        <w:t>。</w:t>
      </w:r>
      <w:r>
        <w:rPr>
          <w:rFonts w:hint="eastAsia" w:ascii="仿宋_GB2312" w:hAnsi="宋体" w:cs="Times New Roman"/>
          <w:szCs w:val="32"/>
          <w:highlight w:val="none"/>
          <w:lang w:val="en-US" w:eastAsia="zh-CN"/>
        </w:rPr>
        <w:t>车辆4辆，其中：应急保障用车1辆、特种专业技术用车3辆。家具和用具31</w:t>
      </w:r>
      <w:r>
        <w:rPr>
          <w:rFonts w:hint="eastAsia" w:ascii="仿宋_GB2312" w:eastAsia="仿宋_GB2312"/>
          <w:sz w:val="32"/>
          <w:szCs w:val="32"/>
          <w:highlight w:val="none"/>
          <w:lang w:eastAsia="zh-CN"/>
        </w:rPr>
        <w:t>台（套）</w:t>
      </w:r>
      <w:r>
        <w:rPr>
          <w:rFonts w:hint="eastAsia" w:ascii="仿宋_GB2312" w:hAnsi="宋体" w:cs="Times New Roman"/>
          <w:szCs w:val="32"/>
          <w:highlight w:val="none"/>
          <w:lang w:val="en-US" w:eastAsia="zh-CN"/>
        </w:rPr>
        <w:t>。无形资产3套。</w:t>
      </w:r>
    </w:p>
    <w:p w14:paraId="016FE797">
      <w:pPr>
        <w:tabs>
          <w:tab w:val="center" w:pos="4475"/>
        </w:tabs>
        <w:spacing w:line="560" w:lineRule="exact"/>
        <w:ind w:firstLine="645"/>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w:t>
      </w:r>
      <w:r>
        <w:rPr>
          <w:rFonts w:hint="eastAsia" w:ascii="楷体_GB2312" w:hAnsi="楷体_GB2312" w:eastAsia="楷体_GB2312" w:cs="楷体_GB2312"/>
          <w:color w:val="auto"/>
          <w:szCs w:val="32"/>
          <w:lang w:eastAsia="zh-CN"/>
        </w:rPr>
        <w:t>五</w:t>
      </w:r>
      <w:r>
        <w:rPr>
          <w:rFonts w:hint="eastAsia" w:ascii="楷体_GB2312" w:hAnsi="楷体_GB2312" w:eastAsia="楷体_GB2312" w:cs="楷体_GB2312"/>
          <w:color w:val="auto"/>
          <w:szCs w:val="32"/>
        </w:rPr>
        <w:t>）预算绩效目标情况说明</w:t>
      </w:r>
    </w:p>
    <w:p w14:paraId="1F235B12">
      <w:pPr>
        <w:tabs>
          <w:tab w:val="center" w:pos="4475"/>
        </w:tabs>
        <w:spacing w:line="560" w:lineRule="exact"/>
        <w:ind w:firstLine="645"/>
        <w:rPr>
          <w:rFonts w:hint="eastAsia" w:ascii="仿宋_GB2312" w:eastAsia="仿宋_GB2312"/>
          <w:color w:val="auto"/>
          <w:sz w:val="32"/>
          <w:szCs w:val="32"/>
          <w:lang w:val="en-US" w:eastAsia="zh-CN"/>
        </w:rPr>
      </w:pPr>
      <w:r>
        <w:rPr>
          <w:rFonts w:hint="eastAsia" w:ascii="仿宋_GB2312"/>
          <w:color w:val="auto"/>
          <w:sz w:val="32"/>
          <w:szCs w:val="32"/>
          <w:lang w:val="en-US" w:eastAsia="zh-CN"/>
        </w:rPr>
        <w:t>1.我单位2026年</w:t>
      </w:r>
      <w:r>
        <w:rPr>
          <w:rFonts w:hint="eastAsia" w:ascii="仿宋_GB2312" w:eastAsia="仿宋_GB2312"/>
          <w:color w:val="auto"/>
          <w:sz w:val="32"/>
          <w:szCs w:val="32"/>
          <w:lang w:val="en-US" w:eastAsia="zh-CN"/>
        </w:rPr>
        <w:t>所有项目支出全面实施绩效目标管理，涉及本级项目</w:t>
      </w:r>
      <w:r>
        <w:rPr>
          <w:rFonts w:hint="eastAsia" w:ascii="仿宋_GB2312"/>
          <w:color w:val="auto"/>
          <w:sz w:val="32"/>
          <w:szCs w:val="32"/>
          <w:lang w:val="en-US" w:eastAsia="zh-CN"/>
        </w:rPr>
        <w:t>3</w:t>
      </w:r>
      <w:r>
        <w:rPr>
          <w:rFonts w:hint="eastAsia" w:ascii="仿宋_GB2312" w:eastAsia="仿宋_GB2312"/>
          <w:color w:val="auto"/>
          <w:sz w:val="32"/>
          <w:szCs w:val="32"/>
          <w:lang w:val="en-US" w:eastAsia="zh-CN"/>
        </w:rPr>
        <w:t>个，预算资</w:t>
      </w:r>
      <w:bookmarkStart w:id="0" w:name="_GoBack"/>
      <w:bookmarkEnd w:id="0"/>
      <w:r>
        <w:rPr>
          <w:rFonts w:hint="eastAsia" w:ascii="仿宋_GB2312" w:eastAsia="仿宋_GB2312"/>
          <w:color w:val="auto"/>
          <w:sz w:val="32"/>
          <w:szCs w:val="32"/>
          <w:lang w:val="en-US" w:eastAsia="zh-CN"/>
        </w:rPr>
        <w:t>金</w:t>
      </w:r>
      <w:r>
        <w:rPr>
          <w:rFonts w:hint="eastAsia" w:ascii="仿宋_GB2312"/>
          <w:color w:val="auto"/>
          <w:sz w:val="32"/>
          <w:szCs w:val="32"/>
          <w:lang w:val="en-US" w:eastAsia="zh-CN"/>
        </w:rPr>
        <w:t>1892.04</w:t>
      </w:r>
      <w:r>
        <w:rPr>
          <w:rFonts w:hint="eastAsia" w:ascii="仿宋_GB2312" w:eastAsia="仿宋_GB2312"/>
          <w:color w:val="auto"/>
          <w:sz w:val="32"/>
          <w:szCs w:val="32"/>
          <w:lang w:val="en-US" w:eastAsia="zh-CN"/>
        </w:rPr>
        <w:t>万元。绩效目标情况详见报表。</w:t>
      </w:r>
    </w:p>
    <w:p w14:paraId="07D7F9DA">
      <w:pPr>
        <w:tabs>
          <w:tab w:val="center" w:pos="4475"/>
        </w:tabs>
        <w:spacing w:line="560" w:lineRule="exact"/>
        <w:ind w:firstLine="640" w:firstLineChars="200"/>
        <w:rPr>
          <w:rFonts w:hint="eastAsia" w:ascii="仿宋_GB2312"/>
          <w:color w:val="auto"/>
          <w:sz w:val="32"/>
          <w:szCs w:val="32"/>
          <w:lang w:val="en-US" w:eastAsia="zh-CN"/>
        </w:rPr>
      </w:pPr>
      <w:r>
        <w:rPr>
          <w:rFonts w:hint="eastAsia" w:ascii="仿宋_GB2312"/>
          <w:color w:val="auto"/>
          <w:sz w:val="32"/>
          <w:szCs w:val="32"/>
          <w:lang w:val="en-US" w:eastAsia="zh-CN"/>
        </w:rPr>
        <w:t>2.重点项目预算绩效目标说明。</w:t>
      </w:r>
    </w:p>
    <w:tbl>
      <w:tblPr>
        <w:tblStyle w:val="5"/>
        <w:tblW w:w="82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91"/>
        <w:gridCol w:w="1113"/>
        <w:gridCol w:w="1472"/>
        <w:gridCol w:w="2008"/>
        <w:gridCol w:w="2545"/>
      </w:tblGrid>
      <w:tr w14:paraId="7118E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8240"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8DEE7">
            <w:pPr>
              <w:keepNext w:val="0"/>
              <w:keepLines w:val="0"/>
              <w:widowControl/>
              <w:suppressLineNumbers w:val="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2026年度部门预算柳江区项目支出绩效目标申报表</w:t>
            </w:r>
          </w:p>
        </w:tc>
      </w:tr>
      <w:tr w14:paraId="3DDE2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8240"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A2B96">
            <w:pPr>
              <w:jc w:val="center"/>
              <w:rPr>
                <w:rFonts w:hint="eastAsia" w:ascii="仿宋" w:hAnsi="仿宋" w:eastAsia="仿宋" w:cs="仿宋"/>
                <w:b/>
                <w:bCs/>
                <w:i w:val="0"/>
                <w:iCs w:val="0"/>
                <w:color w:val="000000"/>
                <w:sz w:val="32"/>
                <w:szCs w:val="32"/>
                <w:u w:val="none"/>
              </w:rPr>
            </w:pPr>
          </w:p>
        </w:tc>
      </w:tr>
      <w:tr w14:paraId="536A1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1FCB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项目名称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AC4F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预防接种服务费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448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C6E8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450206250413200011371</w:t>
            </w:r>
          </w:p>
        </w:tc>
      </w:tr>
      <w:tr w14:paraId="21D18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2A3D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项目实施单位</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F802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柳州市柳江区穿山中心卫生院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F6EF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项目主管单位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564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132-柳州市柳江区卫生健康局</w:t>
            </w:r>
          </w:p>
        </w:tc>
      </w:tr>
      <w:tr w14:paraId="55B07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01D8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项目属性</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78DC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2-阶段性项目</w:t>
            </w:r>
          </w:p>
        </w:tc>
      </w:tr>
      <w:tr w14:paraId="7EF83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2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920B57">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资金总额</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8A6A7">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资金来源</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C5BD">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金额(元)</w:t>
            </w:r>
          </w:p>
        </w:tc>
      </w:tr>
      <w:tr w14:paraId="432B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D89C2">
            <w:pPr>
              <w:jc w:val="center"/>
              <w:rPr>
                <w:rFonts w:hint="eastAsia" w:ascii="仿宋" w:hAnsi="仿宋" w:eastAsia="仿宋" w:cs="仿宋"/>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35C6">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6BCA7">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0D9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118800</w:t>
            </w:r>
          </w:p>
        </w:tc>
      </w:tr>
      <w:tr w14:paraId="5F23C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55144">
            <w:pPr>
              <w:jc w:val="center"/>
              <w:rPr>
                <w:rFonts w:hint="eastAsia" w:ascii="仿宋" w:hAnsi="仿宋" w:eastAsia="仿宋" w:cs="仿宋"/>
                <w:i w:val="0"/>
                <w:iCs w:val="0"/>
                <w:color w:val="000000"/>
                <w:sz w:val="22"/>
                <w:szCs w:val="22"/>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EEBC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其中：一般公共预算拨款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9FA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其中：上级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2D29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w:t>
            </w:r>
          </w:p>
        </w:tc>
      </w:tr>
      <w:tr w14:paraId="672DA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8957D">
            <w:pPr>
              <w:jc w:val="center"/>
              <w:rPr>
                <w:rFonts w:hint="eastAsia" w:ascii="仿宋" w:hAnsi="仿宋" w:eastAsia="仿宋" w:cs="仿宋"/>
                <w:i w:val="0"/>
                <w:iCs w:val="0"/>
                <w:color w:val="000000"/>
                <w:sz w:val="22"/>
                <w:szCs w:val="22"/>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D7763">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8BB1F">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本级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47AC9">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w:t>
            </w:r>
          </w:p>
        </w:tc>
      </w:tr>
      <w:tr w14:paraId="248A3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9C88D">
            <w:pPr>
              <w:jc w:val="center"/>
              <w:rPr>
                <w:rFonts w:hint="eastAsia" w:ascii="仿宋" w:hAnsi="仿宋" w:eastAsia="仿宋" w:cs="仿宋"/>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20D7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政府性基金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3D65B">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A43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118800</w:t>
            </w:r>
          </w:p>
        </w:tc>
      </w:tr>
      <w:tr w14:paraId="12618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1AD5B">
            <w:pPr>
              <w:jc w:val="center"/>
              <w:rPr>
                <w:rFonts w:hint="eastAsia" w:ascii="仿宋" w:hAnsi="仿宋" w:eastAsia="仿宋" w:cs="仿宋"/>
                <w:i w:val="0"/>
                <w:iCs w:val="0"/>
                <w:color w:val="000000"/>
                <w:sz w:val="22"/>
                <w:szCs w:val="22"/>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FAC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国有资本经营预算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0A34D">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5905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w:t>
            </w:r>
          </w:p>
        </w:tc>
      </w:tr>
      <w:tr w14:paraId="01404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CBE35">
            <w:pPr>
              <w:jc w:val="center"/>
              <w:rPr>
                <w:rFonts w:hint="eastAsia" w:ascii="仿宋" w:hAnsi="仿宋" w:eastAsia="仿宋" w:cs="仿宋"/>
                <w:i w:val="0"/>
                <w:iCs w:val="0"/>
                <w:color w:val="000000"/>
                <w:sz w:val="22"/>
                <w:szCs w:val="22"/>
                <w:u w:val="none"/>
              </w:rPr>
            </w:pPr>
          </w:p>
        </w:tc>
        <w:tc>
          <w:tcPr>
            <w:tcW w:w="2508" w:type="dxa"/>
            <w:gridSpan w:val="2"/>
            <w:tcBorders>
              <w:top w:val="single" w:color="000000" w:sz="4" w:space="0"/>
              <w:left w:val="single" w:color="000000" w:sz="4" w:space="0"/>
              <w:bottom w:val="nil"/>
              <w:right w:val="single" w:color="000000" w:sz="4" w:space="0"/>
            </w:tcBorders>
            <w:shd w:val="clear" w:color="auto" w:fill="auto"/>
            <w:vAlign w:val="center"/>
          </w:tcPr>
          <w:p w14:paraId="59F04442">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 xml:space="preserve"> 其他资金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ABF99">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FCE04">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0</w:t>
            </w:r>
          </w:p>
        </w:tc>
      </w:tr>
      <w:tr w14:paraId="056BD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1" w:hRule="atLeast"/>
        </w:trPr>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D395">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年度绩效目标</w:t>
            </w:r>
          </w:p>
        </w:tc>
        <w:tc>
          <w:tcPr>
            <w:tcW w:w="69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6C8467">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1.提高预防接种覆盖率，确保预防接种工作的全面覆盖，促进疫苗的普及和使用。2.保障接种质量安全，确保疫苗质量安全，防止接种过程中的意外事件发生。3.提高服务质量，优化接种服务流程。</w:t>
            </w:r>
          </w:p>
        </w:tc>
      </w:tr>
      <w:tr w14:paraId="0EFA1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2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A536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项目年度绩效目标衡量指标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D2675">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一级指标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57D83">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89E4">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指标内容</w:t>
            </w:r>
          </w:p>
        </w:tc>
        <w:tc>
          <w:tcPr>
            <w:tcW w:w="2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4DC0">
            <w:pPr>
              <w:keepNext w:val="0"/>
              <w:keepLines w:val="0"/>
              <w:widowControl/>
              <w:suppressLineNumbers w:val="0"/>
              <w:jc w:val="center"/>
              <w:textAlignment w:val="center"/>
              <w:rPr>
                <w:rFonts w:hint="eastAsia" w:ascii="仿宋" w:hAnsi="仿宋" w:eastAsia="仿宋" w:cs="仿宋"/>
                <w:b/>
                <w:bCs/>
                <w:i w:val="0"/>
                <w:iCs w:val="0"/>
                <w:color w:val="000000"/>
                <w:sz w:val="22"/>
                <w:szCs w:val="22"/>
                <w:u w:val="none"/>
              </w:rPr>
            </w:pPr>
            <w:r>
              <w:rPr>
                <w:rFonts w:hint="eastAsia" w:ascii="仿宋" w:hAnsi="仿宋" w:eastAsia="仿宋" w:cs="仿宋"/>
                <w:b/>
                <w:bCs/>
                <w:i w:val="0"/>
                <w:iCs w:val="0"/>
                <w:color w:val="000000"/>
                <w:kern w:val="0"/>
                <w:sz w:val="22"/>
                <w:szCs w:val="22"/>
                <w:u w:val="none"/>
                <w:lang w:val="en-US" w:eastAsia="zh-CN" w:bidi="ar"/>
              </w:rPr>
              <w:t>指标值</w:t>
            </w:r>
          </w:p>
        </w:tc>
      </w:tr>
      <w:tr w14:paraId="1F83A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B537D">
            <w:pPr>
              <w:jc w:val="center"/>
              <w:rPr>
                <w:rFonts w:hint="eastAsia" w:ascii="仿宋" w:hAnsi="仿宋" w:eastAsia="仿宋" w:cs="仿宋"/>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E057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产出指标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F3A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数量指标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8006E">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接种剂次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AA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≥5400剂次</w:t>
            </w:r>
          </w:p>
        </w:tc>
      </w:tr>
      <w:tr w14:paraId="0AEEE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BBA9D">
            <w:pPr>
              <w:jc w:val="center"/>
              <w:rPr>
                <w:rFonts w:hint="eastAsia" w:ascii="仿宋" w:hAnsi="仿宋" w:eastAsia="仿宋" w:cs="仿宋"/>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E883E">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F283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质量指标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C6335">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疫苗接种准确率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38226">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＝100%</w:t>
            </w:r>
          </w:p>
        </w:tc>
      </w:tr>
      <w:tr w14:paraId="5250A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00405">
            <w:pPr>
              <w:jc w:val="center"/>
              <w:rPr>
                <w:rFonts w:hint="eastAsia" w:ascii="仿宋" w:hAnsi="仿宋" w:eastAsia="仿宋" w:cs="仿宋"/>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3D2CC">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FB61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时效指标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D9E8">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项目完成时间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69FC">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2026年12月31日</w:t>
            </w:r>
          </w:p>
        </w:tc>
      </w:tr>
      <w:tr w14:paraId="37C2C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3CF78">
            <w:pPr>
              <w:jc w:val="center"/>
              <w:rPr>
                <w:rFonts w:hint="eastAsia" w:ascii="仿宋" w:hAnsi="仿宋" w:eastAsia="仿宋" w:cs="仿宋"/>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17791">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BE52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成本指标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C9AF">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项目成本支出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6499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按22元／剂次计算</w:t>
            </w:r>
          </w:p>
        </w:tc>
      </w:tr>
      <w:tr w14:paraId="3D498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D622E">
            <w:pPr>
              <w:jc w:val="center"/>
              <w:rPr>
                <w:rFonts w:hint="eastAsia" w:ascii="仿宋" w:hAnsi="仿宋" w:eastAsia="仿宋" w:cs="仿宋"/>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544D1">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效益指标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A691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DE58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居民群体免疫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3C3E">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提高</w:t>
            </w:r>
          </w:p>
        </w:tc>
      </w:tr>
      <w:tr w14:paraId="0B100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F0D09">
            <w:pPr>
              <w:jc w:val="center"/>
              <w:rPr>
                <w:rFonts w:hint="eastAsia" w:ascii="仿宋" w:hAnsi="仿宋" w:eastAsia="仿宋" w:cs="仿宋"/>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BDA4">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A5EC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可持续影响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9B0A2">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疫苗接种工作持续开展</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3625A">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持续</w:t>
            </w:r>
          </w:p>
        </w:tc>
      </w:tr>
      <w:tr w14:paraId="0E4CF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D0714">
            <w:pPr>
              <w:jc w:val="center"/>
              <w:rPr>
                <w:rFonts w:hint="eastAsia" w:ascii="仿宋" w:hAnsi="仿宋" w:eastAsia="仿宋" w:cs="仿宋"/>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B8D3">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满意度指标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C620">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A50BA">
            <w:pPr>
              <w:keepNext w:val="0"/>
              <w:keepLines w:val="0"/>
              <w:widowControl/>
              <w:suppressLineNumbers w:val="0"/>
              <w:jc w:val="left"/>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收接种者满意度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47A08">
            <w:pPr>
              <w:keepNext w:val="0"/>
              <w:keepLines w:val="0"/>
              <w:widowControl/>
              <w:suppressLineNumbers w:val="0"/>
              <w:jc w:val="center"/>
              <w:textAlignment w:val="center"/>
              <w:rPr>
                <w:rFonts w:hint="eastAsia" w:ascii="仿宋" w:hAnsi="仿宋" w:eastAsia="仿宋" w:cs="仿宋"/>
                <w:i w:val="0"/>
                <w:iCs w:val="0"/>
                <w:color w:val="000000"/>
                <w:sz w:val="22"/>
                <w:szCs w:val="22"/>
                <w:u w:val="none"/>
              </w:rPr>
            </w:pPr>
            <w:r>
              <w:rPr>
                <w:rFonts w:hint="eastAsia" w:ascii="仿宋" w:hAnsi="仿宋" w:eastAsia="仿宋" w:cs="仿宋"/>
                <w:i w:val="0"/>
                <w:iCs w:val="0"/>
                <w:color w:val="000000"/>
                <w:kern w:val="0"/>
                <w:sz w:val="22"/>
                <w:szCs w:val="22"/>
                <w:u w:val="none"/>
                <w:lang w:val="en-US" w:eastAsia="zh-CN" w:bidi="ar"/>
              </w:rPr>
              <w:t>≥90%</w:t>
            </w:r>
          </w:p>
        </w:tc>
      </w:tr>
    </w:tbl>
    <w:p w14:paraId="306C96C9">
      <w:pPr>
        <w:tabs>
          <w:tab w:val="center" w:pos="4475"/>
        </w:tabs>
        <w:spacing w:line="560" w:lineRule="exact"/>
        <w:ind w:firstLine="645"/>
        <w:rPr>
          <w:rFonts w:hint="eastAsia" w:ascii="黑体" w:eastAsia="黑体"/>
          <w:szCs w:val="32"/>
        </w:rPr>
      </w:pPr>
      <w:r>
        <w:rPr>
          <w:rFonts w:hint="eastAsia" w:ascii="黑体" w:eastAsia="黑体"/>
          <w:szCs w:val="32"/>
        </w:rPr>
        <w:t>第三部分：名词解释</w:t>
      </w:r>
    </w:p>
    <w:p w14:paraId="500FBED0">
      <w:pPr>
        <w:ind w:firstLine="640"/>
        <w:rPr>
          <w:rFonts w:ascii="黑体" w:eastAsia="黑体"/>
          <w:sz w:val="32"/>
          <w:szCs w:val="32"/>
          <w:highlight w:val="none"/>
        </w:rPr>
      </w:pPr>
      <w:r>
        <w:rPr>
          <w:rFonts w:hint="eastAsia" w:ascii="黑体" w:eastAsia="黑体"/>
          <w:sz w:val="32"/>
          <w:szCs w:val="32"/>
          <w:highlight w:val="none"/>
        </w:rPr>
        <w:t>一、一般公共预算：</w:t>
      </w:r>
      <w:r>
        <w:rPr>
          <w:rFonts w:hint="eastAsia" w:ascii="仿宋_GB2312" w:eastAsia="仿宋_GB2312"/>
          <w:sz w:val="32"/>
          <w:szCs w:val="32"/>
          <w:highlight w:val="none"/>
        </w:rPr>
        <w:t>一般公共预算是对以税收为主体的财政收入，安排用于保障和改善民生、推动经济社会发展、维护国家安全、维持国家机构正常运转等方面的收支预算。</w:t>
      </w:r>
    </w:p>
    <w:p w14:paraId="0F481E94">
      <w:pPr>
        <w:ind w:firstLine="640"/>
        <w:rPr>
          <w:rFonts w:ascii="仿宋_GB2312" w:eastAsia="仿宋_GB2312"/>
          <w:sz w:val="32"/>
          <w:szCs w:val="32"/>
          <w:highlight w:val="none"/>
        </w:rPr>
      </w:pPr>
      <w:r>
        <w:rPr>
          <w:rFonts w:hint="eastAsia" w:ascii="黑体" w:eastAsia="黑体"/>
          <w:sz w:val="32"/>
          <w:szCs w:val="32"/>
          <w:highlight w:val="none"/>
        </w:rPr>
        <w:t>二、政府性基金预算：</w:t>
      </w:r>
      <w:r>
        <w:rPr>
          <w:rFonts w:hint="eastAsia" w:ascii="仿宋_GB2312" w:eastAsia="仿宋_GB2312"/>
          <w:sz w:val="32"/>
          <w:szCs w:val="32"/>
          <w:highlight w:val="none"/>
        </w:rPr>
        <w:t>政府性基金预算是对依照法律、行政法规的规定在一定期限内向特定对象征收、收取或者以其他方式筹集的资金，专项用于特定公共事业发展的收支预算。</w:t>
      </w:r>
    </w:p>
    <w:p w14:paraId="0BA9290F">
      <w:pPr>
        <w:ind w:firstLine="640"/>
        <w:rPr>
          <w:rFonts w:ascii="仿宋_GB2312" w:eastAsia="仿宋_GB2312"/>
          <w:sz w:val="32"/>
          <w:szCs w:val="32"/>
          <w:highlight w:val="none"/>
        </w:rPr>
      </w:pPr>
      <w:r>
        <w:rPr>
          <w:rFonts w:hint="eastAsia" w:ascii="黑体" w:eastAsia="黑体"/>
          <w:sz w:val="32"/>
          <w:szCs w:val="32"/>
          <w:highlight w:val="none"/>
        </w:rPr>
        <w:t>三、国有资本经营预算</w:t>
      </w:r>
      <w:r>
        <w:rPr>
          <w:rFonts w:hint="eastAsia" w:ascii="仿宋_GB2312" w:eastAsia="仿宋_GB2312"/>
          <w:sz w:val="32"/>
          <w:szCs w:val="32"/>
          <w:highlight w:val="none"/>
        </w:rPr>
        <w:t>：国有资本经营预算是对国有资本收益做出支出安排的收支预算。</w:t>
      </w:r>
    </w:p>
    <w:p w14:paraId="51DC659B">
      <w:pPr>
        <w:ind w:firstLine="640"/>
        <w:rPr>
          <w:rFonts w:ascii="仿宋_GB2312" w:eastAsia="仿宋_GB2312"/>
          <w:sz w:val="32"/>
          <w:szCs w:val="32"/>
          <w:highlight w:val="none"/>
        </w:rPr>
      </w:pPr>
      <w:r>
        <w:rPr>
          <w:rFonts w:hint="eastAsia" w:ascii="黑体" w:eastAsia="黑体"/>
          <w:sz w:val="32"/>
          <w:szCs w:val="32"/>
          <w:highlight w:val="none"/>
        </w:rPr>
        <w:t>四、财政拨款收入：</w:t>
      </w:r>
      <w:r>
        <w:rPr>
          <w:rFonts w:hint="eastAsia" w:ascii="仿宋_GB2312" w:eastAsia="仿宋_GB2312"/>
          <w:sz w:val="32"/>
          <w:szCs w:val="32"/>
          <w:highlight w:val="none"/>
        </w:rPr>
        <w:t>指财政</w:t>
      </w:r>
      <w:r>
        <w:rPr>
          <w:rFonts w:hint="eastAsia" w:ascii="仿宋_GB2312"/>
          <w:sz w:val="32"/>
          <w:szCs w:val="32"/>
          <w:highlight w:val="none"/>
          <w:lang w:eastAsia="zh-CN"/>
        </w:rPr>
        <w:t>单位</w:t>
      </w:r>
      <w:r>
        <w:rPr>
          <w:rFonts w:hint="eastAsia" w:ascii="仿宋_GB2312" w:eastAsia="仿宋_GB2312"/>
          <w:sz w:val="32"/>
          <w:szCs w:val="32"/>
          <w:highlight w:val="none"/>
        </w:rPr>
        <w:t xml:space="preserve">当年拨付的资金。 </w:t>
      </w:r>
    </w:p>
    <w:p w14:paraId="3BBCF5DD">
      <w:pPr>
        <w:ind w:firstLine="640"/>
        <w:rPr>
          <w:rFonts w:ascii="仿宋_GB2312" w:eastAsia="仿宋_GB2312"/>
          <w:sz w:val="32"/>
          <w:szCs w:val="32"/>
          <w:highlight w:val="none"/>
        </w:rPr>
      </w:pPr>
      <w:r>
        <w:rPr>
          <w:rFonts w:hint="eastAsia" w:ascii="黑体" w:eastAsia="黑体"/>
          <w:sz w:val="32"/>
          <w:szCs w:val="32"/>
          <w:highlight w:val="none"/>
        </w:rPr>
        <w:t>五、非税收入：</w:t>
      </w:r>
      <w:r>
        <w:rPr>
          <w:rFonts w:hint="eastAsia" w:ascii="仿宋_GB2312" w:eastAsia="仿宋_GB2312"/>
          <w:sz w:val="32"/>
          <w:szCs w:val="32"/>
          <w:highlight w:val="none"/>
        </w:rPr>
        <w:t>指除税收以外，由各级政府、国家机关、事业单位、代行政府职能的社会团体及其他组织依法利用政府权力、政府信誉、国家资源、国有资产或提供特定公共服务、准公共服务取得并用于满足社会公共需要或准公共需要的财政资金。主要包括：政府性基金收入、专项收入、行政事业性收费收入、罚没收入、国有资本经营收入、国有资源（资产）有偿使用收入、捐赠收入、政府住房基金收入、其他收入</w:t>
      </w:r>
    </w:p>
    <w:p w14:paraId="6295758F">
      <w:pPr>
        <w:ind w:firstLine="640" w:firstLineChars="200"/>
        <w:rPr>
          <w:rFonts w:ascii="仿宋_GB2312" w:eastAsia="仿宋_GB2312"/>
          <w:sz w:val="32"/>
          <w:szCs w:val="32"/>
          <w:highlight w:val="none"/>
        </w:rPr>
      </w:pPr>
      <w:r>
        <w:rPr>
          <w:rFonts w:hint="eastAsia" w:ascii="黑体" w:eastAsia="黑体"/>
          <w:sz w:val="32"/>
          <w:szCs w:val="32"/>
          <w:highlight w:val="none"/>
        </w:rPr>
        <w:t>六、事业收入：</w:t>
      </w:r>
      <w:r>
        <w:rPr>
          <w:rFonts w:hint="eastAsia" w:ascii="仿宋_GB2312" w:eastAsia="仿宋_GB2312"/>
          <w:sz w:val="32"/>
          <w:szCs w:val="32"/>
          <w:highlight w:val="none"/>
        </w:rPr>
        <w:t>指事业单位开展专业业务活动及辅助活动所取得的收入。</w:t>
      </w:r>
    </w:p>
    <w:p w14:paraId="79C22C6A">
      <w:pPr>
        <w:ind w:firstLine="640" w:firstLineChars="200"/>
        <w:rPr>
          <w:rFonts w:ascii="仿宋_GB2312" w:eastAsia="仿宋_GB2312"/>
          <w:sz w:val="32"/>
          <w:szCs w:val="32"/>
          <w:highlight w:val="none"/>
        </w:rPr>
      </w:pPr>
      <w:r>
        <w:rPr>
          <w:rFonts w:hint="eastAsia" w:ascii="黑体" w:eastAsia="黑体"/>
          <w:sz w:val="32"/>
          <w:szCs w:val="32"/>
          <w:highlight w:val="none"/>
        </w:rPr>
        <w:t>七、经营收入：</w:t>
      </w:r>
      <w:r>
        <w:rPr>
          <w:rFonts w:hint="eastAsia" w:ascii="仿宋_GB2312" w:eastAsia="仿宋_GB2312"/>
          <w:sz w:val="32"/>
          <w:szCs w:val="32"/>
          <w:highlight w:val="none"/>
        </w:rPr>
        <w:t>指事业单位在专业业务活动及其辅助活动之外开展非独立核算经营活动取得的收入。</w:t>
      </w:r>
    </w:p>
    <w:p w14:paraId="38EBD63F">
      <w:pPr>
        <w:ind w:firstLine="640"/>
        <w:rPr>
          <w:rFonts w:ascii="仿宋_GB2312" w:eastAsia="仿宋_GB2312"/>
          <w:sz w:val="32"/>
          <w:szCs w:val="32"/>
          <w:highlight w:val="none"/>
        </w:rPr>
      </w:pPr>
      <w:r>
        <w:rPr>
          <w:rFonts w:hint="eastAsia" w:ascii="黑体" w:eastAsia="黑体"/>
          <w:sz w:val="32"/>
          <w:szCs w:val="32"/>
          <w:highlight w:val="none"/>
        </w:rPr>
        <w:t>八、其他收入：</w:t>
      </w:r>
      <w:r>
        <w:rPr>
          <w:rFonts w:hint="eastAsia" w:ascii="仿宋_GB2312" w:eastAsia="仿宋_GB2312"/>
          <w:sz w:val="32"/>
          <w:szCs w:val="32"/>
          <w:highlight w:val="none"/>
        </w:rPr>
        <w:t>指除上述“财政拨款收入”、“事业收入”、“经营收入”等以外的收入。</w:t>
      </w:r>
    </w:p>
    <w:p w14:paraId="32D21DBD">
      <w:pPr>
        <w:ind w:firstLine="640" w:firstLineChars="200"/>
        <w:rPr>
          <w:rFonts w:ascii="仿宋_GB2312" w:eastAsia="仿宋_GB2312"/>
          <w:sz w:val="32"/>
          <w:szCs w:val="32"/>
          <w:highlight w:val="none"/>
        </w:rPr>
      </w:pPr>
      <w:r>
        <w:rPr>
          <w:rFonts w:hint="eastAsia" w:ascii="黑体" w:eastAsia="黑体"/>
          <w:sz w:val="32"/>
          <w:szCs w:val="32"/>
          <w:highlight w:val="none"/>
        </w:rPr>
        <w:t>九、上年结转和结余：</w:t>
      </w:r>
      <w:r>
        <w:rPr>
          <w:rFonts w:hint="eastAsia" w:ascii="仿宋_GB2312" w:eastAsia="仿宋_GB2312"/>
          <w:sz w:val="32"/>
          <w:szCs w:val="32"/>
          <w:highlight w:val="none"/>
        </w:rPr>
        <w:t>指以前年度尚未完成、结转到本年按有关规定继续使用的资金。</w:t>
      </w:r>
    </w:p>
    <w:p w14:paraId="61DD9D3D">
      <w:pPr>
        <w:ind w:firstLine="640" w:firstLineChars="200"/>
        <w:rPr>
          <w:rFonts w:ascii="仿宋_GB2312" w:eastAsia="仿宋_GB2312"/>
          <w:sz w:val="32"/>
          <w:szCs w:val="32"/>
          <w:highlight w:val="none"/>
        </w:rPr>
      </w:pPr>
      <w:r>
        <w:rPr>
          <w:rFonts w:hint="eastAsia" w:ascii="黑体" w:eastAsia="黑体"/>
          <w:sz w:val="32"/>
          <w:szCs w:val="32"/>
          <w:highlight w:val="none"/>
        </w:rPr>
        <w:t>十、基本支出：</w:t>
      </w:r>
      <w:r>
        <w:rPr>
          <w:rFonts w:hint="eastAsia" w:ascii="仿宋_GB2312" w:eastAsia="仿宋_GB2312"/>
          <w:sz w:val="32"/>
          <w:szCs w:val="32"/>
          <w:highlight w:val="none"/>
        </w:rPr>
        <w:t>指为保障机构正常运转、完成日常工作任务而发生的人员支出和公用支出。</w:t>
      </w:r>
    </w:p>
    <w:p w14:paraId="792BDE53">
      <w:pPr>
        <w:ind w:firstLine="640" w:firstLineChars="200"/>
        <w:rPr>
          <w:rFonts w:ascii="仿宋_GB2312" w:eastAsia="仿宋_GB2312"/>
          <w:sz w:val="32"/>
          <w:szCs w:val="32"/>
          <w:highlight w:val="none"/>
        </w:rPr>
      </w:pPr>
      <w:r>
        <w:rPr>
          <w:rFonts w:hint="eastAsia" w:ascii="黑体" w:eastAsia="黑体"/>
          <w:sz w:val="32"/>
          <w:szCs w:val="32"/>
          <w:highlight w:val="none"/>
        </w:rPr>
        <w:t>十一、项目支出：</w:t>
      </w:r>
      <w:r>
        <w:rPr>
          <w:rFonts w:hint="eastAsia" w:ascii="仿宋_GB2312" w:eastAsia="仿宋_GB2312"/>
          <w:sz w:val="32"/>
          <w:szCs w:val="32"/>
          <w:highlight w:val="none"/>
        </w:rPr>
        <w:t xml:space="preserve">指在基本支出之外为完成特定行政任务和事业发展目标所发生的支出。  </w:t>
      </w:r>
    </w:p>
    <w:p w14:paraId="581884A2">
      <w:pPr>
        <w:ind w:firstLine="640" w:firstLineChars="200"/>
        <w:rPr>
          <w:rFonts w:ascii="仿宋_GB2312" w:eastAsia="仿宋_GB2312"/>
          <w:sz w:val="32"/>
          <w:szCs w:val="32"/>
          <w:highlight w:val="none"/>
        </w:rPr>
      </w:pPr>
      <w:r>
        <w:rPr>
          <w:rFonts w:hint="eastAsia" w:ascii="黑体" w:eastAsia="黑体"/>
          <w:sz w:val="32"/>
          <w:szCs w:val="32"/>
          <w:highlight w:val="none"/>
        </w:rPr>
        <w:t>十二、经营支出：</w:t>
      </w:r>
      <w:r>
        <w:rPr>
          <w:rFonts w:hint="eastAsia" w:ascii="仿宋_GB2312" w:eastAsia="仿宋_GB2312"/>
          <w:sz w:val="32"/>
          <w:szCs w:val="32"/>
          <w:highlight w:val="none"/>
        </w:rPr>
        <w:t>指事业单位在专业业务活动及其辅助活动之外开展非独立核算经营活动发生的支出。</w:t>
      </w:r>
    </w:p>
    <w:p w14:paraId="52353F18">
      <w:pPr>
        <w:ind w:firstLine="640" w:firstLineChars="200"/>
        <w:rPr>
          <w:rFonts w:ascii="仿宋_GB2312" w:eastAsia="仿宋_GB2312"/>
          <w:sz w:val="32"/>
          <w:szCs w:val="32"/>
          <w:highlight w:val="none"/>
        </w:rPr>
      </w:pPr>
      <w:r>
        <w:rPr>
          <w:rFonts w:hint="eastAsia" w:ascii="黑体" w:eastAsia="黑体"/>
          <w:sz w:val="32"/>
          <w:szCs w:val="32"/>
          <w:highlight w:val="none"/>
        </w:rPr>
        <w:t>十三、“三公”经费：</w:t>
      </w:r>
      <w:r>
        <w:rPr>
          <w:rFonts w:hint="eastAsia" w:ascii="仿宋_GB2312" w:eastAsia="仿宋_GB2312"/>
          <w:sz w:val="32"/>
          <w:szCs w:val="32"/>
          <w:highlight w:val="none"/>
        </w:rPr>
        <w:t>指各</w:t>
      </w:r>
      <w:r>
        <w:rPr>
          <w:rFonts w:hint="eastAsia" w:ascii="仿宋_GB2312"/>
          <w:sz w:val="32"/>
          <w:szCs w:val="32"/>
          <w:highlight w:val="none"/>
          <w:lang w:eastAsia="zh-CN"/>
        </w:rPr>
        <w:t>单位</w:t>
      </w:r>
      <w:r>
        <w:rPr>
          <w:rFonts w:hint="eastAsia" w:ascii="仿宋_GB2312" w:eastAsia="仿宋_GB2312"/>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47CF2A1">
      <w:pPr>
        <w:ind w:firstLine="640" w:firstLineChars="200"/>
        <w:rPr>
          <w:rFonts w:ascii="仿宋_GB2312" w:eastAsia="仿宋_GB2312"/>
          <w:sz w:val="32"/>
          <w:szCs w:val="32"/>
          <w:highlight w:val="none"/>
        </w:rPr>
      </w:pPr>
      <w:r>
        <w:rPr>
          <w:rFonts w:hint="eastAsia" w:ascii="黑体" w:eastAsia="黑体"/>
          <w:sz w:val="32"/>
          <w:szCs w:val="32"/>
          <w:highlight w:val="none"/>
        </w:rPr>
        <w:t>十四、运行经费：</w:t>
      </w:r>
      <w:r>
        <w:rPr>
          <w:rFonts w:hint="eastAsia" w:ascii="仿宋_GB2312" w:eastAsia="仿宋_GB2312"/>
          <w:sz w:val="32"/>
          <w:szCs w:val="32"/>
          <w:highlight w:val="none"/>
        </w:rPr>
        <w:t>为保障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168E4C79">
      <w:pPr>
        <w:spacing w:line="500" w:lineRule="exact"/>
        <w:ind w:firstLine="645"/>
        <w:rPr>
          <w:rFonts w:ascii="黑体" w:eastAsia="黑体"/>
          <w:sz w:val="32"/>
          <w:szCs w:val="32"/>
          <w:highlight w:val="none"/>
        </w:rPr>
      </w:pPr>
      <w:r>
        <w:rPr>
          <w:rFonts w:hint="eastAsia" w:ascii="黑体" w:eastAsia="黑体"/>
          <w:sz w:val="32"/>
          <w:szCs w:val="32"/>
          <w:highlight w:val="none"/>
        </w:rPr>
        <w:t>十五、支出类常用科目的说明</w:t>
      </w:r>
    </w:p>
    <w:p w14:paraId="18685BEB">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lang w:val="en-US" w:eastAsia="zh-CN"/>
        </w:rPr>
        <w:t>1</w:t>
      </w:r>
      <w:r>
        <w:rPr>
          <w:rFonts w:hint="eastAsia" w:ascii="黑体" w:eastAsia="黑体"/>
          <w:sz w:val="32"/>
          <w:szCs w:val="32"/>
          <w:highlight w:val="none"/>
        </w:rPr>
        <w:t xml:space="preserve">．社会保障和就业  </w:t>
      </w:r>
      <w:r>
        <w:rPr>
          <w:rFonts w:hint="eastAsia" w:ascii="仿宋_GB2312" w:eastAsia="仿宋_GB2312"/>
          <w:sz w:val="32"/>
          <w:szCs w:val="32"/>
          <w:highlight w:val="none"/>
        </w:rPr>
        <w:t>反映政府在社会保障与就业方面的支出。主要包括：人力资源和社会保障管理事务、民政管理事务、补充全国社会保障基金、行政事业单位离退休、企业改革补助、就业补助、抚恤、退役安置、社会福利、残疾人事业、自然灾害生活救助、红十字事业、最低生活保障、临时救助、特困人员供养等。</w:t>
      </w:r>
    </w:p>
    <w:p w14:paraId="5697B76E">
      <w:pPr>
        <w:spacing w:line="500" w:lineRule="exact"/>
        <w:ind w:firstLine="645"/>
        <w:rPr>
          <w:rFonts w:hint="eastAsia" w:ascii="仿宋_GB2312" w:eastAsia="仿宋_GB2312"/>
          <w:sz w:val="32"/>
          <w:szCs w:val="32"/>
          <w:highlight w:val="none"/>
        </w:rPr>
      </w:pPr>
      <w:r>
        <w:rPr>
          <w:rFonts w:hint="eastAsia" w:ascii="黑体" w:eastAsia="黑体"/>
          <w:sz w:val="32"/>
          <w:szCs w:val="32"/>
          <w:highlight w:val="none"/>
          <w:lang w:val="en-US" w:eastAsia="zh-CN"/>
        </w:rPr>
        <w:t>2</w:t>
      </w:r>
      <w:r>
        <w:rPr>
          <w:rFonts w:hint="eastAsia" w:ascii="黑体" w:eastAsia="黑体"/>
          <w:sz w:val="32"/>
          <w:szCs w:val="32"/>
          <w:highlight w:val="none"/>
        </w:rPr>
        <w:t>．卫生</w:t>
      </w:r>
      <w:r>
        <w:rPr>
          <w:rFonts w:hint="eastAsia" w:ascii="黑体" w:eastAsia="黑体"/>
          <w:sz w:val="32"/>
          <w:szCs w:val="32"/>
          <w:highlight w:val="none"/>
          <w:lang w:eastAsia="zh-CN"/>
        </w:rPr>
        <w:t>健康</w:t>
      </w:r>
      <w:r>
        <w:rPr>
          <w:rFonts w:hint="eastAsia" w:ascii="黑体" w:eastAsia="黑体"/>
          <w:sz w:val="32"/>
          <w:szCs w:val="32"/>
          <w:highlight w:val="none"/>
        </w:rPr>
        <w:t xml:space="preserve"> </w:t>
      </w:r>
      <w:r>
        <w:rPr>
          <w:rFonts w:hint="eastAsia" w:ascii="仿宋_GB2312" w:eastAsia="仿宋_GB2312"/>
          <w:sz w:val="32"/>
          <w:szCs w:val="32"/>
          <w:highlight w:val="none"/>
        </w:rPr>
        <w:t xml:space="preserve"> 反映政府</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方面的支出。主要包括：</w:t>
      </w:r>
      <w:r>
        <w:rPr>
          <w:rFonts w:hint="eastAsia" w:ascii="仿宋_GB2312" w:eastAsia="仿宋_GB2312"/>
          <w:sz w:val="32"/>
          <w:szCs w:val="32"/>
          <w:highlight w:val="none"/>
          <w:lang w:eastAsia="zh-CN"/>
        </w:rPr>
        <w:t>卫生健康</w:t>
      </w:r>
      <w:r>
        <w:rPr>
          <w:rFonts w:hint="eastAsia" w:ascii="仿宋_GB2312" w:eastAsia="仿宋_GB2312"/>
          <w:sz w:val="32"/>
          <w:szCs w:val="32"/>
          <w:highlight w:val="none"/>
        </w:rPr>
        <w:t>管理事务、公立医院、基层医疗卫生机构、公共卫生、中医药、计划生育事务等。</w:t>
      </w:r>
    </w:p>
    <w:p w14:paraId="3C34A7D6">
      <w:pPr>
        <w:spacing w:line="500" w:lineRule="exact"/>
        <w:ind w:firstLine="645"/>
        <w:rPr>
          <w:rFonts w:hint="eastAsia" w:ascii="黑体" w:hAnsi="宋体" w:eastAsia="黑体"/>
          <w:szCs w:val="32"/>
          <w:lang w:eastAsia="zh-CN"/>
        </w:rPr>
      </w:pPr>
      <w:r>
        <w:rPr>
          <w:rFonts w:hint="eastAsia" w:ascii="黑体" w:eastAsia="黑体"/>
          <w:sz w:val="32"/>
          <w:szCs w:val="32"/>
          <w:highlight w:val="none"/>
          <w:lang w:val="en-US" w:eastAsia="zh-CN"/>
        </w:rPr>
        <w:t>3</w:t>
      </w:r>
      <w:r>
        <w:rPr>
          <w:rFonts w:hint="eastAsia" w:ascii="黑体" w:eastAsia="黑体"/>
          <w:sz w:val="32"/>
          <w:szCs w:val="32"/>
          <w:highlight w:val="none"/>
        </w:rPr>
        <w:t xml:space="preserve">．城乡社区  </w:t>
      </w:r>
      <w:r>
        <w:rPr>
          <w:rFonts w:hint="eastAsia" w:ascii="仿宋_GB2312" w:eastAsia="仿宋_GB2312"/>
          <w:sz w:val="32"/>
          <w:szCs w:val="32"/>
          <w:highlight w:val="none"/>
        </w:rPr>
        <w:t>反映政府城乡社区事务支出。主要包括：城乡社区管理事务、城乡社区规划与管理、城乡社区公共设施、城乡社区环境卫生、建设市场管理与监督、政府住房基金及对应专项债务收入安排的支出、国有土地使用权出让收入及对应专项债务收入安排的支出等。</w:t>
      </w:r>
    </w:p>
    <w:p w14:paraId="1A402E5F">
      <w:pPr>
        <w:adjustRightInd w:val="0"/>
        <w:snapToGrid w:val="0"/>
        <w:spacing w:line="560" w:lineRule="exact"/>
        <w:ind w:right="-333" w:rightChars="-104" w:firstLine="640" w:firstLineChars="200"/>
        <w:rPr>
          <w:rFonts w:hint="eastAsia" w:ascii="黑体" w:hAnsi="宋体" w:eastAsia="黑体"/>
          <w:szCs w:val="32"/>
          <w:lang w:eastAsia="zh-CN"/>
        </w:rPr>
      </w:pPr>
    </w:p>
    <w:p w14:paraId="2AC7F4C1">
      <w:pPr>
        <w:adjustRightInd w:val="0"/>
        <w:snapToGrid w:val="0"/>
        <w:spacing w:line="560" w:lineRule="exact"/>
        <w:ind w:right="-333" w:rightChars="-104" w:firstLine="640" w:firstLineChars="200"/>
        <w:rPr>
          <w:rFonts w:hint="eastAsia" w:ascii="黑体" w:hAnsi="宋体" w:eastAsia="黑体"/>
          <w:szCs w:val="32"/>
          <w:lang w:eastAsia="zh-CN"/>
        </w:rPr>
      </w:pPr>
    </w:p>
    <w:p w14:paraId="41B0FF85">
      <w:pPr>
        <w:adjustRightInd w:val="0"/>
        <w:snapToGrid w:val="0"/>
        <w:spacing w:line="560" w:lineRule="exact"/>
        <w:ind w:right="-333" w:rightChars="-104" w:firstLine="640" w:firstLineChars="200"/>
        <w:rPr>
          <w:rFonts w:hint="eastAsia" w:ascii="黑体" w:hAnsi="宋体" w:eastAsia="黑体"/>
          <w:szCs w:val="32"/>
          <w:lang w:eastAsia="zh-CN"/>
        </w:rPr>
      </w:pPr>
    </w:p>
    <w:p w14:paraId="762DBC8F">
      <w:pPr>
        <w:adjustRightInd w:val="0"/>
        <w:snapToGrid w:val="0"/>
        <w:spacing w:line="560" w:lineRule="exact"/>
        <w:ind w:right="-333" w:rightChars="-104" w:firstLine="640" w:firstLineChars="200"/>
        <w:rPr>
          <w:rFonts w:hint="eastAsia" w:ascii="黑体" w:hAnsi="宋体" w:eastAsia="黑体"/>
          <w:szCs w:val="32"/>
          <w:lang w:eastAsia="zh-CN"/>
        </w:rPr>
      </w:pPr>
    </w:p>
    <w:p w14:paraId="72457E6E">
      <w:pPr>
        <w:adjustRightInd w:val="0"/>
        <w:snapToGrid w:val="0"/>
        <w:spacing w:line="560" w:lineRule="exact"/>
        <w:ind w:right="-333" w:rightChars="-104" w:firstLine="640" w:firstLineChars="200"/>
        <w:rPr>
          <w:rFonts w:hint="eastAsia" w:ascii="黑体" w:hAnsi="宋体" w:eastAsia="黑体"/>
          <w:szCs w:val="32"/>
          <w:lang w:eastAsia="zh-CN"/>
        </w:rPr>
      </w:pPr>
    </w:p>
    <w:p w14:paraId="7961DAFD">
      <w:pPr>
        <w:adjustRightInd w:val="0"/>
        <w:snapToGrid w:val="0"/>
        <w:spacing w:line="560" w:lineRule="exact"/>
        <w:ind w:right="-333" w:rightChars="-104" w:firstLine="640" w:firstLineChars="200"/>
        <w:rPr>
          <w:rFonts w:hint="eastAsia" w:ascii="黑体" w:hAnsi="宋体" w:eastAsia="黑体"/>
          <w:szCs w:val="32"/>
          <w:lang w:eastAsia="zh-CN"/>
        </w:rPr>
      </w:pPr>
    </w:p>
    <w:p w14:paraId="1023246E">
      <w:pPr>
        <w:adjustRightInd w:val="0"/>
        <w:snapToGrid w:val="0"/>
        <w:spacing w:line="560" w:lineRule="exact"/>
        <w:ind w:right="-333" w:rightChars="-104" w:firstLine="640" w:firstLineChars="200"/>
        <w:rPr>
          <w:rFonts w:hint="eastAsia" w:ascii="黑体" w:hAnsi="宋体" w:eastAsia="黑体"/>
          <w:szCs w:val="32"/>
          <w:lang w:eastAsia="zh-CN"/>
        </w:rPr>
      </w:pPr>
    </w:p>
    <w:p w14:paraId="680B03B5">
      <w:pPr>
        <w:adjustRightInd w:val="0"/>
        <w:snapToGrid w:val="0"/>
        <w:spacing w:line="560" w:lineRule="exact"/>
        <w:ind w:right="-333" w:rightChars="-104"/>
        <w:rPr>
          <w:rFonts w:hint="eastAsia" w:ascii="黑体" w:hAnsi="宋体" w:eastAsia="黑体"/>
          <w:szCs w:val="32"/>
          <w:lang w:eastAsia="zh-CN"/>
        </w:rPr>
      </w:pPr>
    </w:p>
    <w:p w14:paraId="3DE0FFEE">
      <w:pPr>
        <w:adjustRightInd w:val="0"/>
        <w:snapToGrid w:val="0"/>
        <w:spacing w:line="560" w:lineRule="exact"/>
        <w:ind w:right="-333" w:rightChars="-104" w:firstLine="640" w:firstLineChars="200"/>
        <w:rPr>
          <w:rFonts w:hint="eastAsia" w:ascii="黑体" w:hAnsi="宋体" w:eastAsia="黑体"/>
          <w:szCs w:val="32"/>
          <w:lang w:eastAsia="zh-CN"/>
        </w:rPr>
      </w:pPr>
    </w:p>
    <w:p w14:paraId="28985B64">
      <w:pPr>
        <w:adjustRightInd w:val="0"/>
        <w:snapToGrid w:val="0"/>
        <w:spacing w:line="560" w:lineRule="exact"/>
        <w:ind w:right="-333" w:rightChars="-104" w:firstLine="640" w:firstLineChars="200"/>
        <w:rPr>
          <w:rFonts w:hint="eastAsia" w:ascii="黑体" w:hAnsi="宋体" w:eastAsia="黑体"/>
          <w:bCs/>
          <w:szCs w:val="32"/>
        </w:rPr>
      </w:pPr>
      <w:r>
        <w:rPr>
          <w:rFonts w:hint="eastAsia" w:ascii="黑体" w:hAnsi="宋体" w:eastAsia="黑体"/>
          <w:szCs w:val="32"/>
          <w:lang w:eastAsia="zh-CN"/>
        </w:rPr>
        <w:t>第四部分：柳州市柳江区穿山中心卫生院2026年</w:t>
      </w:r>
      <w:r>
        <w:rPr>
          <w:rFonts w:hint="eastAsia" w:ascii="黑体" w:eastAsia="黑体"/>
          <w:szCs w:val="32"/>
          <w:lang w:eastAsia="zh-CN"/>
        </w:rPr>
        <w:t>单位</w:t>
      </w:r>
      <w:r>
        <w:rPr>
          <w:rFonts w:hint="eastAsia" w:ascii="黑体" w:eastAsia="黑体"/>
          <w:szCs w:val="32"/>
        </w:rPr>
        <w:t>预算报表</w:t>
      </w:r>
    </w:p>
    <w:p w14:paraId="60013529">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rPr>
        <w:t>表1：</w:t>
      </w:r>
      <w:r>
        <w:rPr>
          <w:rFonts w:hint="eastAsia" w:ascii="仿宋_GB2312"/>
          <w:bCs/>
          <w:sz w:val="32"/>
          <w:szCs w:val="32"/>
          <w:highlight w:val="none"/>
          <w:lang w:eastAsia="zh-CN"/>
        </w:rPr>
        <w:t>单位</w:t>
      </w:r>
      <w:r>
        <w:rPr>
          <w:rFonts w:hint="eastAsia" w:ascii="仿宋_GB2312" w:eastAsia="仿宋_GB2312"/>
          <w:bCs/>
          <w:sz w:val="32"/>
          <w:szCs w:val="32"/>
          <w:highlight w:val="none"/>
          <w:lang w:eastAsia="zh-CN"/>
        </w:rPr>
        <w:t>收支总体情况表</w:t>
      </w:r>
    </w:p>
    <w:p w14:paraId="3064742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表2：</w:t>
      </w:r>
      <w:r>
        <w:rPr>
          <w:rFonts w:hint="eastAsia" w:ascii="仿宋_GB2312"/>
          <w:bCs/>
          <w:sz w:val="32"/>
          <w:szCs w:val="32"/>
          <w:highlight w:val="none"/>
          <w:lang w:eastAsia="zh-CN"/>
        </w:rPr>
        <w:t>单位</w:t>
      </w:r>
      <w:r>
        <w:rPr>
          <w:rFonts w:hint="eastAsia" w:ascii="仿宋_GB2312" w:eastAsia="仿宋_GB2312"/>
          <w:bCs/>
          <w:sz w:val="32"/>
          <w:szCs w:val="32"/>
          <w:highlight w:val="none"/>
        </w:rPr>
        <w:t>收入总体情况表</w:t>
      </w:r>
    </w:p>
    <w:p w14:paraId="71FEA87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表3：</w:t>
      </w:r>
      <w:r>
        <w:rPr>
          <w:rFonts w:hint="eastAsia" w:ascii="仿宋_GB2312"/>
          <w:bCs/>
          <w:sz w:val="32"/>
          <w:szCs w:val="32"/>
          <w:highlight w:val="none"/>
          <w:lang w:eastAsia="zh-CN"/>
        </w:rPr>
        <w:t>单位</w:t>
      </w:r>
      <w:r>
        <w:rPr>
          <w:rFonts w:hint="eastAsia" w:ascii="仿宋_GB2312" w:eastAsia="仿宋_GB2312"/>
          <w:bCs/>
          <w:sz w:val="32"/>
          <w:szCs w:val="32"/>
          <w:highlight w:val="none"/>
        </w:rPr>
        <w:t>支出总体情况表</w:t>
      </w:r>
    </w:p>
    <w:p w14:paraId="3CFAD097">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表4：财政拨款收支总体情况表</w:t>
      </w:r>
    </w:p>
    <w:p w14:paraId="4907E8F7">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表5：一般公共预算支出情况表</w:t>
      </w:r>
    </w:p>
    <w:p w14:paraId="736B5D1C">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表6：一般公共预算基本支出情况表</w:t>
      </w:r>
    </w:p>
    <w:p w14:paraId="58B19E44">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表7：财政拨款“三公”经费、会议费和培训费支出</w:t>
      </w:r>
    </w:p>
    <w:p w14:paraId="6B5CF0F4">
      <w:pPr>
        <w:spacing w:before="312" w:beforeLines="100" w:after="312" w:afterLines="100" w:line="360" w:lineRule="exact"/>
        <w:ind w:firstLine="1600" w:firstLineChars="500"/>
        <w:rPr>
          <w:rFonts w:hint="eastAsia" w:ascii="仿宋_GB2312" w:eastAsia="仿宋_GB2312"/>
          <w:bCs/>
          <w:sz w:val="32"/>
          <w:szCs w:val="32"/>
          <w:highlight w:val="none"/>
        </w:rPr>
      </w:pPr>
      <w:r>
        <w:rPr>
          <w:rFonts w:hint="eastAsia" w:ascii="仿宋_GB2312" w:eastAsia="仿宋_GB2312"/>
          <w:bCs/>
          <w:sz w:val="32"/>
          <w:szCs w:val="32"/>
          <w:highlight w:val="none"/>
        </w:rPr>
        <w:t>情况表</w:t>
      </w:r>
    </w:p>
    <w:p w14:paraId="22FAE063">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表8：政府性基金预算支出情况表</w:t>
      </w:r>
    </w:p>
    <w:p w14:paraId="696EACFB">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表9：国有资本经营预算支出情况表</w:t>
      </w:r>
    </w:p>
    <w:p w14:paraId="6403DBA8">
      <w:pPr>
        <w:spacing w:before="312" w:beforeLines="100" w:after="312" w:afterLines="100" w:line="360" w:lineRule="exact"/>
        <w:ind w:firstLine="640" w:firstLineChars="200"/>
        <w:rPr>
          <w:rFonts w:hint="eastAsia" w:ascii="仿宋_GB2312" w:eastAsia="仿宋_GB2312"/>
          <w:bCs/>
          <w:sz w:val="32"/>
          <w:szCs w:val="32"/>
          <w:highlight w:val="none"/>
        </w:rPr>
      </w:pPr>
      <w:r>
        <w:rPr>
          <w:rFonts w:hint="eastAsia" w:ascii="仿宋_GB2312" w:eastAsia="仿宋_GB2312"/>
          <w:bCs/>
          <w:sz w:val="32"/>
          <w:szCs w:val="32"/>
          <w:highlight w:val="none"/>
        </w:rPr>
        <w:t>表1</w:t>
      </w:r>
      <w:r>
        <w:rPr>
          <w:rFonts w:hint="eastAsia" w:ascii="仿宋_GB2312" w:eastAsia="仿宋_GB2312"/>
          <w:bCs/>
          <w:sz w:val="32"/>
          <w:szCs w:val="32"/>
          <w:highlight w:val="none"/>
          <w:lang w:val="en-US" w:eastAsia="zh-CN"/>
        </w:rPr>
        <w:t>0</w:t>
      </w:r>
      <w:r>
        <w:rPr>
          <w:rFonts w:hint="eastAsia" w:ascii="仿宋_GB2312" w:eastAsia="仿宋_GB2312"/>
          <w:bCs/>
          <w:sz w:val="32"/>
          <w:szCs w:val="32"/>
          <w:highlight w:val="none"/>
        </w:rPr>
        <w:t>：项目绩效目标公开表</w:t>
      </w:r>
    </w:p>
    <w:p w14:paraId="1893DDDD">
      <w:pPr>
        <w:spacing w:before="312" w:beforeLines="100" w:after="312" w:afterLines="100" w:line="360" w:lineRule="exact"/>
        <w:ind w:firstLine="640" w:firstLineChars="200"/>
        <w:rPr>
          <w:rFonts w:hint="eastAsia" w:ascii="仿宋_GB2312" w:eastAsia="仿宋_GB2312"/>
          <w:bCs/>
          <w:sz w:val="32"/>
          <w:szCs w:val="32"/>
          <w:highlight w:val="none"/>
          <w:lang w:eastAsia="zh-CN"/>
        </w:rPr>
      </w:pPr>
      <w:r>
        <w:rPr>
          <w:rFonts w:hint="eastAsia" w:ascii="仿宋_GB2312" w:eastAsia="仿宋_GB2312"/>
          <w:bCs/>
          <w:sz w:val="32"/>
          <w:szCs w:val="32"/>
          <w:highlight w:val="none"/>
          <w:lang w:eastAsia="zh-CN"/>
        </w:rPr>
        <w:t>（详见附表）</w:t>
      </w:r>
    </w:p>
    <w:p w14:paraId="494A98B5">
      <w:pPr>
        <w:rPr>
          <w:rFonts w:ascii="仿宋_GB2312" w:hAnsi="宋体" w:eastAsia="仿宋_GB2312"/>
          <w:bCs/>
          <w:sz w:val="44"/>
          <w:szCs w:val="44"/>
          <w:highlight w:val="none"/>
        </w:rPr>
      </w:pPr>
    </w:p>
    <w:p w14:paraId="173E8A21"/>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7C25F">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00FE8">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E00FE8">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514609"/>
    <w:rsid w:val="06EC66E0"/>
    <w:rsid w:val="0CC30E22"/>
    <w:rsid w:val="0D612945"/>
    <w:rsid w:val="0F1756A9"/>
    <w:rsid w:val="0FE071B4"/>
    <w:rsid w:val="113A2B5E"/>
    <w:rsid w:val="12802419"/>
    <w:rsid w:val="130527E3"/>
    <w:rsid w:val="15DD7808"/>
    <w:rsid w:val="1E3F3CCC"/>
    <w:rsid w:val="21690C6D"/>
    <w:rsid w:val="2303547D"/>
    <w:rsid w:val="247B3126"/>
    <w:rsid w:val="27B84820"/>
    <w:rsid w:val="2C040A80"/>
    <w:rsid w:val="2F0E7201"/>
    <w:rsid w:val="30A21A3A"/>
    <w:rsid w:val="36190BE4"/>
    <w:rsid w:val="387C006D"/>
    <w:rsid w:val="3ACC71F4"/>
    <w:rsid w:val="466F1F67"/>
    <w:rsid w:val="4C35155C"/>
    <w:rsid w:val="4E3B534E"/>
    <w:rsid w:val="50BC05A3"/>
    <w:rsid w:val="53736E1A"/>
    <w:rsid w:val="53DA515A"/>
    <w:rsid w:val="54A82D5E"/>
    <w:rsid w:val="57D367F9"/>
    <w:rsid w:val="58FC5D1D"/>
    <w:rsid w:val="5D683540"/>
    <w:rsid w:val="606543BF"/>
    <w:rsid w:val="62DB2AED"/>
    <w:rsid w:val="63E25AB9"/>
    <w:rsid w:val="649040A3"/>
    <w:rsid w:val="6A3E1DEA"/>
    <w:rsid w:val="6CE9283C"/>
    <w:rsid w:val="6DAE2E3A"/>
    <w:rsid w:val="706E3C59"/>
    <w:rsid w:val="70AB1B08"/>
    <w:rsid w:val="754B7093"/>
    <w:rsid w:val="7C4162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4692</Words>
  <Characters>5036</Characters>
  <Lines>0</Lines>
  <Paragraphs>0</Paragraphs>
  <TotalTime>124</TotalTime>
  <ScaleCrop>false</ScaleCrop>
  <LinksUpToDate>false</LinksUpToDate>
  <CharactersWithSpaces>5067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2024-01-29T08:27:00Z</dcterms:created>
  <dc:creator>Administrator</dc:creator>
  <cp:lastModifiedBy>白灼虾蘸酱</cp:lastModifiedBy>
  <cp:lastPrinted>2026-03-06T03:20:00Z</cp:lastPrinted>
  <dcterms:modified xsi:type="dcterms:W3CDTF">2026-03-09T00:28:14Z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eyJoZGlkIjoiNTk2ZTY0MTlkYmQzNDlkMGI0NDBlZThkOTYxZDE4YjQiLCJ1c2VySWQiOiIxMTM2NDkzOTQ1In0=</vt:lpwstr>
  </property>
  <property fmtid="{D5CDD505-2E9C-101B-9397-08002B2CF9AE}" pid="4" name="ICV">
    <vt:lpwstr>0D4D9A8F8A604AF6977DC6CBC41D2CFE_13</vt:lpwstr>
  </property>
</Properties>
</file>