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C3A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bCs/>
          <w:sz w:val="44"/>
          <w:szCs w:val="44"/>
        </w:rPr>
      </w:pPr>
      <w:r>
        <w:rPr>
          <w:rFonts w:hint="eastAsia" w:ascii="黑体" w:hAnsi="宋体" w:eastAsia="黑体"/>
          <w:bCs/>
          <w:sz w:val="44"/>
          <w:szCs w:val="44"/>
        </w:rPr>
        <w:t>柳州市柳江区土博镇卫生院</w:t>
      </w:r>
    </w:p>
    <w:p w14:paraId="6D92F5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bCs/>
          <w:sz w:val="44"/>
          <w:szCs w:val="44"/>
        </w:rPr>
      </w:pPr>
      <w:r>
        <w:rPr>
          <w:rFonts w:hint="eastAsia" w:ascii="黑体" w:hAnsi="宋体" w:eastAsia="黑体"/>
          <w:bCs/>
          <w:sz w:val="44"/>
          <w:szCs w:val="44"/>
        </w:rPr>
        <w:t>2026年单位预算公开说明</w:t>
      </w:r>
    </w:p>
    <w:p w14:paraId="3416F0AC">
      <w:pPr>
        <w:jc w:val="center"/>
        <w:rPr>
          <w:rFonts w:ascii="黑体" w:hAnsi="宋体" w:eastAsia="黑体"/>
          <w:bCs/>
          <w:szCs w:val="32"/>
        </w:rPr>
      </w:pPr>
    </w:p>
    <w:p w14:paraId="3DD94B9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color w:val="000000"/>
          <w:kern w:val="0"/>
          <w:szCs w:val="32"/>
          <w:lang w:val="zh-CN"/>
        </w:rPr>
      </w:pPr>
      <w:r>
        <w:rPr>
          <w:rFonts w:hint="eastAsia" w:ascii="仿宋_GB2312" w:hAnsi="仿宋" w:cs="宋体"/>
          <w:color w:val="000000"/>
          <w:kern w:val="0"/>
          <w:szCs w:val="32"/>
          <w:lang w:val="zh-CN"/>
        </w:rPr>
        <w:t>一、</w:t>
      </w:r>
      <w:r>
        <w:rPr>
          <w:rFonts w:hint="eastAsia" w:ascii="仿宋_GB2312" w:hAnsi="仿宋" w:cs="宋体"/>
          <w:color w:val="000000"/>
          <w:kern w:val="0"/>
          <w:szCs w:val="32"/>
        </w:rPr>
        <w:t>单位</w:t>
      </w:r>
      <w:r>
        <w:rPr>
          <w:rFonts w:hint="eastAsia" w:ascii="仿宋_GB2312" w:hAnsi="仿宋" w:cs="宋体"/>
          <w:color w:val="000000"/>
          <w:kern w:val="0"/>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color w:val="000000"/>
          <w:kern w:val="0"/>
          <w:szCs w:val="32"/>
          <w:lang w:val="zh-CN"/>
        </w:rPr>
      </w:pPr>
      <w:r>
        <w:rPr>
          <w:rFonts w:hint="eastAsia" w:ascii="仿宋_GB2312" w:hAnsi="仿宋" w:cs="宋体"/>
          <w:color w:val="000000"/>
          <w:kern w:val="0"/>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黑体" w:hAnsi="宋体" w:eastAsia="黑体"/>
          <w:bCs/>
          <w:szCs w:val="32"/>
        </w:rPr>
      </w:pPr>
      <w:r>
        <w:rPr>
          <w:rFonts w:hint="eastAsia" w:ascii="黑体" w:eastAsia="黑体"/>
          <w:szCs w:val="32"/>
        </w:rPr>
        <w:t>第二部分：柳州市柳江区土博镇卫生院</w:t>
      </w:r>
      <w:r>
        <w:rPr>
          <w:rFonts w:hint="eastAsia" w:ascii="黑体" w:hAnsi="宋体" w:eastAsia="黑体"/>
          <w:szCs w:val="32"/>
        </w:rPr>
        <w:t>2026年</w:t>
      </w:r>
      <w:r>
        <w:rPr>
          <w:rFonts w:hint="eastAsia" w:ascii="黑体" w:eastAsia="黑体"/>
          <w:szCs w:val="32"/>
        </w:rPr>
        <w:t>单位预算情况说明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一、单位预算收支增减变化情况说明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ascii="仿宋_GB2312" w:hAnsi="仿宋" w:cs="宋体"/>
          <w:szCs w:val="32"/>
        </w:rPr>
      </w:pPr>
      <w:r>
        <w:rPr>
          <w:rFonts w:hint="eastAsia" w:ascii="仿宋_GB2312" w:hAnsi="仿宋" w:cs="宋体"/>
          <w:szCs w:val="32"/>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仿宋_GB2312" w:hAnsi="仿宋" w:cs="宋体"/>
          <w:szCs w:val="32"/>
        </w:rPr>
      </w:pPr>
      <w:r>
        <w:rPr>
          <w:rFonts w:hint="eastAsia" w:ascii="仿宋_GB2312" w:hAnsi="仿宋" w:cs="宋体"/>
          <w:szCs w:val="32"/>
        </w:rPr>
        <w:t>十、其他重要事项情况说明</w:t>
      </w:r>
    </w:p>
    <w:p w14:paraId="04981C72">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仿宋_GB2312" w:hAnsi="仿宋" w:cs="宋体"/>
          <w:szCs w:val="32"/>
        </w:rPr>
      </w:pPr>
      <w:r>
        <w:rPr>
          <w:rFonts w:hint="eastAsia" w:ascii="仿宋_GB2312" w:hAnsi="仿宋" w:cs="宋体"/>
          <w:szCs w:val="32"/>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仿宋_GB2312" w:hAnsi="仿宋" w:cs="宋体"/>
          <w:szCs w:val="32"/>
        </w:rPr>
      </w:pPr>
      <w:r>
        <w:rPr>
          <w:rFonts w:hint="eastAsia" w:ascii="仿宋_GB2312" w:hAnsi="仿宋" w:cs="宋体"/>
          <w:szCs w:val="32"/>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仿宋_GB2312" w:hAnsi="仿宋" w:cs="宋体"/>
          <w:szCs w:val="32"/>
        </w:rPr>
      </w:pPr>
      <w:r>
        <w:rPr>
          <w:rFonts w:hint="eastAsia" w:ascii="仿宋_GB2312" w:hAnsi="仿宋" w:cs="宋体"/>
          <w:szCs w:val="32"/>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仿宋_GB2312" w:hAnsi="仿宋" w:cs="宋体"/>
          <w:szCs w:val="32"/>
        </w:rPr>
      </w:pPr>
      <w:r>
        <w:rPr>
          <w:rFonts w:hint="eastAsia" w:ascii="仿宋_GB2312" w:hAnsi="仿宋" w:cs="宋体"/>
          <w:szCs w:val="32"/>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仿宋_GB2312" w:hAnsi="仿宋" w:cs="宋体"/>
          <w:szCs w:val="32"/>
        </w:rPr>
      </w:pPr>
      <w:r>
        <w:rPr>
          <w:rFonts w:hint="eastAsia" w:ascii="仿宋_GB2312" w:hAnsi="仿宋" w:cs="宋体"/>
          <w:szCs w:val="32"/>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4A901159">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柳州市柳江区土博镇卫生院2026年</w:t>
      </w:r>
      <w:r>
        <w:rPr>
          <w:rFonts w:hint="eastAsia" w:ascii="黑体" w:eastAsia="黑体"/>
          <w:szCs w:val="32"/>
        </w:rPr>
        <w:t>单位预算报表</w:t>
      </w:r>
    </w:p>
    <w:p w14:paraId="482B1483">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黑体" w:hAnsi="宋体" w:eastAsia="黑体"/>
          <w:bCs/>
          <w:szCs w:val="32"/>
        </w:rPr>
      </w:pPr>
      <w:r>
        <w:rPr>
          <w:rFonts w:hint="eastAsia" w:ascii="黑体" w:hAnsi="宋体" w:eastAsia="黑体"/>
          <w:bCs/>
          <w:szCs w:val="32"/>
        </w:rPr>
        <w:t>第一部分：单位概况</w:t>
      </w:r>
    </w:p>
    <w:p w14:paraId="5A0E93B6">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2AF778FF">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仿宋_GB2312" w:hAnsi="宋体"/>
          <w:szCs w:val="32"/>
        </w:rPr>
      </w:pPr>
      <w:r>
        <w:rPr>
          <w:rFonts w:hint="eastAsia" w:ascii="仿宋_GB2312" w:hAnsi="宋体"/>
          <w:szCs w:val="32"/>
        </w:rPr>
        <w:t>（一）承担本镇农村居民健康档案规范建档指导，管理及服务。</w:t>
      </w:r>
    </w:p>
    <w:p w14:paraId="12824AC3">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仿宋_GB2312" w:hAnsi="宋体"/>
          <w:szCs w:val="32"/>
        </w:rPr>
      </w:pPr>
      <w:r>
        <w:rPr>
          <w:rFonts w:hint="eastAsia" w:ascii="仿宋_GB2312" w:hAnsi="宋体"/>
          <w:szCs w:val="32"/>
        </w:rPr>
        <w:t>（二）提供并组织实施本镇预防接种服务，落实国家免疫规划。</w:t>
      </w:r>
    </w:p>
    <w:p w14:paraId="5453AF12">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仿宋_GB2312" w:hAnsi="宋体"/>
          <w:szCs w:val="32"/>
        </w:rPr>
      </w:pPr>
      <w:r>
        <w:rPr>
          <w:rFonts w:hint="eastAsia" w:ascii="仿宋_GB2312" w:hAnsi="宋体"/>
          <w:szCs w:val="32"/>
        </w:rPr>
        <w:t>（三）及时发现、登记并报告本镇内发现的传染病病例和疑似病例，参与现场疫情处理。</w:t>
      </w:r>
    </w:p>
    <w:p w14:paraId="07FED63E">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仿宋_GB2312" w:hAnsi="宋体"/>
          <w:szCs w:val="32"/>
        </w:rPr>
      </w:pPr>
      <w:r>
        <w:rPr>
          <w:rFonts w:hint="eastAsia" w:ascii="仿宋_GB2312" w:hAnsi="宋体"/>
          <w:szCs w:val="32"/>
        </w:rPr>
        <w:t>（四）开展新生儿访视及儿童保健系统管理，进行体格检查和生长发育监测及评价，开展健康指导。</w:t>
      </w:r>
    </w:p>
    <w:p w14:paraId="01F8E465">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仿宋_GB2312" w:hAnsi="宋体"/>
          <w:szCs w:val="32"/>
        </w:rPr>
      </w:pPr>
      <w:r>
        <w:rPr>
          <w:rFonts w:hint="eastAsia" w:ascii="仿宋_GB2312" w:hAnsi="宋体"/>
          <w:szCs w:val="32"/>
        </w:rPr>
        <w:t>（五）对本镇65岁及以上老年人进行登记管理，进行健康危险因素调查和一般体格检查，开展健康指导。</w:t>
      </w:r>
    </w:p>
    <w:p w14:paraId="10921A4E">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ascii="仿宋_GB2312" w:hAnsi="宋体"/>
          <w:szCs w:val="32"/>
        </w:rPr>
      </w:pPr>
      <w:r>
        <w:rPr>
          <w:rFonts w:hint="eastAsia" w:ascii="仿宋_GB2312" w:hAnsi="宋体"/>
          <w:szCs w:val="32"/>
        </w:rPr>
        <w:t>（六）对高血压、糖尿病等慢性病高危人群进行指导，对确诊高血压、糖尿病等慢性病病例进行登记管理、定期随访和健康指导。</w:t>
      </w:r>
    </w:p>
    <w:p w14:paraId="38F08561">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（七）对本镇重性精神疾病进行登记管理、治疗随访和健康指导，以及负责本镇内突发公共卫生事件的报告并协助处理。</w:t>
      </w:r>
    </w:p>
    <w:p w14:paraId="1F6CD962">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（八）正确处理常见病、多发病，对疑难重症进行恰当的处理并转诊。承担乡村现场应急救护、转诊服务和康复服务等。</w:t>
      </w:r>
    </w:p>
    <w:p w14:paraId="25DCA077">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宋体" w:eastAsia="黑体"/>
          <w:szCs w:val="32"/>
        </w:rPr>
      </w:pPr>
      <w:r>
        <w:rPr>
          <w:rFonts w:hint="eastAsia" w:ascii="黑体" w:hAnsi="宋体" w:eastAsia="黑体"/>
          <w:szCs w:val="32"/>
        </w:rPr>
        <w:t>二、机构设置情况</w:t>
      </w:r>
    </w:p>
    <w:p w14:paraId="34B0C2B0">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宋体"/>
          <w:szCs w:val="32"/>
        </w:rPr>
      </w:pPr>
      <w:r>
        <w:rPr>
          <w:rFonts w:hint="eastAsia" w:ascii="仿宋_GB2312" w:hAnsi="宋体"/>
          <w:szCs w:val="32"/>
        </w:rPr>
        <w:t>（一）内设机构设置</w:t>
      </w:r>
    </w:p>
    <w:p w14:paraId="4FF0DB5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szCs w:val="32"/>
        </w:rPr>
      </w:pPr>
      <w:r>
        <w:rPr>
          <w:rFonts w:hint="eastAsia" w:ascii="仿宋_GB2312" w:hAnsi="宋体"/>
          <w:szCs w:val="32"/>
        </w:rPr>
        <w:t>我院结合医疗服务工作实际，规范设置业务科室和职能科室，明确职责分工，保障各项工作有序开展，具体设置如下：</w:t>
      </w:r>
    </w:p>
    <w:p w14:paraId="679F85C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szCs w:val="32"/>
        </w:rPr>
      </w:pPr>
      <w:r>
        <w:rPr>
          <w:rFonts w:hint="eastAsia" w:ascii="仿宋_GB2312" w:hAnsi="宋体"/>
          <w:szCs w:val="32"/>
          <w:lang w:val="en-US" w:eastAsia="zh-CN"/>
        </w:rPr>
        <w:t>1.</w:t>
      </w:r>
      <w:bookmarkStart w:id="2" w:name="_GoBack"/>
      <w:bookmarkEnd w:id="2"/>
      <w:r>
        <w:rPr>
          <w:rFonts w:hint="eastAsia" w:ascii="仿宋_GB2312" w:hAnsi="宋体"/>
          <w:szCs w:val="32"/>
        </w:rPr>
        <w:t>业务科室：业务科室承担临床诊疗、公共卫生、医技检测等核心服务职能，包括：公共卫生科、综合科、妇产科、中医康复科、口腔科、防保儿保科、检验科、放射科，聚焦群众就医需求，规范提供诊疗服务。</w:t>
      </w:r>
    </w:p>
    <w:p w14:paraId="542A9AA4">
      <w:pPr>
        <w:keepNext w:val="0"/>
        <w:keepLines w:val="0"/>
        <w:pageBreakBefore w:val="0"/>
        <w:numPr>
          <w:numId w:val="0"/>
        </w:numPr>
        <w:kinsoku/>
        <w:wordWrap/>
        <w:overflowPunct/>
        <w:topLinePunct w:val="0"/>
        <w:autoSpaceDE/>
        <w:autoSpaceDN/>
        <w:bidi w:val="0"/>
        <w:spacing w:line="520" w:lineRule="exact"/>
        <w:ind w:firstLine="640" w:firstLineChars="200"/>
        <w:textAlignment w:val="auto"/>
        <w:rPr>
          <w:rFonts w:ascii="仿宋_GB2312" w:hAnsi="宋体"/>
          <w:szCs w:val="32"/>
        </w:rPr>
      </w:pPr>
      <w:r>
        <w:rPr>
          <w:rFonts w:hint="eastAsia" w:ascii="仿宋_GB2312" w:hAnsi="宋体"/>
          <w:szCs w:val="32"/>
          <w:lang w:val="en-US" w:eastAsia="zh-CN"/>
        </w:rPr>
        <w:t>2.</w:t>
      </w:r>
      <w:r>
        <w:rPr>
          <w:rFonts w:hint="eastAsia" w:ascii="仿宋_GB2312" w:hAnsi="宋体"/>
          <w:szCs w:val="32"/>
        </w:rPr>
        <w:t>职能科室：职能科室承担行政管理、质量管控、后勤保障等管理职能，包括：院办、财务科、医务科、医保办、护理部，强化统筹协调，为业务科室提供保障。</w:t>
      </w:r>
    </w:p>
    <w:p w14:paraId="017B6125">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宋体"/>
          <w:szCs w:val="32"/>
        </w:rPr>
      </w:pPr>
      <w:r>
        <w:rPr>
          <w:rFonts w:hint="eastAsia" w:ascii="仿宋_GB2312" w:hAnsi="宋体"/>
          <w:szCs w:val="32"/>
        </w:rPr>
        <w:t>（二）所属单位情况</w:t>
      </w:r>
    </w:p>
    <w:p w14:paraId="537BBEB1">
      <w:pPr>
        <w:keepNext w:val="0"/>
        <w:keepLines w:val="0"/>
        <w:pageBreakBefore w:val="0"/>
        <w:kinsoku/>
        <w:wordWrap/>
        <w:overflowPunct/>
        <w:topLinePunct w:val="0"/>
        <w:autoSpaceDE/>
        <w:autoSpaceDN/>
        <w:bidi w:val="0"/>
        <w:spacing w:line="520" w:lineRule="exact"/>
        <w:ind w:firstLine="640" w:firstLineChars="200"/>
        <w:textAlignment w:val="auto"/>
        <w:rPr>
          <w:rFonts w:ascii="黑体" w:eastAsia="黑体"/>
          <w:szCs w:val="32"/>
        </w:rPr>
      </w:pPr>
      <w:r>
        <w:rPr>
          <w:rFonts w:hint="eastAsia" w:ascii="仿宋_GB2312" w:hAnsi="宋体"/>
          <w:szCs w:val="32"/>
        </w:rPr>
        <w:t>我院为柳州市柳江区卫生健康局下属差额拨款事业单位，无独立所属单位及二级分支机构，下设</w:t>
      </w:r>
      <w:r>
        <w:rPr>
          <w:rFonts w:ascii="仿宋_GB2312" w:hAnsi="宋体"/>
          <w:szCs w:val="32"/>
        </w:rPr>
        <w:t>15</w:t>
      </w:r>
      <w:r>
        <w:rPr>
          <w:rFonts w:hint="eastAsia" w:ascii="仿宋_GB2312" w:hAnsi="宋体"/>
          <w:szCs w:val="32"/>
        </w:rPr>
        <w:t>个规范化村卫生室，承担辖区基本医疗和公共卫生服务，各项业务及管理由本院内设科室统筹负责。</w:t>
      </w:r>
    </w:p>
    <w:p w14:paraId="6E6DF09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第二部分：</w:t>
      </w:r>
      <w:r>
        <w:rPr>
          <w:rFonts w:hint="eastAsia" w:ascii="黑体" w:hAnsi="宋体" w:eastAsia="黑体"/>
          <w:szCs w:val="32"/>
        </w:rPr>
        <w:t>柳州市柳江区土博镇卫生院2026年</w:t>
      </w:r>
      <w:r>
        <w:rPr>
          <w:rFonts w:hint="eastAsia" w:ascii="黑体" w:eastAsia="黑体"/>
          <w:szCs w:val="32"/>
        </w:rPr>
        <w:t>单位预算情况说明</w:t>
      </w:r>
    </w:p>
    <w:p w14:paraId="3EF21CB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一、单位收支总体情况说明</w:t>
      </w:r>
    </w:p>
    <w:p w14:paraId="4143A67B">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仿宋_GB2312" w:hAnsi="宋体"/>
          <w:szCs w:val="32"/>
        </w:rPr>
        <w:t>我单位</w:t>
      </w:r>
      <w:r>
        <w:rPr>
          <w:rFonts w:hint="eastAsia" w:ascii="仿宋_GB2312"/>
          <w:szCs w:val="32"/>
        </w:rPr>
        <w:t>总收入</w:t>
      </w:r>
      <w:r>
        <w:rPr>
          <w:rFonts w:ascii="仿宋_GB2312"/>
          <w:szCs w:val="32"/>
        </w:rPr>
        <w:t>738.97</w:t>
      </w:r>
      <w:r>
        <w:rPr>
          <w:rFonts w:hint="eastAsia" w:ascii="仿宋_GB2312"/>
          <w:szCs w:val="32"/>
        </w:rPr>
        <w:t>万元，总支出</w:t>
      </w:r>
      <w:r>
        <w:rPr>
          <w:rFonts w:ascii="仿宋_GB2312"/>
          <w:szCs w:val="32"/>
        </w:rPr>
        <w:t>738.97</w:t>
      </w:r>
      <w:r>
        <w:rPr>
          <w:rFonts w:hint="eastAsia" w:ascii="仿宋_GB2312"/>
          <w:szCs w:val="32"/>
        </w:rPr>
        <w:t>万元。总收入较上年增长1</w:t>
      </w:r>
      <w:r>
        <w:rPr>
          <w:rFonts w:ascii="仿宋_GB2312"/>
          <w:szCs w:val="32"/>
        </w:rPr>
        <w:t>5.84</w:t>
      </w:r>
      <w:r>
        <w:rPr>
          <w:rFonts w:hint="eastAsia" w:ascii="仿宋_GB2312"/>
          <w:szCs w:val="32"/>
        </w:rPr>
        <w:t>%，主要原因是</w:t>
      </w:r>
      <w:bookmarkStart w:id="0" w:name="OLE_LINK4"/>
      <w:bookmarkStart w:id="1" w:name="OLE_LINK5"/>
      <w:r>
        <w:rPr>
          <w:rFonts w:hint="eastAsia" w:ascii="仿宋_GB2312"/>
          <w:szCs w:val="32"/>
        </w:rPr>
        <w:t>职工工资标准提高及医疗收入增加</w:t>
      </w:r>
      <w:bookmarkEnd w:id="0"/>
      <w:bookmarkEnd w:id="1"/>
      <w:r>
        <w:rPr>
          <w:rFonts w:hint="eastAsia" w:ascii="仿宋_GB2312"/>
          <w:szCs w:val="32"/>
        </w:rPr>
        <w:t>。总支出较上年增长1</w:t>
      </w:r>
      <w:r>
        <w:rPr>
          <w:rFonts w:ascii="仿宋_GB2312"/>
          <w:szCs w:val="32"/>
        </w:rPr>
        <w:t>5.84</w:t>
      </w:r>
      <w:r>
        <w:rPr>
          <w:rFonts w:hint="eastAsia" w:ascii="仿宋_GB2312"/>
          <w:szCs w:val="32"/>
        </w:rPr>
        <w:t>%，主要原因人员经费支出及医疗费用支出增加。</w:t>
      </w:r>
    </w:p>
    <w:p w14:paraId="0B21BD40">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二、单位收入总体情况说明</w:t>
      </w:r>
    </w:p>
    <w:p w14:paraId="706DFCD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hAnsi="宋体"/>
          <w:szCs w:val="32"/>
        </w:rPr>
        <w:t>我单位</w:t>
      </w:r>
      <w:r>
        <w:rPr>
          <w:rFonts w:hint="eastAsia" w:ascii="仿宋_GB2312"/>
          <w:szCs w:val="32"/>
        </w:rPr>
        <w:t>总收入</w:t>
      </w:r>
      <w:r>
        <w:rPr>
          <w:rFonts w:ascii="仿宋_GB2312"/>
          <w:szCs w:val="32"/>
        </w:rPr>
        <w:t>738.97</w:t>
      </w:r>
      <w:r>
        <w:rPr>
          <w:rFonts w:hint="eastAsia" w:ascii="仿宋_GB2312"/>
          <w:szCs w:val="32"/>
        </w:rPr>
        <w:t>万元，较上年增长1</w:t>
      </w:r>
      <w:r>
        <w:rPr>
          <w:rFonts w:ascii="仿宋_GB2312"/>
          <w:szCs w:val="32"/>
        </w:rPr>
        <w:t>5.84</w:t>
      </w:r>
      <w:r>
        <w:rPr>
          <w:rFonts w:hint="eastAsia" w:ascii="仿宋_GB2312"/>
          <w:szCs w:val="32"/>
        </w:rPr>
        <w:t>%，主要原因是职工工资标准提高及医疗收入增加。</w:t>
      </w:r>
    </w:p>
    <w:p w14:paraId="12A12A7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三、单位支出总体情况说明</w:t>
      </w:r>
    </w:p>
    <w:p w14:paraId="63491F3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rPr>
      </w:pPr>
      <w:r>
        <w:rPr>
          <w:rFonts w:hint="eastAsia" w:ascii="仿宋_GB2312" w:hAnsi="宋体"/>
          <w:szCs w:val="32"/>
        </w:rPr>
        <w:t>我单位</w:t>
      </w:r>
      <w:r>
        <w:rPr>
          <w:rFonts w:hint="eastAsia" w:ascii="仿宋_GB2312"/>
          <w:szCs w:val="32"/>
        </w:rPr>
        <w:t>总支出</w:t>
      </w:r>
      <w:r>
        <w:rPr>
          <w:rFonts w:ascii="仿宋_GB2312"/>
          <w:szCs w:val="32"/>
        </w:rPr>
        <w:t>738.97</w:t>
      </w:r>
      <w:r>
        <w:rPr>
          <w:rFonts w:hint="eastAsia" w:ascii="仿宋_GB2312"/>
          <w:szCs w:val="32"/>
        </w:rPr>
        <w:t>万元，较上年增长1</w:t>
      </w:r>
      <w:r>
        <w:rPr>
          <w:rFonts w:ascii="仿宋_GB2312"/>
          <w:szCs w:val="32"/>
        </w:rPr>
        <w:t>5.84</w:t>
      </w:r>
      <w:r>
        <w:rPr>
          <w:rFonts w:hint="eastAsia" w:ascii="仿宋_GB2312"/>
          <w:szCs w:val="32"/>
        </w:rPr>
        <w:t>%，主要原因是人员经费支出及医疗费用支出增加。主要包括：</w:t>
      </w:r>
      <w:r>
        <w:rPr>
          <w:rFonts w:hint="eastAsia" w:ascii="仿宋_GB2312" w:hAnsi="宋体"/>
          <w:szCs w:val="32"/>
        </w:rPr>
        <w:t>人员经费基本支出</w:t>
      </w:r>
      <w:r>
        <w:rPr>
          <w:rFonts w:ascii="仿宋_GB2312" w:hAnsi="宋体"/>
          <w:szCs w:val="32"/>
        </w:rPr>
        <w:t>336.38</w:t>
      </w:r>
      <w:r>
        <w:rPr>
          <w:rFonts w:hint="eastAsia" w:ascii="仿宋_GB2312" w:hAnsi="宋体"/>
          <w:szCs w:val="32"/>
        </w:rPr>
        <w:t>万元，占总支出</w:t>
      </w:r>
      <w:r>
        <w:rPr>
          <w:rFonts w:ascii="仿宋_GB2312" w:hAnsi="宋体"/>
          <w:szCs w:val="32"/>
        </w:rPr>
        <w:t>45.52</w:t>
      </w:r>
      <w:r>
        <w:rPr>
          <w:rFonts w:hint="eastAsia" w:ascii="仿宋_GB2312" w:hAnsi="宋体"/>
          <w:szCs w:val="32"/>
        </w:rPr>
        <w:t>%，医疗费用项目支出</w:t>
      </w:r>
      <w:r>
        <w:rPr>
          <w:rFonts w:ascii="仿宋_GB2312" w:hAnsi="宋体"/>
          <w:szCs w:val="32"/>
        </w:rPr>
        <w:t>402.59</w:t>
      </w:r>
      <w:r>
        <w:rPr>
          <w:rFonts w:hint="eastAsia" w:ascii="仿宋_GB2312" w:hAnsi="宋体"/>
          <w:szCs w:val="32"/>
        </w:rPr>
        <w:t>万元，占总支出</w:t>
      </w:r>
      <w:r>
        <w:rPr>
          <w:rFonts w:ascii="仿宋_GB2312" w:hAnsi="宋体"/>
          <w:szCs w:val="32"/>
        </w:rPr>
        <w:t>54.48</w:t>
      </w:r>
      <w:r>
        <w:rPr>
          <w:rFonts w:hint="eastAsia" w:ascii="仿宋_GB2312" w:hAnsi="宋体"/>
          <w:szCs w:val="32"/>
        </w:rPr>
        <w:t>%。</w:t>
      </w:r>
    </w:p>
    <w:p w14:paraId="52AD09B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四、财政拨款收支总体情况说明</w:t>
      </w:r>
    </w:p>
    <w:p w14:paraId="5616E25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hAnsi="宋体"/>
          <w:szCs w:val="32"/>
        </w:rPr>
        <w:t>我单位</w:t>
      </w:r>
      <w:r>
        <w:rPr>
          <w:rFonts w:hint="eastAsia" w:ascii="仿宋_GB2312"/>
          <w:szCs w:val="32"/>
        </w:rPr>
        <w:t>财政拨款总收入</w:t>
      </w:r>
      <w:r>
        <w:rPr>
          <w:rFonts w:ascii="仿宋_GB2312"/>
          <w:szCs w:val="32"/>
        </w:rPr>
        <w:t>338.87</w:t>
      </w:r>
      <w:r>
        <w:rPr>
          <w:rFonts w:hint="eastAsia" w:ascii="仿宋_GB2312"/>
          <w:szCs w:val="32"/>
        </w:rPr>
        <w:t>万元，总支出</w:t>
      </w:r>
      <w:r>
        <w:rPr>
          <w:rFonts w:ascii="仿宋_GB2312"/>
          <w:szCs w:val="32"/>
        </w:rPr>
        <w:t>338.87</w:t>
      </w:r>
      <w:r>
        <w:rPr>
          <w:rFonts w:hint="eastAsia" w:ascii="仿宋_GB2312"/>
          <w:szCs w:val="32"/>
        </w:rPr>
        <w:t>万元。财政拨款总收入较上年增长2</w:t>
      </w:r>
      <w:r>
        <w:rPr>
          <w:rFonts w:ascii="仿宋_GB2312"/>
          <w:szCs w:val="32"/>
        </w:rPr>
        <w:t>1.98</w:t>
      </w:r>
      <w:r>
        <w:rPr>
          <w:rFonts w:hint="eastAsia" w:ascii="仿宋_GB2312"/>
          <w:szCs w:val="32"/>
        </w:rPr>
        <w:t>%，主要原因是职工工资标准提高，人员经费收入增加。财政拨款总支出较上年增长2</w:t>
      </w:r>
      <w:r>
        <w:rPr>
          <w:rFonts w:ascii="仿宋_GB2312"/>
          <w:szCs w:val="32"/>
        </w:rPr>
        <w:t>1.98</w:t>
      </w:r>
      <w:r>
        <w:rPr>
          <w:rFonts w:hint="eastAsia" w:ascii="仿宋_GB2312"/>
          <w:szCs w:val="32"/>
        </w:rPr>
        <w:t>%，主要原因是人员经费支出增加。</w:t>
      </w:r>
    </w:p>
    <w:p w14:paraId="3E3F817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szCs w:val="32"/>
        </w:rPr>
        <w:t>我单位一般公共预算支出共</w:t>
      </w:r>
      <w:r>
        <w:rPr>
          <w:rFonts w:ascii="仿宋_GB2312"/>
          <w:szCs w:val="32"/>
        </w:rPr>
        <w:t>336.38</w:t>
      </w:r>
      <w:r>
        <w:rPr>
          <w:rFonts w:hint="eastAsia" w:ascii="仿宋_GB2312"/>
          <w:szCs w:val="32"/>
        </w:rPr>
        <w:t>万元，较上年增长2</w:t>
      </w:r>
      <w:r>
        <w:rPr>
          <w:rFonts w:ascii="仿宋_GB2312"/>
          <w:szCs w:val="32"/>
        </w:rPr>
        <w:t>1.08</w:t>
      </w:r>
      <w:r>
        <w:rPr>
          <w:rFonts w:hint="eastAsia" w:ascii="仿宋_GB2312"/>
          <w:szCs w:val="32"/>
        </w:rPr>
        <w:t>%，主要原因是人员经费支出增加。具体情况为：</w:t>
      </w:r>
    </w:p>
    <w:p w14:paraId="615066AB">
      <w:pPr>
        <w:pStyle w:val="6"/>
        <w:keepNext w:val="0"/>
        <w:keepLines w:val="0"/>
        <w:pageBreakBefore w:val="0"/>
        <w:kinsoku/>
        <w:wordWrap/>
        <w:overflowPunct/>
        <w:topLinePunct w:val="0"/>
        <w:autoSpaceDE/>
        <w:autoSpaceDN/>
        <w:bidi w:val="0"/>
        <w:spacing w:before="0" w:beforeAutospacing="0" w:after="0" w:afterAutospacing="0" w:line="520" w:lineRule="exact"/>
        <w:ind w:firstLine="640" w:firstLineChars="200"/>
        <w:textAlignment w:val="auto"/>
        <w:rPr>
          <w:rFonts w:ascii="仿宋_GB2312" w:hAnsi="Times New Roman" w:cs="Times New Roman"/>
          <w:kern w:val="2"/>
          <w:sz w:val="32"/>
          <w:szCs w:val="32"/>
        </w:rPr>
      </w:pPr>
      <w:r>
        <w:rPr>
          <w:rFonts w:hint="eastAsia" w:ascii="仿宋_GB2312" w:hAnsi="Times New Roman" w:cs="Times New Roman"/>
          <w:kern w:val="2"/>
          <w:sz w:val="32"/>
          <w:szCs w:val="32"/>
        </w:rPr>
        <w:t>（1）社会保障和就业支出(类)行政事业单位养老支出(款)事业单位离退休(项)支出预算8</w:t>
      </w:r>
      <w:r>
        <w:rPr>
          <w:rFonts w:ascii="仿宋_GB2312" w:hAnsi="Times New Roman" w:cs="Times New Roman"/>
          <w:kern w:val="2"/>
          <w:sz w:val="32"/>
          <w:szCs w:val="32"/>
        </w:rPr>
        <w:t>.82</w:t>
      </w:r>
      <w:r>
        <w:rPr>
          <w:rFonts w:hint="eastAsia" w:ascii="仿宋_GB2312" w:hAnsi="Times New Roman" w:cs="Times New Roman"/>
          <w:kern w:val="2"/>
          <w:sz w:val="32"/>
          <w:szCs w:val="32"/>
        </w:rPr>
        <w:t>万元，占支出总预算2</w:t>
      </w:r>
      <w:r>
        <w:rPr>
          <w:rFonts w:ascii="仿宋_GB2312" w:hAnsi="Times New Roman" w:cs="Times New Roman"/>
          <w:kern w:val="2"/>
          <w:sz w:val="32"/>
          <w:szCs w:val="32"/>
        </w:rPr>
        <w:t>.62</w:t>
      </w:r>
      <w:r>
        <w:rPr>
          <w:rFonts w:hint="eastAsia" w:ascii="仿宋_GB2312" w:hAnsi="Times New Roman" w:cs="Times New Roman"/>
          <w:kern w:val="2"/>
          <w:sz w:val="32"/>
          <w:szCs w:val="32"/>
        </w:rPr>
        <w:t>%，</w:t>
      </w:r>
      <w:r>
        <w:rPr>
          <w:rFonts w:hint="eastAsia" w:ascii="仿宋_GB2312"/>
          <w:sz w:val="32"/>
          <w:szCs w:val="32"/>
        </w:rPr>
        <w:t>同比增0</w:t>
      </w:r>
      <w:r>
        <w:rPr>
          <w:rFonts w:ascii="仿宋_GB2312"/>
          <w:sz w:val="32"/>
          <w:szCs w:val="32"/>
        </w:rPr>
        <w:t>.17</w:t>
      </w:r>
      <w:r>
        <w:rPr>
          <w:rFonts w:hint="eastAsia" w:ascii="仿宋_GB2312"/>
          <w:sz w:val="32"/>
          <w:szCs w:val="32"/>
        </w:rPr>
        <w:t>万元，同比增长1</w:t>
      </w:r>
      <w:r>
        <w:rPr>
          <w:rFonts w:ascii="仿宋_GB2312"/>
          <w:sz w:val="32"/>
          <w:szCs w:val="32"/>
        </w:rPr>
        <w:t>.97</w:t>
      </w:r>
      <w:r>
        <w:rPr>
          <w:rFonts w:hint="eastAsia" w:ascii="仿宋_GB2312"/>
          <w:sz w:val="32"/>
          <w:szCs w:val="32"/>
        </w:rPr>
        <w:t>%，主要原因是本年度增加乡村医生养老生活补助预算项目，人员经费支出增加</w:t>
      </w:r>
      <w:r>
        <w:rPr>
          <w:rFonts w:hint="eastAsia" w:ascii="仿宋_GB2312" w:hAnsi="Times New Roman" w:cs="Times New Roman"/>
          <w:kern w:val="2"/>
          <w:sz w:val="32"/>
          <w:szCs w:val="32"/>
        </w:rPr>
        <w:t>；</w:t>
      </w:r>
    </w:p>
    <w:p w14:paraId="3323B47F">
      <w:pPr>
        <w:pStyle w:val="6"/>
        <w:keepNext w:val="0"/>
        <w:keepLines w:val="0"/>
        <w:pageBreakBefore w:val="0"/>
        <w:kinsoku/>
        <w:wordWrap/>
        <w:overflowPunct/>
        <w:topLinePunct w:val="0"/>
        <w:autoSpaceDE/>
        <w:autoSpaceDN/>
        <w:bidi w:val="0"/>
        <w:spacing w:before="0" w:beforeAutospacing="0" w:after="0" w:afterAutospacing="0" w:line="520" w:lineRule="exact"/>
        <w:ind w:firstLine="640" w:firstLineChars="200"/>
        <w:textAlignment w:val="auto"/>
        <w:rPr>
          <w:rFonts w:ascii="仿宋_GB2312" w:hAnsi="Times New Roman" w:cs="Times New Roman"/>
          <w:kern w:val="2"/>
          <w:sz w:val="32"/>
          <w:szCs w:val="32"/>
        </w:rPr>
      </w:pPr>
      <w:r>
        <w:rPr>
          <w:rFonts w:hint="eastAsia" w:ascii="仿宋_GB2312" w:hAnsi="Times New Roman" w:cs="Times New Roman"/>
          <w:kern w:val="2"/>
          <w:sz w:val="32"/>
          <w:szCs w:val="32"/>
        </w:rPr>
        <w:t>（2）卫生健康支出(类)基层医疗卫生机构(款)乡镇卫生院(项)支出预算2</w:t>
      </w:r>
      <w:r>
        <w:rPr>
          <w:rFonts w:ascii="仿宋_GB2312" w:hAnsi="Times New Roman" w:cs="Times New Roman"/>
          <w:kern w:val="2"/>
          <w:sz w:val="32"/>
          <w:szCs w:val="32"/>
        </w:rPr>
        <w:t>90.37</w:t>
      </w:r>
      <w:r>
        <w:rPr>
          <w:rFonts w:hint="eastAsia" w:ascii="仿宋_GB2312" w:hAnsi="Times New Roman" w:cs="Times New Roman"/>
          <w:kern w:val="2"/>
          <w:sz w:val="32"/>
          <w:szCs w:val="32"/>
        </w:rPr>
        <w:t>万元, 占支出总预算8</w:t>
      </w:r>
      <w:r>
        <w:rPr>
          <w:rFonts w:ascii="仿宋_GB2312" w:hAnsi="Times New Roman" w:cs="Times New Roman"/>
          <w:kern w:val="2"/>
          <w:sz w:val="32"/>
          <w:szCs w:val="32"/>
        </w:rPr>
        <w:t>6.32</w:t>
      </w:r>
      <w:r>
        <w:rPr>
          <w:rFonts w:hint="eastAsia" w:ascii="仿宋_GB2312" w:hAnsi="Times New Roman" w:cs="Times New Roman"/>
          <w:kern w:val="2"/>
          <w:sz w:val="32"/>
          <w:szCs w:val="32"/>
        </w:rPr>
        <w:t>%，</w:t>
      </w:r>
      <w:r>
        <w:rPr>
          <w:rFonts w:hint="eastAsia" w:ascii="仿宋_GB2312"/>
          <w:sz w:val="32"/>
          <w:szCs w:val="32"/>
        </w:rPr>
        <w:t>同比增2</w:t>
      </w:r>
      <w:r>
        <w:rPr>
          <w:rFonts w:ascii="仿宋_GB2312"/>
          <w:sz w:val="32"/>
          <w:szCs w:val="32"/>
        </w:rPr>
        <w:t>1.21</w:t>
      </w:r>
      <w:r>
        <w:rPr>
          <w:rFonts w:hint="eastAsia" w:ascii="仿宋_GB2312"/>
          <w:sz w:val="32"/>
          <w:szCs w:val="32"/>
        </w:rPr>
        <w:t>万元，同比增长7</w:t>
      </w:r>
      <w:r>
        <w:rPr>
          <w:rFonts w:ascii="仿宋_GB2312"/>
          <w:sz w:val="32"/>
          <w:szCs w:val="32"/>
        </w:rPr>
        <w:t>.88</w:t>
      </w:r>
      <w:r>
        <w:rPr>
          <w:rFonts w:hint="eastAsia" w:ascii="仿宋_GB2312"/>
          <w:sz w:val="32"/>
          <w:szCs w:val="32"/>
        </w:rPr>
        <w:t>%，主要原因是职工工资标准提高，人员经费支出增加</w:t>
      </w:r>
      <w:r>
        <w:rPr>
          <w:rFonts w:hint="eastAsia" w:ascii="仿宋_GB2312" w:hAnsi="Times New Roman" w:cs="Times New Roman"/>
          <w:kern w:val="2"/>
          <w:sz w:val="32"/>
          <w:szCs w:val="32"/>
        </w:rPr>
        <w:t>；</w:t>
      </w:r>
    </w:p>
    <w:p w14:paraId="2FECB61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u w:val="single"/>
        </w:rPr>
      </w:pPr>
      <w:r>
        <w:rPr>
          <w:rFonts w:hint="eastAsia" w:ascii="仿宋_GB2312"/>
          <w:szCs w:val="32"/>
        </w:rPr>
        <w:t>（</w:t>
      </w:r>
      <w:r>
        <w:rPr>
          <w:rFonts w:ascii="仿宋_GB2312"/>
          <w:szCs w:val="32"/>
        </w:rPr>
        <w:t>3</w:t>
      </w:r>
      <w:r>
        <w:rPr>
          <w:rFonts w:hint="eastAsia" w:ascii="仿宋_GB2312"/>
          <w:szCs w:val="32"/>
        </w:rPr>
        <w:t>）卫生健康支出(类)基层医疗卫生机构(款)其他基层医疗卫生机构支出(项)支出预算3</w:t>
      </w:r>
      <w:r>
        <w:rPr>
          <w:rFonts w:ascii="仿宋_GB2312"/>
          <w:szCs w:val="32"/>
        </w:rPr>
        <w:t>7.20</w:t>
      </w:r>
      <w:r>
        <w:rPr>
          <w:rFonts w:hint="eastAsia" w:ascii="仿宋_GB2312"/>
          <w:szCs w:val="32"/>
        </w:rPr>
        <w:t>万元, 占支出总预算1</w:t>
      </w:r>
      <w:r>
        <w:rPr>
          <w:rFonts w:ascii="仿宋_GB2312"/>
          <w:szCs w:val="32"/>
        </w:rPr>
        <w:t>1.06</w:t>
      </w:r>
      <w:r>
        <w:rPr>
          <w:rFonts w:hint="eastAsia" w:ascii="仿宋_GB2312"/>
          <w:szCs w:val="32"/>
        </w:rPr>
        <w:t>%，同比增3</w:t>
      </w:r>
      <w:r>
        <w:rPr>
          <w:rFonts w:ascii="仿宋_GB2312"/>
          <w:szCs w:val="32"/>
        </w:rPr>
        <w:t>7.20</w:t>
      </w:r>
      <w:r>
        <w:rPr>
          <w:rFonts w:hint="eastAsia" w:ascii="仿宋_GB2312"/>
          <w:szCs w:val="32"/>
        </w:rPr>
        <w:t>万元，主要原因是本年度增加乡村医生工资福利支出预算项目，人员经费支出增加。</w:t>
      </w:r>
    </w:p>
    <w:p w14:paraId="64D06FA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szCs w:val="32"/>
        </w:rPr>
        <w:t>我单位一般公共预算基本支出共</w:t>
      </w:r>
      <w:r>
        <w:rPr>
          <w:rFonts w:ascii="仿宋_GB2312"/>
          <w:szCs w:val="32"/>
        </w:rPr>
        <w:t>336.38</w:t>
      </w:r>
      <w:r>
        <w:rPr>
          <w:rFonts w:hint="eastAsia" w:ascii="仿宋_GB2312"/>
          <w:szCs w:val="32"/>
        </w:rPr>
        <w:t>万元，较上年增长2</w:t>
      </w:r>
      <w:r>
        <w:rPr>
          <w:rFonts w:ascii="仿宋_GB2312"/>
          <w:szCs w:val="32"/>
        </w:rPr>
        <w:t>2.92</w:t>
      </w:r>
      <w:r>
        <w:rPr>
          <w:rFonts w:hint="eastAsia" w:ascii="仿宋_GB2312"/>
          <w:szCs w:val="32"/>
        </w:rPr>
        <w:t xml:space="preserve"> %，主要原因是人员经费支出增加。具体情况为：</w:t>
      </w:r>
    </w:p>
    <w:p w14:paraId="617F4C3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szCs w:val="32"/>
        </w:rPr>
        <w:t>工资福利支出 -基本工资</w:t>
      </w:r>
      <w:r>
        <w:rPr>
          <w:rFonts w:ascii="仿宋_GB2312"/>
          <w:szCs w:val="32"/>
        </w:rPr>
        <w:t>290.37</w:t>
      </w:r>
      <w:r>
        <w:rPr>
          <w:rFonts w:hint="eastAsia" w:ascii="仿宋_GB2312"/>
          <w:szCs w:val="32"/>
        </w:rPr>
        <w:t>万元，同比增2</w:t>
      </w:r>
      <w:r>
        <w:rPr>
          <w:rFonts w:ascii="仿宋_GB2312"/>
          <w:szCs w:val="32"/>
        </w:rPr>
        <w:t>5.36</w:t>
      </w:r>
      <w:r>
        <w:rPr>
          <w:rFonts w:hint="eastAsia" w:ascii="仿宋_GB2312"/>
          <w:szCs w:val="32"/>
        </w:rPr>
        <w:t>万元，同比增长9</w:t>
      </w:r>
      <w:r>
        <w:rPr>
          <w:rFonts w:ascii="仿宋_GB2312"/>
          <w:szCs w:val="32"/>
        </w:rPr>
        <w:t>.57</w:t>
      </w:r>
      <w:r>
        <w:rPr>
          <w:rFonts w:hint="eastAsia" w:ascii="仿宋_GB2312"/>
          <w:szCs w:val="32"/>
        </w:rPr>
        <w:t>%，主要原因是职工工资标准提高，人员经费支出增加；</w:t>
      </w:r>
    </w:p>
    <w:p w14:paraId="5544DF7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rPr>
      </w:pPr>
      <w:r>
        <w:rPr>
          <w:rFonts w:hint="eastAsia" w:ascii="仿宋_GB2312" w:hAnsi="宋体"/>
          <w:szCs w:val="32"/>
        </w:rPr>
        <w:t>工资福利支出 -其他工资福利支出</w:t>
      </w:r>
      <w:r>
        <w:rPr>
          <w:rFonts w:ascii="仿宋_GB2312" w:hAnsi="宋体"/>
          <w:szCs w:val="32"/>
        </w:rPr>
        <w:t>37.20</w:t>
      </w:r>
      <w:r>
        <w:rPr>
          <w:rFonts w:hint="eastAsia" w:ascii="仿宋_GB2312" w:hAnsi="宋体"/>
          <w:szCs w:val="32"/>
        </w:rPr>
        <w:t>万元，同比增</w:t>
      </w:r>
      <w:r>
        <w:rPr>
          <w:rFonts w:ascii="仿宋_GB2312" w:hAnsi="宋体"/>
          <w:szCs w:val="32"/>
        </w:rPr>
        <w:t>37.20</w:t>
      </w:r>
      <w:r>
        <w:rPr>
          <w:rFonts w:hint="eastAsia" w:ascii="仿宋_GB2312" w:hAnsi="宋体"/>
          <w:szCs w:val="32"/>
        </w:rPr>
        <w:t>万元，主要原因是本年度增加乡村医生工资福利支出预算项目，人员经费支出增加；</w:t>
      </w:r>
    </w:p>
    <w:p w14:paraId="75C30B3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rPr>
      </w:pPr>
      <w:r>
        <w:rPr>
          <w:rFonts w:hint="eastAsia" w:ascii="仿宋_GB2312" w:hAnsi="宋体"/>
          <w:szCs w:val="32"/>
        </w:rPr>
        <w:t>商品和服务支出 -其他商品和服务支出</w:t>
      </w:r>
      <w:r>
        <w:rPr>
          <w:rFonts w:ascii="仿宋_GB2312" w:hAnsi="宋体"/>
          <w:szCs w:val="32"/>
        </w:rPr>
        <w:t>0.30</w:t>
      </w:r>
      <w:r>
        <w:rPr>
          <w:rFonts w:hint="eastAsia" w:ascii="仿宋_GB2312" w:hAnsi="宋体"/>
          <w:szCs w:val="32"/>
        </w:rPr>
        <w:t>万元，与上年持平；</w:t>
      </w:r>
    </w:p>
    <w:p w14:paraId="1E71FFCB">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rPr>
      </w:pPr>
      <w:r>
        <w:rPr>
          <w:rFonts w:hint="eastAsia" w:ascii="仿宋_GB2312" w:hAnsi="宋体"/>
          <w:szCs w:val="32"/>
        </w:rPr>
        <w:t>对个人和家庭的补助 -退休费支出</w:t>
      </w:r>
      <w:r>
        <w:rPr>
          <w:rFonts w:ascii="仿宋_GB2312" w:hAnsi="宋体"/>
          <w:szCs w:val="32"/>
        </w:rPr>
        <w:t>8.35</w:t>
      </w:r>
      <w:r>
        <w:rPr>
          <w:rFonts w:hint="eastAsia" w:ascii="仿宋_GB2312" w:hAnsi="宋体"/>
          <w:szCs w:val="32"/>
        </w:rPr>
        <w:t>万元，与上年持平；</w:t>
      </w:r>
    </w:p>
    <w:p w14:paraId="47426B4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u w:val="single"/>
        </w:rPr>
      </w:pPr>
      <w:r>
        <w:rPr>
          <w:rFonts w:hint="eastAsia" w:ascii="仿宋_GB2312" w:hAnsi="宋体"/>
          <w:szCs w:val="32"/>
        </w:rPr>
        <w:t>对个人和家庭的补助 -生活补助支出</w:t>
      </w:r>
      <w:r>
        <w:rPr>
          <w:rFonts w:ascii="仿宋_GB2312" w:hAnsi="宋体"/>
          <w:szCs w:val="32"/>
        </w:rPr>
        <w:t>0.17</w:t>
      </w:r>
      <w:r>
        <w:rPr>
          <w:rFonts w:hint="eastAsia" w:ascii="仿宋_GB2312" w:hAnsi="宋体"/>
          <w:szCs w:val="32"/>
        </w:rPr>
        <w:t>万元，同比增加</w:t>
      </w:r>
      <w:r>
        <w:rPr>
          <w:rFonts w:ascii="仿宋_GB2312" w:hAnsi="宋体"/>
          <w:szCs w:val="32"/>
        </w:rPr>
        <w:t>0.17</w:t>
      </w:r>
      <w:r>
        <w:rPr>
          <w:rFonts w:hint="eastAsia" w:ascii="仿宋_GB2312" w:hAnsi="宋体"/>
          <w:szCs w:val="32"/>
        </w:rPr>
        <w:t>万元，主要原因是本年度增加乡村医生养老生活补助预算项目，人员经费支出增加。</w:t>
      </w:r>
    </w:p>
    <w:p w14:paraId="164B2C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rPr>
      </w:pPr>
      <w:r>
        <w:rPr>
          <w:rFonts w:hint="eastAsia" w:ascii="仿宋_GB2312" w:hAnsi="宋体"/>
          <w:szCs w:val="32"/>
        </w:rPr>
        <w:t>我单位</w:t>
      </w:r>
      <w:r>
        <w:rPr>
          <w:rFonts w:hint="eastAsia" w:ascii="仿宋_GB2312"/>
        </w:rPr>
        <w:t>2026年一般公共预算</w:t>
      </w:r>
      <w:r>
        <w:rPr>
          <w:rFonts w:hint="eastAsia" w:ascii="仿宋_GB2312"/>
          <w:bCs/>
        </w:rPr>
        <w:t>安排的“三公”经费支出预算</w:t>
      </w:r>
      <w:r>
        <w:rPr>
          <w:rFonts w:ascii="仿宋_GB2312"/>
          <w:bCs/>
        </w:rPr>
        <w:t>0.00</w:t>
      </w:r>
      <w:r>
        <w:rPr>
          <w:rFonts w:hint="eastAsia" w:ascii="仿宋_GB2312"/>
          <w:bCs/>
        </w:rPr>
        <w:t>万元，与上年持平，具体如下：</w:t>
      </w:r>
    </w:p>
    <w:p w14:paraId="1E650BC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Arial" w:cs="Arial"/>
          <w:kern w:val="0"/>
        </w:rPr>
      </w:pPr>
      <w:r>
        <w:rPr>
          <w:rFonts w:hint="eastAsia" w:ascii="仿宋_GB2312"/>
        </w:rPr>
        <w:t>1.因公出国（境）费</w:t>
      </w:r>
      <w:r>
        <w:rPr>
          <w:rFonts w:hint="eastAsia" w:ascii="仿宋_GB2312" w:hAnsi="宋体"/>
          <w:szCs w:val="32"/>
        </w:rPr>
        <w:t>2026年预算安排</w:t>
      </w:r>
      <w:r>
        <w:rPr>
          <w:rFonts w:ascii="仿宋_GB2312" w:hAnsi="宋体"/>
          <w:szCs w:val="32"/>
        </w:rPr>
        <w:t>0.00</w:t>
      </w:r>
      <w:r>
        <w:rPr>
          <w:rFonts w:hint="eastAsia" w:ascii="仿宋_GB2312" w:hAnsi="宋体"/>
          <w:szCs w:val="32"/>
        </w:rPr>
        <w:t>万元，与上年持平</w:t>
      </w:r>
      <w:r>
        <w:rPr>
          <w:rFonts w:hint="eastAsia" w:ascii="仿宋_GB2312" w:hAnsi="Arial" w:cs="Arial"/>
          <w:kern w:val="0"/>
        </w:rPr>
        <w:t>。</w:t>
      </w:r>
    </w:p>
    <w:p w14:paraId="6129A2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Arial" w:cs="Arial"/>
          <w:kern w:val="0"/>
        </w:rPr>
      </w:pPr>
      <w:r>
        <w:rPr>
          <w:rFonts w:hint="eastAsia" w:ascii="仿宋_GB2312"/>
        </w:rPr>
        <w:t>2.公务接待费</w:t>
      </w:r>
      <w:r>
        <w:rPr>
          <w:rFonts w:hint="eastAsia" w:ascii="仿宋_GB2312" w:hAnsi="宋体"/>
          <w:szCs w:val="32"/>
        </w:rPr>
        <w:t>2026年预算安排</w:t>
      </w:r>
      <w:r>
        <w:rPr>
          <w:rFonts w:ascii="仿宋_GB2312" w:hAnsi="宋体"/>
          <w:szCs w:val="32"/>
        </w:rPr>
        <w:t>0.00</w:t>
      </w:r>
      <w:r>
        <w:rPr>
          <w:rFonts w:hint="eastAsia" w:ascii="仿宋_GB2312" w:hAnsi="宋体"/>
          <w:szCs w:val="32"/>
        </w:rPr>
        <w:t>万元，与上年持平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rPr>
      </w:pPr>
      <w:r>
        <w:rPr>
          <w:rFonts w:hint="eastAsia" w:ascii="仿宋_GB2312"/>
        </w:rPr>
        <w:t>3.公务用车购置及运行费</w:t>
      </w:r>
      <w:r>
        <w:rPr>
          <w:rFonts w:hint="eastAsia" w:ascii="仿宋_GB2312" w:hAnsi="宋体"/>
          <w:szCs w:val="32"/>
        </w:rPr>
        <w:t>2026年预算安排</w:t>
      </w:r>
      <w:r>
        <w:rPr>
          <w:rFonts w:ascii="仿宋_GB2312" w:hAnsi="宋体"/>
          <w:szCs w:val="32"/>
        </w:rPr>
        <w:t>0.00</w:t>
      </w:r>
      <w:r>
        <w:rPr>
          <w:rFonts w:hint="eastAsia" w:ascii="仿宋_GB2312" w:hAnsi="宋体"/>
          <w:szCs w:val="32"/>
        </w:rPr>
        <w:t>万元，与上年持平。</w:t>
      </w:r>
    </w:p>
    <w:p w14:paraId="30BFD4B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highlight w:val="yellow"/>
        </w:rPr>
      </w:pPr>
      <w:r>
        <w:rPr>
          <w:rFonts w:hint="eastAsia" w:ascii="仿宋_GB2312"/>
          <w:szCs w:val="32"/>
        </w:rPr>
        <w:t>我单位政府性基金预算支出共</w:t>
      </w:r>
      <w:r>
        <w:rPr>
          <w:rFonts w:ascii="仿宋_GB2312"/>
          <w:szCs w:val="32"/>
        </w:rPr>
        <w:t>2.49</w:t>
      </w:r>
      <w:r>
        <w:rPr>
          <w:rFonts w:hint="eastAsia" w:ascii="仿宋_GB2312"/>
          <w:szCs w:val="32"/>
        </w:rPr>
        <w:t>万元，同比增</w:t>
      </w:r>
      <w:r>
        <w:rPr>
          <w:rFonts w:ascii="仿宋_GB2312"/>
          <w:szCs w:val="32"/>
        </w:rPr>
        <w:t>2.49</w:t>
      </w:r>
      <w:r>
        <w:rPr>
          <w:rFonts w:hint="eastAsia" w:ascii="仿宋_GB2312"/>
          <w:szCs w:val="32"/>
        </w:rPr>
        <w:t>万元，主要原因是本年度一般公共预算支出的预防接种服务费项目支出划分到政府性基金预算支出的项目支出，导致政府性基金预算支出增加。</w:t>
      </w:r>
    </w:p>
    <w:p w14:paraId="357682F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highlight w:val="yellow"/>
        </w:rPr>
      </w:pPr>
      <w:r>
        <w:rPr>
          <w:rFonts w:hint="eastAsia" w:ascii="黑体" w:eastAsia="黑体"/>
          <w:szCs w:val="32"/>
        </w:rPr>
        <w:t>九、国有资本经营预算支出情况说明</w:t>
      </w:r>
    </w:p>
    <w:p w14:paraId="2323E84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仿宋_GB2312" w:hAnsi="宋体"/>
          <w:szCs w:val="32"/>
        </w:rPr>
        <w:t>我单位2026年单位预算无国有资本经营预算。</w:t>
      </w:r>
    </w:p>
    <w:p w14:paraId="2688F36B">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eastAsia="黑体"/>
          <w:szCs w:val="32"/>
        </w:rPr>
      </w:pPr>
      <w:r>
        <w:rPr>
          <w:rFonts w:hint="eastAsia" w:ascii="黑体" w:eastAsia="黑体"/>
          <w:szCs w:val="32"/>
        </w:rPr>
        <w:t>十、其他重要事项情况说明</w:t>
      </w:r>
    </w:p>
    <w:p w14:paraId="3FC0A5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楷体_GB2312" w:hAnsi="楷体_GB2312" w:eastAsia="楷体_GB2312" w:cs="楷体_GB2312"/>
          <w:szCs w:val="32"/>
        </w:rPr>
      </w:pPr>
      <w:r>
        <w:rPr>
          <w:rFonts w:hint="eastAsia" w:ascii="楷体_GB2312" w:hAnsi="楷体_GB2312" w:eastAsia="楷体_GB2312" w:cs="楷体_GB2312"/>
          <w:szCs w:val="32"/>
        </w:rPr>
        <w:t>（一）单位运行经费安排情况说明</w:t>
      </w:r>
    </w:p>
    <w:p w14:paraId="65A1C34F">
      <w:pPr>
        <w:keepNext w:val="0"/>
        <w:keepLines w:val="0"/>
        <w:pageBreakBefore w:val="0"/>
        <w:kinsoku/>
        <w:wordWrap/>
        <w:overflowPunct/>
        <w:topLinePunct w:val="0"/>
        <w:autoSpaceDE/>
        <w:autoSpaceDN/>
        <w:bidi w:val="0"/>
        <w:spacing w:line="520" w:lineRule="exact"/>
        <w:ind w:firstLine="480" w:firstLineChars="150"/>
        <w:textAlignment w:val="auto"/>
        <w:rPr>
          <w:rFonts w:ascii="仿宋_GB2312"/>
          <w:szCs w:val="32"/>
        </w:rPr>
      </w:pPr>
      <w:r>
        <w:rPr>
          <w:rFonts w:hint="eastAsia" w:ascii="仿宋_GB2312"/>
          <w:szCs w:val="32"/>
        </w:rPr>
        <w:t xml:space="preserve"> 2026年本单位的运行经费预算共0</w:t>
      </w:r>
      <w:r>
        <w:rPr>
          <w:rFonts w:ascii="仿宋_GB2312"/>
          <w:szCs w:val="32"/>
        </w:rPr>
        <w:t>.30</w:t>
      </w:r>
      <w:r>
        <w:rPr>
          <w:rFonts w:hint="eastAsia" w:ascii="仿宋_GB2312"/>
          <w:szCs w:val="32"/>
        </w:rPr>
        <w:t>万元，与上年持平，主要原因是退休人员无增减，退休公用经费不变。主要包括其他商品和服务支出。</w:t>
      </w:r>
    </w:p>
    <w:p w14:paraId="0233024E">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hAnsi="宋体"/>
          <w:szCs w:val="32"/>
          <w:u w:val="single"/>
        </w:rPr>
      </w:pPr>
      <w:r>
        <w:rPr>
          <w:rFonts w:hint="eastAsia" w:ascii="仿宋_GB2312" w:hAnsi="宋体"/>
          <w:szCs w:val="32"/>
        </w:rPr>
        <w:t>我单位2026年政府采购预算总金额</w:t>
      </w:r>
      <w:r>
        <w:rPr>
          <w:rFonts w:ascii="仿宋_GB2312" w:hAnsi="宋体"/>
          <w:szCs w:val="32"/>
        </w:rPr>
        <w:t>220.21</w:t>
      </w:r>
      <w:r>
        <w:rPr>
          <w:rFonts w:hint="eastAsia" w:ascii="仿宋_GB2312" w:hAnsi="宋体"/>
          <w:szCs w:val="32"/>
        </w:rPr>
        <w:t>万元。其中：货物类采购</w:t>
      </w:r>
      <w:r>
        <w:rPr>
          <w:rFonts w:ascii="仿宋_GB2312" w:hAnsi="宋体"/>
          <w:szCs w:val="32"/>
        </w:rPr>
        <w:t>217.21</w:t>
      </w:r>
      <w:r>
        <w:rPr>
          <w:rFonts w:hint="eastAsia" w:ascii="仿宋_GB2312" w:hAnsi="宋体"/>
          <w:szCs w:val="32"/>
        </w:rPr>
        <w:t>万元、工程类采购</w:t>
      </w:r>
      <w:r>
        <w:rPr>
          <w:rFonts w:ascii="仿宋_GB2312" w:hAnsi="宋体"/>
          <w:szCs w:val="32"/>
        </w:rPr>
        <w:t>0.00</w:t>
      </w:r>
      <w:r>
        <w:rPr>
          <w:rFonts w:hint="eastAsia" w:ascii="仿宋_GB2312" w:hAnsi="宋体"/>
          <w:szCs w:val="32"/>
        </w:rPr>
        <w:t>万元、服务类采购</w:t>
      </w:r>
      <w:r>
        <w:rPr>
          <w:rFonts w:ascii="仿宋_GB2312" w:hAnsi="宋体"/>
          <w:szCs w:val="32"/>
        </w:rPr>
        <w:t>3.00</w:t>
      </w:r>
      <w:r>
        <w:rPr>
          <w:rFonts w:hint="eastAsia" w:ascii="仿宋_GB2312" w:hAnsi="宋体"/>
          <w:szCs w:val="32"/>
        </w:rPr>
        <w:t>万元。货物类采购主要包括：医用 X 线诊断设备、空调机、办公电脑及打印机、办公家具、其他医疗设备及办公用品等；服务类采购主要包括：业务用车加油保养服务等。</w:t>
      </w:r>
    </w:p>
    <w:p w14:paraId="744FA10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楷体_GB2312" w:hAnsi="楷体_GB2312" w:eastAsia="楷体_GB2312" w:cs="楷体_GB2312"/>
          <w:szCs w:val="32"/>
        </w:rPr>
      </w:pPr>
      <w:r>
        <w:rPr>
          <w:rFonts w:hint="eastAsia" w:ascii="楷体_GB2312" w:hAnsi="楷体_GB2312" w:eastAsia="楷体_GB2312" w:cs="楷体_GB2312"/>
          <w:szCs w:val="32"/>
        </w:rPr>
        <w:t>（三）政府购买服务情况说明</w:t>
      </w:r>
    </w:p>
    <w:p w14:paraId="64EC4880">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宋体"/>
          <w:szCs w:val="32"/>
          <w:u w:val="single"/>
        </w:rPr>
      </w:pPr>
      <w:r>
        <w:rPr>
          <w:rFonts w:hint="eastAsia" w:ascii="仿宋_GB2312"/>
          <w:szCs w:val="32"/>
        </w:rPr>
        <w:t>2026年本单位的政府购买预算共0</w:t>
      </w:r>
      <w:r>
        <w:rPr>
          <w:rFonts w:ascii="仿宋_GB2312"/>
          <w:szCs w:val="32"/>
        </w:rPr>
        <w:t>.00</w:t>
      </w:r>
      <w:r>
        <w:rPr>
          <w:rFonts w:hint="eastAsia" w:ascii="仿宋_GB2312"/>
          <w:szCs w:val="32"/>
        </w:rPr>
        <w:t>万元，与上年持平。</w:t>
      </w:r>
    </w:p>
    <w:p w14:paraId="6B03ABC3">
      <w:pPr>
        <w:keepNext w:val="0"/>
        <w:keepLines w:val="0"/>
        <w:pageBreakBefore w:val="0"/>
        <w:tabs>
          <w:tab w:val="center" w:pos="4475"/>
        </w:tabs>
        <w:kinsoku/>
        <w:wordWrap/>
        <w:overflowPunct/>
        <w:topLinePunct w:val="0"/>
        <w:autoSpaceDE/>
        <w:autoSpaceDN/>
        <w:bidi w:val="0"/>
        <w:spacing w:line="520" w:lineRule="exact"/>
        <w:ind w:firstLine="640" w:firstLineChars="200"/>
        <w:textAlignment w:val="auto"/>
        <w:rPr>
          <w:rFonts w:ascii="楷体_GB2312" w:hAnsi="楷体_GB2312" w:eastAsia="楷体_GB2312" w:cs="楷体_GB2312"/>
          <w:kern w:val="0"/>
        </w:rPr>
      </w:pPr>
      <w:r>
        <w:rPr>
          <w:rFonts w:hint="eastAsia" w:ascii="楷体_GB2312" w:hAnsi="楷体_GB2312" w:eastAsia="楷体_GB2312" w:cs="楷体_GB2312"/>
          <w:kern w:val="0"/>
        </w:rPr>
        <w:t>（四）国有资产占用情况说明</w:t>
      </w:r>
    </w:p>
    <w:p w14:paraId="40F48AA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黑体" w:hAnsi="Arial" w:eastAsia="黑体" w:cs="Arial"/>
          <w:kern w:val="0"/>
        </w:rPr>
      </w:pPr>
      <w:r>
        <w:rPr>
          <w:rFonts w:hint="eastAsia" w:ascii="仿宋_GB2312" w:hAnsi="宋体"/>
          <w:szCs w:val="32"/>
        </w:rPr>
        <w:t>截止202</w:t>
      </w:r>
      <w:r>
        <w:rPr>
          <w:rFonts w:ascii="仿宋_GB2312" w:hAnsi="宋体"/>
          <w:szCs w:val="32"/>
        </w:rPr>
        <w:t>5</w:t>
      </w:r>
      <w:r>
        <w:rPr>
          <w:rFonts w:hint="eastAsia" w:ascii="仿宋_GB2312" w:hAnsi="宋体"/>
          <w:szCs w:val="32"/>
        </w:rPr>
        <w:t>年底，本单位房屋与土地面积共计4</w:t>
      </w:r>
      <w:r>
        <w:rPr>
          <w:rFonts w:ascii="仿宋_GB2312" w:hAnsi="宋体"/>
          <w:szCs w:val="32"/>
        </w:rPr>
        <w:t>455.70</w:t>
      </w:r>
      <w:r>
        <w:rPr>
          <w:rFonts w:hint="eastAsia" w:ascii="仿宋_GB2312" w:hAnsi="宋体"/>
          <w:szCs w:val="32"/>
        </w:rPr>
        <w:t>平方米，其中办公用房面积1722.7</w:t>
      </w:r>
      <w:r>
        <w:rPr>
          <w:rFonts w:ascii="仿宋_GB2312" w:hAnsi="宋体"/>
          <w:szCs w:val="32"/>
        </w:rPr>
        <w:t>0</w:t>
      </w:r>
      <w:r>
        <w:rPr>
          <w:rFonts w:hint="eastAsia" w:ascii="仿宋_GB2312" w:hAnsi="宋体"/>
          <w:szCs w:val="32"/>
        </w:rPr>
        <w:t>平方米，业务用房面积965</w:t>
      </w:r>
      <w:r>
        <w:rPr>
          <w:rFonts w:ascii="仿宋_GB2312" w:hAnsi="宋体"/>
          <w:szCs w:val="32"/>
        </w:rPr>
        <w:t>.00</w:t>
      </w:r>
      <w:r>
        <w:rPr>
          <w:rFonts w:hint="eastAsia" w:ascii="仿宋_GB2312" w:hAnsi="宋体"/>
          <w:szCs w:val="32"/>
        </w:rPr>
        <w:t>平方米，其他用房面积1768.00平方米。单位共有公车</w:t>
      </w:r>
      <w:r>
        <w:rPr>
          <w:rFonts w:ascii="仿宋_GB2312" w:hAnsi="宋体"/>
          <w:szCs w:val="32"/>
        </w:rPr>
        <w:t>4</w:t>
      </w:r>
      <w:r>
        <w:rPr>
          <w:rFonts w:hint="eastAsia" w:ascii="仿宋_GB2312" w:hAnsi="宋体"/>
          <w:szCs w:val="32"/>
        </w:rPr>
        <w:t>辆，其中应急保障用车</w:t>
      </w:r>
      <w:r>
        <w:rPr>
          <w:rFonts w:ascii="仿宋_GB2312" w:hAnsi="宋体"/>
          <w:szCs w:val="32"/>
        </w:rPr>
        <w:t>2</w:t>
      </w:r>
      <w:r>
        <w:rPr>
          <w:rFonts w:hint="eastAsia" w:ascii="仿宋_GB2312" w:hAnsi="宋体"/>
          <w:szCs w:val="32"/>
        </w:rPr>
        <w:t>辆，特种专业技术用车1辆，其他用车1辆，单位车辆主要是用于院前急救和基本公共卫生服务等。单位设备1</w:t>
      </w:r>
      <w:r>
        <w:rPr>
          <w:rFonts w:ascii="仿宋_GB2312" w:hAnsi="宋体"/>
          <w:szCs w:val="32"/>
        </w:rPr>
        <w:t>61</w:t>
      </w:r>
      <w:r>
        <w:rPr>
          <w:rFonts w:hint="eastAsia" w:ascii="仿宋_GB2312" w:hAnsi="宋体"/>
          <w:szCs w:val="32"/>
        </w:rPr>
        <w:t>（台/个），其中单价100万元以上设备1套。</w:t>
      </w:r>
    </w:p>
    <w:p w14:paraId="016FE79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楷体_GB2312" w:hAnsi="楷体_GB2312" w:eastAsia="楷体_GB2312" w:cs="楷体_GB2312"/>
          <w:szCs w:val="32"/>
        </w:rPr>
      </w:pPr>
      <w:r>
        <w:rPr>
          <w:rFonts w:hint="eastAsia" w:ascii="楷体_GB2312" w:hAnsi="楷体_GB2312" w:eastAsia="楷体_GB2312" w:cs="楷体_GB2312"/>
          <w:szCs w:val="32"/>
        </w:rPr>
        <w:t>（五）预算绩效目标情况说明</w:t>
      </w:r>
    </w:p>
    <w:p w14:paraId="1F235B1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szCs w:val="32"/>
        </w:rPr>
        <w:t>1.我单位2026年所有项目支出全面实施绩效目标管理，涉及本级项目</w:t>
      </w:r>
      <w:r>
        <w:rPr>
          <w:rFonts w:ascii="仿宋_GB2312"/>
          <w:szCs w:val="32"/>
        </w:rPr>
        <w:t>3</w:t>
      </w:r>
      <w:r>
        <w:rPr>
          <w:rFonts w:hint="eastAsia" w:ascii="仿宋_GB2312"/>
          <w:szCs w:val="32"/>
        </w:rPr>
        <w:t>个，预算资金</w:t>
      </w:r>
      <w:r>
        <w:rPr>
          <w:rFonts w:ascii="仿宋_GB2312"/>
          <w:szCs w:val="32"/>
        </w:rPr>
        <w:t>402.59</w:t>
      </w:r>
      <w:r>
        <w:rPr>
          <w:rFonts w:hint="eastAsia" w:ascii="仿宋_GB2312"/>
          <w:szCs w:val="32"/>
        </w:rPr>
        <w:t>万元。绩效目标情况详见报表（涉密项目等除外）。</w:t>
      </w:r>
    </w:p>
    <w:p w14:paraId="08AB7DE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ascii="仿宋_GB2312"/>
          <w:szCs w:val="32"/>
        </w:rPr>
      </w:pPr>
      <w:r>
        <w:rPr>
          <w:rFonts w:hint="eastAsia" w:ascii="仿宋_GB2312"/>
          <w:szCs w:val="32"/>
        </w:rPr>
        <w:t>2.重点项目预算绩效目标说明。</w:t>
      </w:r>
    </w:p>
    <w:tbl>
      <w:tblPr>
        <w:tblStyle w:val="7"/>
        <w:tblW w:w="8359" w:type="dxa"/>
        <w:tblInd w:w="0" w:type="dxa"/>
        <w:tblLayout w:type="autofit"/>
        <w:tblCellMar>
          <w:top w:w="0" w:type="dxa"/>
          <w:left w:w="108" w:type="dxa"/>
          <w:bottom w:w="0" w:type="dxa"/>
          <w:right w:w="108" w:type="dxa"/>
        </w:tblCellMar>
      </w:tblPr>
      <w:tblGrid>
        <w:gridCol w:w="1271"/>
        <w:gridCol w:w="1418"/>
        <w:gridCol w:w="1559"/>
        <w:gridCol w:w="1559"/>
        <w:gridCol w:w="2552"/>
      </w:tblGrid>
      <w:tr w14:paraId="10D3BB81">
        <w:tblPrEx>
          <w:tblCellMar>
            <w:top w:w="0" w:type="dxa"/>
            <w:left w:w="108" w:type="dxa"/>
            <w:bottom w:w="0" w:type="dxa"/>
            <w:right w:w="108" w:type="dxa"/>
          </w:tblCellMar>
        </w:tblPrEx>
        <w:trPr>
          <w:trHeight w:val="435" w:hRule="atLeast"/>
        </w:trPr>
        <w:tc>
          <w:tcPr>
            <w:tcW w:w="8359"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28136">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2026年度部门预算柳江区项目支出绩效目标申报表</w:t>
            </w:r>
          </w:p>
        </w:tc>
      </w:tr>
      <w:tr w14:paraId="42426166">
        <w:tblPrEx>
          <w:tblCellMar>
            <w:top w:w="0" w:type="dxa"/>
            <w:left w:w="108" w:type="dxa"/>
            <w:bottom w:w="0" w:type="dxa"/>
            <w:right w:w="108" w:type="dxa"/>
          </w:tblCellMar>
        </w:tblPrEx>
        <w:trPr>
          <w:trHeight w:val="435" w:hRule="atLeast"/>
        </w:trPr>
        <w:tc>
          <w:tcPr>
            <w:tcW w:w="8359" w:type="dxa"/>
            <w:gridSpan w:val="5"/>
            <w:vMerge w:val="continue"/>
            <w:tcBorders>
              <w:top w:val="single" w:color="auto" w:sz="4" w:space="0"/>
              <w:left w:val="single" w:color="auto" w:sz="4" w:space="0"/>
              <w:bottom w:val="single" w:color="auto" w:sz="4" w:space="0"/>
              <w:right w:val="single" w:color="auto" w:sz="4" w:space="0"/>
            </w:tcBorders>
            <w:vAlign w:val="center"/>
          </w:tcPr>
          <w:p w14:paraId="25CCF0E6">
            <w:pPr>
              <w:widowControl/>
              <w:jc w:val="left"/>
              <w:rPr>
                <w:rFonts w:ascii="宋体" w:hAnsi="宋体" w:eastAsia="宋体" w:cs="宋体"/>
                <w:b/>
                <w:bCs/>
                <w:color w:val="000000"/>
                <w:kern w:val="0"/>
                <w:szCs w:val="32"/>
              </w:rPr>
            </w:pPr>
          </w:p>
        </w:tc>
      </w:tr>
      <w:tr w14:paraId="61085275">
        <w:tblPrEx>
          <w:tblCellMar>
            <w:top w:w="0" w:type="dxa"/>
            <w:left w:w="108" w:type="dxa"/>
            <w:bottom w:w="0" w:type="dxa"/>
            <w:right w:w="108" w:type="dxa"/>
          </w:tblCellMar>
        </w:tblPrEx>
        <w:trPr>
          <w:trHeight w:val="33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F689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项目名称</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097C16D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预防接种服务费</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885E3F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项目编码</w:t>
            </w:r>
          </w:p>
        </w:tc>
        <w:tc>
          <w:tcPr>
            <w:tcW w:w="2552" w:type="dxa"/>
            <w:tcBorders>
              <w:top w:val="nil"/>
              <w:left w:val="nil"/>
              <w:bottom w:val="single" w:color="auto" w:sz="4" w:space="0"/>
              <w:right w:val="single" w:color="auto" w:sz="4" w:space="0"/>
            </w:tcBorders>
            <w:shd w:val="clear" w:color="auto" w:fill="auto"/>
            <w:noWrap/>
            <w:vAlign w:val="center"/>
          </w:tcPr>
          <w:p w14:paraId="43885A9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450206250413200011390</w:t>
            </w:r>
          </w:p>
        </w:tc>
      </w:tr>
      <w:tr w14:paraId="4F0FC6A4">
        <w:tblPrEx>
          <w:tblCellMar>
            <w:top w:w="0" w:type="dxa"/>
            <w:left w:w="108" w:type="dxa"/>
            <w:bottom w:w="0" w:type="dxa"/>
            <w:right w:w="108" w:type="dxa"/>
          </w:tblCellMar>
        </w:tblPrEx>
        <w:trPr>
          <w:trHeight w:val="555"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0392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14:paraId="7BAD878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柳州市柳江区土博镇卫生院</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B35114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项目主管单位</w:t>
            </w:r>
          </w:p>
        </w:tc>
        <w:tc>
          <w:tcPr>
            <w:tcW w:w="2552" w:type="dxa"/>
            <w:tcBorders>
              <w:top w:val="nil"/>
              <w:left w:val="nil"/>
              <w:bottom w:val="single" w:color="auto" w:sz="4" w:space="0"/>
              <w:right w:val="single" w:color="auto" w:sz="4" w:space="0"/>
            </w:tcBorders>
            <w:shd w:val="clear" w:color="auto" w:fill="auto"/>
            <w:vAlign w:val="center"/>
          </w:tcPr>
          <w:p w14:paraId="4DE46B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132-柳州市柳江区卫生健康局</w:t>
            </w:r>
          </w:p>
        </w:tc>
      </w:tr>
      <w:tr w14:paraId="68AB7A79">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4537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项目属性</w:t>
            </w:r>
          </w:p>
        </w:tc>
        <w:tc>
          <w:tcPr>
            <w:tcW w:w="7088" w:type="dxa"/>
            <w:gridSpan w:val="4"/>
            <w:tcBorders>
              <w:top w:val="single" w:color="auto" w:sz="4" w:space="0"/>
              <w:left w:val="nil"/>
              <w:bottom w:val="single" w:color="auto" w:sz="4" w:space="0"/>
              <w:right w:val="single" w:color="auto" w:sz="4" w:space="0"/>
            </w:tcBorders>
            <w:shd w:val="clear" w:color="auto" w:fill="auto"/>
            <w:noWrap/>
            <w:vAlign w:val="center"/>
          </w:tcPr>
          <w:p w14:paraId="7743374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2-阶段性项目</w:t>
            </w:r>
          </w:p>
        </w:tc>
      </w:tr>
      <w:tr w14:paraId="3F12A587">
        <w:tblPrEx>
          <w:tblCellMar>
            <w:top w:w="0" w:type="dxa"/>
            <w:left w:w="108" w:type="dxa"/>
            <w:bottom w:w="0" w:type="dxa"/>
            <w:right w:w="108" w:type="dxa"/>
          </w:tblCellMar>
        </w:tblPrEx>
        <w:trPr>
          <w:trHeight w:val="33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86674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资金总额</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6034B0C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资金来源</w:t>
            </w:r>
          </w:p>
        </w:tc>
        <w:tc>
          <w:tcPr>
            <w:tcW w:w="4111" w:type="dxa"/>
            <w:gridSpan w:val="2"/>
            <w:tcBorders>
              <w:top w:val="single" w:color="auto" w:sz="4" w:space="0"/>
              <w:left w:val="nil"/>
              <w:bottom w:val="single" w:color="auto" w:sz="4" w:space="0"/>
              <w:right w:val="single" w:color="auto" w:sz="4" w:space="0"/>
            </w:tcBorders>
            <w:shd w:val="clear" w:color="auto" w:fill="auto"/>
            <w:noWrap/>
            <w:vAlign w:val="center"/>
          </w:tcPr>
          <w:p w14:paraId="606FE0D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金额(元)</w:t>
            </w:r>
          </w:p>
        </w:tc>
      </w:tr>
      <w:tr w14:paraId="647304FB">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964EFB4">
            <w:pPr>
              <w:widowControl/>
              <w:jc w:val="left"/>
              <w:rPr>
                <w:rFonts w:ascii="宋体" w:hAnsi="宋体" w:eastAsia="宋体" w:cs="宋体"/>
                <w:color w:val="000000"/>
                <w:kern w:val="0"/>
                <w:sz w:val="22"/>
                <w:szCs w:val="22"/>
              </w:rPr>
            </w:pP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404CA70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57B195A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52C82CF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24926</w:t>
            </w:r>
          </w:p>
        </w:tc>
      </w:tr>
      <w:tr w14:paraId="0601F74F">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B9302ED">
            <w:pPr>
              <w:widowControl/>
              <w:jc w:val="left"/>
              <w:rPr>
                <w:rFonts w:ascii="宋体" w:hAnsi="宋体" w:eastAsia="宋体" w:cs="宋体"/>
                <w:color w:val="000000"/>
                <w:kern w:val="0"/>
                <w:sz w:val="22"/>
                <w:szCs w:val="22"/>
              </w:rPr>
            </w:pPr>
          </w:p>
        </w:tc>
        <w:tc>
          <w:tcPr>
            <w:tcW w:w="29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E40D9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其中：一般公共预算拨款</w:t>
            </w:r>
          </w:p>
        </w:tc>
        <w:tc>
          <w:tcPr>
            <w:tcW w:w="1559" w:type="dxa"/>
            <w:tcBorders>
              <w:top w:val="nil"/>
              <w:left w:val="nil"/>
              <w:bottom w:val="single" w:color="auto" w:sz="4" w:space="0"/>
              <w:right w:val="single" w:color="auto" w:sz="4" w:space="0"/>
            </w:tcBorders>
            <w:shd w:val="clear" w:color="auto" w:fill="auto"/>
            <w:noWrap/>
            <w:vAlign w:val="center"/>
          </w:tcPr>
          <w:p w14:paraId="64EA75B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其中：上级</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11B2736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r>
      <w:tr w14:paraId="130C7244">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47950B8">
            <w:pPr>
              <w:widowControl/>
              <w:jc w:val="left"/>
              <w:rPr>
                <w:rFonts w:ascii="宋体" w:hAnsi="宋体" w:eastAsia="宋体" w:cs="宋体"/>
                <w:color w:val="000000"/>
                <w:kern w:val="0"/>
                <w:sz w:val="22"/>
                <w:szCs w:val="22"/>
              </w:rPr>
            </w:pPr>
          </w:p>
        </w:tc>
        <w:tc>
          <w:tcPr>
            <w:tcW w:w="2977" w:type="dxa"/>
            <w:gridSpan w:val="2"/>
            <w:vMerge w:val="continue"/>
            <w:tcBorders>
              <w:top w:val="single" w:color="auto" w:sz="4" w:space="0"/>
              <w:left w:val="single" w:color="auto" w:sz="4" w:space="0"/>
              <w:bottom w:val="single" w:color="auto" w:sz="4" w:space="0"/>
              <w:right w:val="single" w:color="auto" w:sz="4" w:space="0"/>
            </w:tcBorders>
            <w:vAlign w:val="center"/>
          </w:tcPr>
          <w:p w14:paraId="0D1A4D1B">
            <w:pPr>
              <w:widowControl/>
              <w:jc w:val="left"/>
              <w:rPr>
                <w:rFonts w:ascii="宋体" w:hAnsi="宋体" w:eastAsia="宋体" w:cs="宋体"/>
                <w:color w:val="000000"/>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14:paraId="450CC95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本级</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1695FCB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r>
      <w:tr w14:paraId="204FD4DD">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5F884B41">
            <w:pPr>
              <w:widowControl/>
              <w:jc w:val="left"/>
              <w:rPr>
                <w:rFonts w:ascii="宋体" w:hAnsi="宋体" w:eastAsia="宋体" w:cs="宋体"/>
                <w:color w:val="000000"/>
                <w:kern w:val="0"/>
                <w:sz w:val="22"/>
                <w:szCs w:val="22"/>
              </w:rPr>
            </w:pP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0ABBF16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政府性基金</w:t>
            </w:r>
          </w:p>
        </w:tc>
        <w:tc>
          <w:tcPr>
            <w:tcW w:w="1559" w:type="dxa"/>
            <w:tcBorders>
              <w:top w:val="nil"/>
              <w:left w:val="nil"/>
              <w:bottom w:val="single" w:color="auto" w:sz="4" w:space="0"/>
              <w:right w:val="single" w:color="auto" w:sz="4" w:space="0"/>
            </w:tcBorders>
            <w:shd w:val="clear" w:color="auto" w:fill="auto"/>
            <w:noWrap/>
            <w:vAlign w:val="center"/>
          </w:tcPr>
          <w:p w14:paraId="6729C34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48347A9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24926</w:t>
            </w:r>
          </w:p>
        </w:tc>
      </w:tr>
      <w:tr w14:paraId="0815AA99">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1A5EC3E">
            <w:pPr>
              <w:widowControl/>
              <w:jc w:val="left"/>
              <w:rPr>
                <w:rFonts w:ascii="宋体" w:hAnsi="宋体" w:eastAsia="宋体" w:cs="宋体"/>
                <w:color w:val="000000"/>
                <w:kern w:val="0"/>
                <w:sz w:val="22"/>
                <w:szCs w:val="22"/>
              </w:rPr>
            </w:pP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4564C4B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国有资本经营预算</w:t>
            </w:r>
          </w:p>
        </w:tc>
        <w:tc>
          <w:tcPr>
            <w:tcW w:w="1559" w:type="dxa"/>
            <w:tcBorders>
              <w:top w:val="nil"/>
              <w:left w:val="nil"/>
              <w:bottom w:val="single" w:color="auto" w:sz="4" w:space="0"/>
              <w:right w:val="single" w:color="auto" w:sz="4" w:space="0"/>
            </w:tcBorders>
            <w:shd w:val="clear" w:color="auto" w:fill="auto"/>
            <w:noWrap/>
            <w:vAlign w:val="center"/>
          </w:tcPr>
          <w:p w14:paraId="45DB712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0E91BD3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r>
      <w:tr w14:paraId="55381B83">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23E7677">
            <w:pPr>
              <w:widowControl/>
              <w:jc w:val="left"/>
              <w:rPr>
                <w:rFonts w:ascii="宋体" w:hAnsi="宋体" w:eastAsia="宋体" w:cs="宋体"/>
                <w:color w:val="000000"/>
                <w:kern w:val="0"/>
                <w:sz w:val="22"/>
                <w:szCs w:val="22"/>
              </w:rPr>
            </w:pP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14:paraId="7153869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其他资金</w:t>
            </w:r>
          </w:p>
        </w:tc>
        <w:tc>
          <w:tcPr>
            <w:tcW w:w="1559" w:type="dxa"/>
            <w:tcBorders>
              <w:top w:val="nil"/>
              <w:left w:val="nil"/>
              <w:bottom w:val="single" w:color="auto" w:sz="4" w:space="0"/>
              <w:right w:val="single" w:color="auto" w:sz="4" w:space="0"/>
            </w:tcBorders>
            <w:shd w:val="clear" w:color="auto" w:fill="auto"/>
            <w:noWrap/>
            <w:vAlign w:val="center"/>
          </w:tcPr>
          <w:p w14:paraId="2C60885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0E5B076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p w14:paraId="540A108C">
            <w:pPr>
              <w:rPr>
                <w:rFonts w:ascii="宋体" w:hAnsi="宋体" w:eastAsia="宋体" w:cs="宋体"/>
                <w:sz w:val="22"/>
                <w:szCs w:val="22"/>
              </w:rPr>
            </w:pPr>
          </w:p>
        </w:tc>
      </w:tr>
      <w:tr w14:paraId="68FBE1B8">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4845EA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年度绩效目标</w:t>
            </w:r>
          </w:p>
        </w:tc>
        <w:tc>
          <w:tcPr>
            <w:tcW w:w="7088" w:type="dxa"/>
            <w:gridSpan w:val="4"/>
            <w:tcBorders>
              <w:top w:val="single" w:color="auto" w:sz="4" w:space="0"/>
              <w:left w:val="nil"/>
              <w:bottom w:val="single" w:color="auto" w:sz="4" w:space="0"/>
              <w:right w:val="single" w:color="auto" w:sz="4" w:space="0"/>
            </w:tcBorders>
            <w:shd w:val="clear" w:color="auto" w:fill="auto"/>
            <w:vAlign w:val="center"/>
          </w:tcPr>
          <w:p w14:paraId="45304CB7">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第二类疫苗接种服务收费上缴财政后返回的、纳入一般公共预算管理的非税收入安排的资金。</w:t>
            </w:r>
          </w:p>
        </w:tc>
      </w:tr>
      <w:tr w14:paraId="2845A0E4">
        <w:tblPrEx>
          <w:tblCellMar>
            <w:top w:w="0" w:type="dxa"/>
            <w:left w:w="108" w:type="dxa"/>
            <w:bottom w:w="0" w:type="dxa"/>
            <w:right w:w="108" w:type="dxa"/>
          </w:tblCellMar>
        </w:tblPrEx>
        <w:trPr>
          <w:trHeight w:val="33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0F367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项目年度绩效目标衡量指标</w:t>
            </w:r>
          </w:p>
        </w:tc>
        <w:tc>
          <w:tcPr>
            <w:tcW w:w="1418" w:type="dxa"/>
            <w:tcBorders>
              <w:top w:val="nil"/>
              <w:left w:val="nil"/>
              <w:bottom w:val="single" w:color="auto" w:sz="4" w:space="0"/>
              <w:right w:val="single" w:color="auto" w:sz="4" w:space="0"/>
            </w:tcBorders>
            <w:shd w:val="clear" w:color="auto" w:fill="auto"/>
            <w:noWrap/>
            <w:vAlign w:val="center"/>
          </w:tcPr>
          <w:p w14:paraId="3CAA7A2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559" w:type="dxa"/>
            <w:tcBorders>
              <w:top w:val="nil"/>
              <w:left w:val="nil"/>
              <w:bottom w:val="single" w:color="auto" w:sz="4" w:space="0"/>
              <w:right w:val="single" w:color="auto" w:sz="4" w:space="0"/>
            </w:tcBorders>
            <w:shd w:val="clear" w:color="auto" w:fill="auto"/>
            <w:noWrap/>
            <w:vAlign w:val="center"/>
          </w:tcPr>
          <w:p w14:paraId="731C3594">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C4056B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指标内容</w:t>
            </w:r>
          </w:p>
        </w:tc>
        <w:tc>
          <w:tcPr>
            <w:tcW w:w="2552" w:type="dxa"/>
            <w:tcBorders>
              <w:top w:val="nil"/>
              <w:left w:val="nil"/>
              <w:bottom w:val="single" w:color="auto" w:sz="4" w:space="0"/>
              <w:right w:val="single" w:color="auto" w:sz="4" w:space="0"/>
            </w:tcBorders>
            <w:shd w:val="clear" w:color="auto" w:fill="auto"/>
            <w:vAlign w:val="center"/>
          </w:tcPr>
          <w:p w14:paraId="6B4A9BB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指标值</w:t>
            </w:r>
          </w:p>
        </w:tc>
      </w:tr>
      <w:tr w14:paraId="32B32AA2">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23A0ECB">
            <w:pPr>
              <w:widowControl/>
              <w:jc w:val="left"/>
              <w:rPr>
                <w:rFonts w:ascii="宋体" w:hAnsi="宋体" w:eastAsia="宋体" w:cs="宋体"/>
                <w:color w:val="000000"/>
                <w:kern w:val="0"/>
                <w:sz w:val="22"/>
                <w:szCs w:val="22"/>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58562B8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产出指标</w:t>
            </w:r>
          </w:p>
        </w:tc>
        <w:tc>
          <w:tcPr>
            <w:tcW w:w="1559" w:type="dxa"/>
            <w:tcBorders>
              <w:top w:val="nil"/>
              <w:left w:val="nil"/>
              <w:bottom w:val="single" w:color="auto" w:sz="4" w:space="0"/>
              <w:right w:val="single" w:color="auto" w:sz="4" w:space="0"/>
            </w:tcBorders>
            <w:shd w:val="clear" w:color="auto" w:fill="auto"/>
            <w:noWrap/>
            <w:vAlign w:val="center"/>
          </w:tcPr>
          <w:p w14:paraId="7CD1CE0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数量指标</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7DB0FB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预防接种人数</w:t>
            </w:r>
          </w:p>
        </w:tc>
        <w:tc>
          <w:tcPr>
            <w:tcW w:w="2552" w:type="dxa"/>
            <w:tcBorders>
              <w:top w:val="nil"/>
              <w:left w:val="nil"/>
              <w:bottom w:val="single" w:color="auto" w:sz="4" w:space="0"/>
              <w:right w:val="single" w:color="auto" w:sz="4" w:space="0"/>
            </w:tcBorders>
            <w:shd w:val="clear" w:color="auto" w:fill="auto"/>
            <w:noWrap/>
            <w:vAlign w:val="center"/>
          </w:tcPr>
          <w:p w14:paraId="49F7638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≥1000人</w:t>
            </w:r>
          </w:p>
        </w:tc>
      </w:tr>
      <w:tr w14:paraId="047C606D">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E775FD8">
            <w:pPr>
              <w:widowControl/>
              <w:jc w:val="left"/>
              <w:rPr>
                <w:rFonts w:ascii="宋体" w:hAnsi="宋体" w:eastAsia="宋体"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14:paraId="64A4B6E3">
            <w:pPr>
              <w:widowControl/>
              <w:jc w:val="left"/>
              <w:rPr>
                <w:rFonts w:ascii="宋体" w:hAnsi="宋体" w:eastAsia="宋体" w:cs="宋体"/>
                <w:color w:val="000000"/>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14:paraId="1E08FF0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质量指标</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A2B895A">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建证合格率</w:t>
            </w:r>
          </w:p>
        </w:tc>
        <w:tc>
          <w:tcPr>
            <w:tcW w:w="2552" w:type="dxa"/>
            <w:tcBorders>
              <w:top w:val="nil"/>
              <w:left w:val="nil"/>
              <w:bottom w:val="single" w:color="auto" w:sz="4" w:space="0"/>
              <w:right w:val="single" w:color="auto" w:sz="4" w:space="0"/>
            </w:tcBorders>
            <w:shd w:val="clear" w:color="auto" w:fill="auto"/>
            <w:noWrap/>
            <w:vAlign w:val="center"/>
          </w:tcPr>
          <w:p w14:paraId="5341202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14:paraId="291297E1">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28BF5AA">
            <w:pPr>
              <w:widowControl/>
              <w:jc w:val="left"/>
              <w:rPr>
                <w:rFonts w:ascii="宋体" w:hAnsi="宋体" w:eastAsia="宋体"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14:paraId="3E5C39D9">
            <w:pPr>
              <w:widowControl/>
              <w:jc w:val="left"/>
              <w:rPr>
                <w:rFonts w:ascii="宋体" w:hAnsi="宋体" w:eastAsia="宋体" w:cs="宋体"/>
                <w:color w:val="000000"/>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14:paraId="7324116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时效指标</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9BD430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项目完成时间</w:t>
            </w:r>
          </w:p>
        </w:tc>
        <w:tc>
          <w:tcPr>
            <w:tcW w:w="2552" w:type="dxa"/>
            <w:tcBorders>
              <w:top w:val="nil"/>
              <w:left w:val="nil"/>
              <w:bottom w:val="single" w:color="auto" w:sz="4" w:space="0"/>
              <w:right w:val="single" w:color="auto" w:sz="4" w:space="0"/>
            </w:tcBorders>
            <w:shd w:val="clear" w:color="auto" w:fill="auto"/>
            <w:noWrap/>
            <w:vAlign w:val="center"/>
          </w:tcPr>
          <w:p w14:paraId="7CC1923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2026年12月31日</w:t>
            </w:r>
          </w:p>
        </w:tc>
      </w:tr>
      <w:tr w14:paraId="184DF762">
        <w:tblPrEx>
          <w:tblCellMar>
            <w:top w:w="0" w:type="dxa"/>
            <w:left w:w="108" w:type="dxa"/>
            <w:bottom w:w="0" w:type="dxa"/>
            <w:right w:w="108" w:type="dxa"/>
          </w:tblCellMar>
        </w:tblPrEx>
        <w:trPr>
          <w:trHeight w:val="33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9595533">
            <w:pPr>
              <w:widowControl/>
              <w:jc w:val="left"/>
              <w:rPr>
                <w:rFonts w:ascii="宋体" w:hAnsi="宋体" w:eastAsia="宋体"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14:paraId="032663CB">
            <w:pPr>
              <w:widowControl/>
              <w:jc w:val="left"/>
              <w:rPr>
                <w:rFonts w:ascii="宋体" w:hAnsi="宋体" w:eastAsia="宋体" w:cs="宋体"/>
                <w:color w:val="000000"/>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14:paraId="72CF033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成本指标</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ABA3B3C">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项目成本支出</w:t>
            </w:r>
          </w:p>
        </w:tc>
        <w:tc>
          <w:tcPr>
            <w:tcW w:w="2552" w:type="dxa"/>
            <w:tcBorders>
              <w:top w:val="nil"/>
              <w:left w:val="nil"/>
              <w:bottom w:val="single" w:color="auto" w:sz="4" w:space="0"/>
              <w:right w:val="single" w:color="auto" w:sz="4" w:space="0"/>
            </w:tcBorders>
            <w:shd w:val="clear" w:color="auto" w:fill="auto"/>
            <w:noWrap/>
            <w:vAlign w:val="center"/>
          </w:tcPr>
          <w:p w14:paraId="257F1B7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以结算金额为准</w:t>
            </w:r>
          </w:p>
        </w:tc>
      </w:tr>
      <w:tr w14:paraId="7BDC0E5F">
        <w:tblPrEx>
          <w:tblCellMar>
            <w:top w:w="0" w:type="dxa"/>
            <w:left w:w="108" w:type="dxa"/>
            <w:bottom w:w="0" w:type="dxa"/>
            <w:right w:w="108" w:type="dxa"/>
          </w:tblCellMar>
        </w:tblPrEx>
        <w:trPr>
          <w:trHeight w:val="379"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21818D6">
            <w:pPr>
              <w:widowControl/>
              <w:jc w:val="left"/>
              <w:rPr>
                <w:rFonts w:ascii="宋体" w:hAnsi="宋体" w:eastAsia="宋体" w:cs="宋体"/>
                <w:color w:val="000000"/>
                <w:kern w:val="0"/>
                <w:sz w:val="22"/>
                <w:szCs w:val="22"/>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717D7FF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效益指标</w:t>
            </w:r>
          </w:p>
        </w:tc>
        <w:tc>
          <w:tcPr>
            <w:tcW w:w="1559" w:type="dxa"/>
            <w:tcBorders>
              <w:top w:val="nil"/>
              <w:left w:val="nil"/>
              <w:bottom w:val="single" w:color="auto" w:sz="4" w:space="0"/>
              <w:right w:val="single" w:color="auto" w:sz="4" w:space="0"/>
            </w:tcBorders>
            <w:shd w:val="clear" w:color="auto" w:fill="auto"/>
            <w:noWrap/>
            <w:vAlign w:val="center"/>
          </w:tcPr>
          <w:p w14:paraId="76A3FA3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社会效益</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BC39AC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增强群体免疫</w:t>
            </w:r>
          </w:p>
        </w:tc>
        <w:tc>
          <w:tcPr>
            <w:tcW w:w="2552" w:type="dxa"/>
            <w:tcBorders>
              <w:top w:val="nil"/>
              <w:left w:val="nil"/>
              <w:bottom w:val="single" w:color="auto" w:sz="4" w:space="0"/>
              <w:right w:val="single" w:color="auto" w:sz="4" w:space="0"/>
            </w:tcBorders>
            <w:shd w:val="clear" w:color="auto" w:fill="auto"/>
            <w:noWrap/>
            <w:vAlign w:val="center"/>
          </w:tcPr>
          <w:p w14:paraId="6A167D9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中长期</w:t>
            </w:r>
          </w:p>
        </w:tc>
      </w:tr>
      <w:tr w14:paraId="1BBBC443">
        <w:tblPrEx>
          <w:tblCellMar>
            <w:top w:w="0" w:type="dxa"/>
            <w:left w:w="108" w:type="dxa"/>
            <w:bottom w:w="0" w:type="dxa"/>
            <w:right w:w="108" w:type="dxa"/>
          </w:tblCellMar>
        </w:tblPrEx>
        <w:trPr>
          <w:trHeight w:val="60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4204587">
            <w:pPr>
              <w:widowControl/>
              <w:jc w:val="left"/>
              <w:rPr>
                <w:rFonts w:ascii="宋体" w:hAnsi="宋体" w:eastAsia="宋体"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14:paraId="25181EFE">
            <w:pPr>
              <w:widowControl/>
              <w:jc w:val="left"/>
              <w:rPr>
                <w:rFonts w:ascii="宋体" w:hAnsi="宋体" w:eastAsia="宋体" w:cs="宋体"/>
                <w:color w:val="000000"/>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14:paraId="2969ACA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可持续影响</w:t>
            </w:r>
          </w:p>
        </w:tc>
        <w:tc>
          <w:tcPr>
            <w:tcW w:w="1559" w:type="dxa"/>
            <w:tcBorders>
              <w:top w:val="single" w:color="auto" w:sz="4" w:space="0"/>
              <w:left w:val="nil"/>
              <w:bottom w:val="single" w:color="auto" w:sz="4" w:space="0"/>
              <w:right w:val="single" w:color="auto" w:sz="4" w:space="0"/>
            </w:tcBorders>
            <w:shd w:val="clear" w:color="auto" w:fill="auto"/>
            <w:vAlign w:val="center"/>
          </w:tcPr>
          <w:p w14:paraId="5612176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疫苗接种工作持续进行</w:t>
            </w:r>
          </w:p>
        </w:tc>
        <w:tc>
          <w:tcPr>
            <w:tcW w:w="2552" w:type="dxa"/>
            <w:tcBorders>
              <w:top w:val="nil"/>
              <w:left w:val="nil"/>
              <w:bottom w:val="single" w:color="auto" w:sz="4" w:space="0"/>
              <w:right w:val="single" w:color="auto" w:sz="4" w:space="0"/>
            </w:tcBorders>
            <w:shd w:val="clear" w:color="auto" w:fill="auto"/>
            <w:noWrap/>
            <w:vAlign w:val="center"/>
          </w:tcPr>
          <w:p w14:paraId="0F17B65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可持续</w:t>
            </w:r>
          </w:p>
        </w:tc>
      </w:tr>
      <w:tr w14:paraId="753C74F8">
        <w:tblPrEx>
          <w:tblCellMar>
            <w:top w:w="0" w:type="dxa"/>
            <w:left w:w="108" w:type="dxa"/>
            <w:bottom w:w="0" w:type="dxa"/>
            <w:right w:w="108" w:type="dxa"/>
          </w:tblCellMar>
        </w:tblPrEx>
        <w:trPr>
          <w:trHeight w:val="60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D64F3D8">
            <w:pPr>
              <w:widowControl/>
              <w:jc w:val="left"/>
              <w:rPr>
                <w:rFonts w:ascii="宋体" w:hAnsi="宋体" w:eastAsia="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center"/>
          </w:tcPr>
          <w:p w14:paraId="74EB4D1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满意度指标</w:t>
            </w:r>
          </w:p>
        </w:tc>
        <w:tc>
          <w:tcPr>
            <w:tcW w:w="1559" w:type="dxa"/>
            <w:tcBorders>
              <w:top w:val="nil"/>
              <w:left w:val="nil"/>
              <w:bottom w:val="single" w:color="auto" w:sz="4" w:space="0"/>
              <w:right w:val="single" w:color="auto" w:sz="4" w:space="0"/>
            </w:tcBorders>
            <w:shd w:val="clear" w:color="auto" w:fill="auto"/>
            <w:vAlign w:val="center"/>
          </w:tcPr>
          <w:p w14:paraId="01F9E20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服务对象满意度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60B228">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群众对医护人员接种服务质量满意度</w:t>
            </w:r>
          </w:p>
        </w:tc>
        <w:tc>
          <w:tcPr>
            <w:tcW w:w="2552" w:type="dxa"/>
            <w:tcBorders>
              <w:top w:val="nil"/>
              <w:left w:val="nil"/>
              <w:bottom w:val="single" w:color="auto" w:sz="4" w:space="0"/>
              <w:right w:val="single" w:color="auto" w:sz="4" w:space="0"/>
            </w:tcBorders>
            <w:shd w:val="clear" w:color="auto" w:fill="auto"/>
            <w:noWrap/>
            <w:vAlign w:val="center"/>
          </w:tcPr>
          <w:p w14:paraId="1A9F884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≥85%</w:t>
            </w:r>
          </w:p>
        </w:tc>
      </w:tr>
    </w:tbl>
    <w:p w14:paraId="64108B98">
      <w:pPr>
        <w:tabs>
          <w:tab w:val="center" w:pos="4475"/>
        </w:tabs>
        <w:spacing w:line="560" w:lineRule="exact"/>
        <w:ind w:firstLine="640" w:firstLineChars="200"/>
        <w:rPr>
          <w:rFonts w:ascii="仿宋_GB2312" w:hAnsi="宋体"/>
          <w:szCs w:val="32"/>
        </w:rPr>
      </w:pPr>
    </w:p>
    <w:p w14:paraId="34F6AC4A">
      <w:pPr>
        <w:keepNext w:val="0"/>
        <w:keepLines w:val="0"/>
        <w:pageBreakBefore w:val="0"/>
        <w:widowControl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第三部分：名词解释</w:t>
      </w:r>
    </w:p>
    <w:p w14:paraId="556E9AF8">
      <w:pPr>
        <w:keepNext w:val="0"/>
        <w:keepLines w:val="0"/>
        <w:pageBreakBefore w:val="0"/>
        <w:widowControl w:val="0"/>
        <w:kinsoku/>
        <w:wordWrap/>
        <w:overflowPunct/>
        <w:topLinePunct w:val="0"/>
        <w:autoSpaceDE/>
        <w:autoSpaceDN/>
        <w:bidi w:val="0"/>
        <w:spacing w:line="50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E758289">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649357D">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C31CD36">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45B479DE">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0E649B3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6455575">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4E051F29">
      <w:pPr>
        <w:keepNext w:val="0"/>
        <w:keepLines w:val="0"/>
        <w:pageBreakBefore w:val="0"/>
        <w:widowControl w:val="0"/>
        <w:kinsoku/>
        <w:wordWrap/>
        <w:overflowPunct/>
        <w:topLinePunct w:val="0"/>
        <w:autoSpaceDE/>
        <w:autoSpaceDN/>
        <w:bidi w:val="0"/>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8DBF87D">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4AC3B05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45DE05B2">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F7CBBC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2B7743F0">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A77AD0A">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A2EEF6">
      <w:pPr>
        <w:keepNext w:val="0"/>
        <w:keepLines w:val="0"/>
        <w:pageBreakBefore w:val="0"/>
        <w:widowControl w:val="0"/>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rPr>
        <w:t>十五、支出类常用科目的说明</w:t>
      </w:r>
    </w:p>
    <w:p w14:paraId="3340FCCC">
      <w:pPr>
        <w:keepNext w:val="0"/>
        <w:keepLines w:val="0"/>
        <w:pageBreakBefore w:val="0"/>
        <w:widowControl w:val="0"/>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355B060C">
      <w:pPr>
        <w:keepNext w:val="0"/>
        <w:keepLines w:val="0"/>
        <w:pageBreakBefore w:val="0"/>
        <w:widowControl w:val="0"/>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381AECB6">
      <w:pPr>
        <w:keepNext w:val="0"/>
        <w:keepLines w:val="0"/>
        <w:pageBreakBefore w:val="0"/>
        <w:widowControl w:val="0"/>
        <w:kinsoku/>
        <w:wordWrap/>
        <w:overflowPunct/>
        <w:topLinePunct w:val="0"/>
        <w:autoSpaceDE/>
        <w:autoSpaceDN/>
        <w:bidi w:val="0"/>
        <w:spacing w:line="500" w:lineRule="exact"/>
        <w:ind w:firstLine="645"/>
        <w:textAlignment w:val="auto"/>
        <w:rPr>
          <w:rFonts w:ascii="黑体" w:hAnsi="宋体" w:eastAsia="黑体"/>
          <w:szCs w:val="32"/>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28985B64">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ascii="黑体" w:hAnsi="宋体" w:eastAsia="黑体"/>
          <w:bCs/>
          <w:szCs w:val="32"/>
        </w:rPr>
      </w:pPr>
      <w:r>
        <w:rPr>
          <w:rFonts w:hint="eastAsia" w:ascii="黑体" w:hAnsi="宋体" w:eastAsia="黑体"/>
          <w:szCs w:val="32"/>
        </w:rPr>
        <w:t>第四部分：柳州市柳江区土博镇卫生院2026年</w:t>
      </w:r>
      <w:r>
        <w:rPr>
          <w:rFonts w:hint="eastAsia" w:ascii="黑体" w:eastAsia="黑体"/>
          <w:szCs w:val="32"/>
        </w:rPr>
        <w:t>单位预算报表</w:t>
      </w:r>
    </w:p>
    <w:p w14:paraId="60013529">
      <w:pPr>
        <w:spacing w:before="435" w:beforeLines="100" w:after="435" w:afterLines="100" w:line="360" w:lineRule="exact"/>
        <w:ind w:firstLine="640" w:firstLineChars="200"/>
        <w:rPr>
          <w:rFonts w:ascii="仿宋_GB2312"/>
          <w:bCs/>
          <w:szCs w:val="32"/>
        </w:rPr>
      </w:pPr>
      <w:r>
        <w:rPr>
          <w:rFonts w:hint="eastAsia" w:ascii="仿宋_GB2312"/>
          <w:bCs/>
          <w:szCs w:val="32"/>
        </w:rPr>
        <w:t>表1：单位收支总体情况表</w:t>
      </w:r>
    </w:p>
    <w:p w14:paraId="30647424">
      <w:pPr>
        <w:spacing w:before="435" w:beforeLines="100" w:after="435" w:afterLines="100" w:line="360" w:lineRule="exact"/>
        <w:ind w:firstLine="640" w:firstLineChars="200"/>
        <w:rPr>
          <w:rFonts w:ascii="仿宋_GB2312"/>
          <w:bCs/>
          <w:szCs w:val="32"/>
        </w:rPr>
      </w:pPr>
      <w:r>
        <w:rPr>
          <w:rFonts w:hint="eastAsia" w:ascii="仿宋_GB2312"/>
          <w:bCs/>
          <w:szCs w:val="32"/>
        </w:rPr>
        <w:t>表2：单位收入总体情况表</w:t>
      </w:r>
    </w:p>
    <w:p w14:paraId="71FEA874">
      <w:pPr>
        <w:spacing w:before="435" w:beforeLines="100" w:after="435" w:afterLines="100" w:line="360" w:lineRule="exact"/>
        <w:ind w:firstLine="640" w:firstLineChars="200"/>
        <w:rPr>
          <w:rFonts w:ascii="仿宋_GB2312"/>
          <w:bCs/>
          <w:szCs w:val="32"/>
        </w:rPr>
      </w:pPr>
      <w:r>
        <w:rPr>
          <w:rFonts w:hint="eastAsia" w:ascii="仿宋_GB2312"/>
          <w:bCs/>
          <w:szCs w:val="32"/>
        </w:rPr>
        <w:t>表3：单位支出总体情况表</w:t>
      </w:r>
    </w:p>
    <w:p w14:paraId="3CFAD097">
      <w:pPr>
        <w:spacing w:before="435" w:beforeLines="100" w:after="435" w:afterLines="100" w:line="360" w:lineRule="exact"/>
        <w:ind w:firstLine="640" w:firstLineChars="200"/>
        <w:rPr>
          <w:rFonts w:ascii="仿宋_GB2312"/>
          <w:bCs/>
          <w:szCs w:val="32"/>
        </w:rPr>
      </w:pPr>
      <w:r>
        <w:rPr>
          <w:rFonts w:hint="eastAsia" w:ascii="仿宋_GB2312"/>
          <w:bCs/>
          <w:szCs w:val="32"/>
        </w:rPr>
        <w:t>表4：财政拨款收支总体情况表</w:t>
      </w:r>
    </w:p>
    <w:p w14:paraId="4907E8F7">
      <w:pPr>
        <w:spacing w:before="435" w:beforeLines="100" w:after="435" w:afterLines="100" w:line="360" w:lineRule="exact"/>
        <w:ind w:firstLine="640" w:firstLineChars="200"/>
        <w:rPr>
          <w:rFonts w:ascii="仿宋_GB2312"/>
          <w:bCs/>
          <w:szCs w:val="32"/>
        </w:rPr>
      </w:pPr>
      <w:r>
        <w:rPr>
          <w:rFonts w:hint="eastAsia" w:ascii="仿宋_GB2312"/>
          <w:bCs/>
          <w:szCs w:val="32"/>
        </w:rPr>
        <w:t>表5：一般公共预算支出情况表</w:t>
      </w:r>
    </w:p>
    <w:p w14:paraId="736B5D1C">
      <w:pPr>
        <w:spacing w:before="435" w:beforeLines="100" w:after="435" w:afterLines="100" w:line="360" w:lineRule="exact"/>
        <w:ind w:firstLine="640" w:firstLineChars="200"/>
        <w:rPr>
          <w:rFonts w:ascii="仿宋_GB2312"/>
          <w:bCs/>
          <w:szCs w:val="32"/>
        </w:rPr>
      </w:pPr>
      <w:r>
        <w:rPr>
          <w:rFonts w:hint="eastAsia" w:ascii="仿宋_GB2312"/>
          <w:bCs/>
          <w:szCs w:val="32"/>
        </w:rPr>
        <w:t>表6：一般公共预算基本支出情况表</w:t>
      </w:r>
    </w:p>
    <w:p w14:paraId="58B19E44">
      <w:pPr>
        <w:spacing w:before="435" w:beforeLines="100" w:after="435" w:afterLines="100" w:line="360" w:lineRule="exact"/>
        <w:ind w:firstLine="640" w:firstLineChars="200"/>
        <w:rPr>
          <w:rFonts w:ascii="仿宋_GB2312"/>
          <w:bCs/>
          <w:szCs w:val="32"/>
        </w:rPr>
      </w:pPr>
      <w:r>
        <w:rPr>
          <w:rFonts w:hint="eastAsia" w:ascii="仿宋_GB2312"/>
          <w:bCs/>
          <w:szCs w:val="32"/>
        </w:rPr>
        <w:t>表7：财政拨款“三公”经费、会议费和培训费支出</w:t>
      </w:r>
    </w:p>
    <w:p w14:paraId="6B5CF0F4">
      <w:pPr>
        <w:spacing w:before="435" w:beforeLines="100" w:after="435" w:afterLines="100" w:line="360" w:lineRule="exact"/>
        <w:ind w:firstLine="1600" w:firstLineChars="500"/>
        <w:rPr>
          <w:rFonts w:ascii="仿宋_GB2312"/>
          <w:bCs/>
          <w:szCs w:val="32"/>
        </w:rPr>
      </w:pPr>
      <w:r>
        <w:rPr>
          <w:rFonts w:hint="eastAsia" w:ascii="仿宋_GB2312"/>
          <w:bCs/>
          <w:szCs w:val="32"/>
        </w:rPr>
        <w:t>情况表</w:t>
      </w:r>
    </w:p>
    <w:p w14:paraId="22FAE063">
      <w:pPr>
        <w:spacing w:before="435" w:beforeLines="100" w:after="435" w:afterLines="100" w:line="360" w:lineRule="exact"/>
        <w:ind w:firstLine="640" w:firstLineChars="200"/>
        <w:rPr>
          <w:rFonts w:ascii="仿宋_GB2312"/>
          <w:bCs/>
          <w:szCs w:val="32"/>
        </w:rPr>
      </w:pPr>
      <w:r>
        <w:rPr>
          <w:rFonts w:hint="eastAsia" w:ascii="仿宋_GB2312"/>
          <w:bCs/>
          <w:szCs w:val="32"/>
        </w:rPr>
        <w:t>表8：政府性基金预算支出情况表</w:t>
      </w:r>
    </w:p>
    <w:p w14:paraId="696EACFB">
      <w:pPr>
        <w:spacing w:before="435" w:beforeLines="100" w:after="435" w:afterLines="100" w:line="360" w:lineRule="exact"/>
        <w:ind w:firstLine="640" w:firstLineChars="200"/>
        <w:rPr>
          <w:rFonts w:ascii="仿宋_GB2312"/>
          <w:bCs/>
          <w:szCs w:val="32"/>
        </w:rPr>
      </w:pPr>
      <w:r>
        <w:rPr>
          <w:rFonts w:hint="eastAsia" w:ascii="仿宋_GB2312"/>
          <w:bCs/>
          <w:szCs w:val="32"/>
        </w:rPr>
        <w:t>表9：国有资本经营预算支出情况表</w:t>
      </w:r>
    </w:p>
    <w:p w14:paraId="6403DBA8">
      <w:pPr>
        <w:spacing w:before="435" w:beforeLines="100" w:after="435" w:afterLines="100" w:line="360" w:lineRule="exact"/>
        <w:ind w:firstLine="640" w:firstLineChars="200"/>
        <w:rPr>
          <w:rFonts w:ascii="仿宋_GB2312"/>
          <w:bCs/>
          <w:szCs w:val="32"/>
        </w:rPr>
      </w:pPr>
      <w:r>
        <w:rPr>
          <w:rFonts w:hint="eastAsia" w:ascii="仿宋_GB2312"/>
          <w:bCs/>
          <w:szCs w:val="32"/>
        </w:rPr>
        <w:t>表10：项目绩效目标公开表</w:t>
      </w:r>
    </w:p>
    <w:p w14:paraId="173E8A21">
      <w:pPr>
        <w:spacing w:before="435" w:beforeLines="100" w:after="435" w:afterLines="100" w:line="360" w:lineRule="exact"/>
        <w:ind w:firstLine="640" w:firstLineChars="200"/>
        <w:rPr>
          <w:rFonts w:ascii="仿宋_GB2312"/>
          <w:bCs/>
          <w:szCs w:val="32"/>
        </w:rPr>
      </w:pPr>
      <w:r>
        <w:rPr>
          <w:rFonts w:hint="eastAsia" w:ascii="仿宋_GB2312"/>
          <w:bCs/>
          <w:szCs w:val="32"/>
        </w:rPr>
        <w:t>（详见附表）</w:t>
      </w:r>
    </w:p>
    <w:sectPr>
      <w:footerReference r:id="rId3" w:type="default"/>
      <w:footerReference r:id="rId4" w:type="even"/>
      <w:pgSz w:w="11906" w:h="16838"/>
      <w:pgMar w:top="1361" w:right="1797" w:bottom="1361" w:left="1797" w:header="851" w:footer="737"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978862"/>
      <w:docPartObj>
        <w:docPartGallery w:val="AutoText"/>
      </w:docPartObj>
    </w:sdtPr>
    <w:sdtContent>
      <w:p w14:paraId="625900B7">
        <w:pPr>
          <w:pStyle w:val="4"/>
          <w:jc w:val="right"/>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11 -</w:t>
        </w:r>
        <w:r>
          <w:rPr>
            <w:sz w:val="32"/>
            <w:szCs w:val="32"/>
          </w:rPr>
          <w:fldChar w:fldCharType="end"/>
        </w:r>
      </w:p>
    </w:sdtContent>
  </w:sdt>
  <w:p w14:paraId="2ADC1927">
    <w:pPr>
      <w:pStyle w:val="4"/>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0A9E">
    <w:pPr>
      <w:pStyle w:val="4"/>
    </w:pPr>
  </w:p>
  <w:sdt>
    <w:sdtPr>
      <w:rPr>
        <w:sz w:val="18"/>
        <w:szCs w:val="18"/>
      </w:rPr>
      <w:id w:val="-1777628096"/>
      <w:docPartObj>
        <w:docPartGallery w:val="AutoText"/>
      </w:docPartObj>
    </w:sdtPr>
    <w:sdtEndPr>
      <w:rPr>
        <w:sz w:val="18"/>
        <w:szCs w:val="18"/>
      </w:rPr>
    </w:sdtEndPr>
    <w:sdtContent>
      <w:p w14:paraId="5ADEF283">
        <w:pPr>
          <w:tabs>
            <w:tab w:val="center" w:pos="4153"/>
            <w:tab w:val="right" w:pos="8306"/>
          </w:tabs>
          <w:snapToGrid w:val="0"/>
          <w:jc w:val="left"/>
          <w:rPr>
            <w:sz w:val="18"/>
            <w:szCs w:val="18"/>
          </w:rPr>
        </w:pPr>
        <w:r>
          <w:rPr>
            <w:szCs w:val="32"/>
          </w:rPr>
          <w:fldChar w:fldCharType="begin"/>
        </w:r>
        <w:r>
          <w:rPr>
            <w:szCs w:val="32"/>
          </w:rPr>
          <w:instrText xml:space="preserve">PAGE   \* MERGEFORMAT</w:instrText>
        </w:r>
        <w:r>
          <w:rPr>
            <w:szCs w:val="32"/>
          </w:rPr>
          <w:fldChar w:fldCharType="separate"/>
        </w:r>
        <w:r>
          <w:rPr>
            <w:szCs w:val="32"/>
            <w:lang w:val="zh-CN"/>
          </w:rPr>
          <w:t>-</w:t>
        </w:r>
        <w:r>
          <w:rPr>
            <w:szCs w:val="32"/>
          </w:rPr>
          <w:t xml:space="preserve"> 10 -</w:t>
        </w:r>
        <w:r>
          <w:rPr>
            <w:szCs w:val="32"/>
          </w:rPr>
          <w:fldChar w:fldCharType="end"/>
        </w:r>
      </w:p>
    </w:sdtContent>
  </w:sdt>
  <w:p w14:paraId="2106BA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53"/>
    <w:rsid w:val="0000246B"/>
    <w:rsid w:val="00006F0F"/>
    <w:rsid w:val="00010148"/>
    <w:rsid w:val="000447A3"/>
    <w:rsid w:val="0006416F"/>
    <w:rsid w:val="0007362D"/>
    <w:rsid w:val="000825B9"/>
    <w:rsid w:val="000970BF"/>
    <w:rsid w:val="000C5BB2"/>
    <w:rsid w:val="000D019A"/>
    <w:rsid w:val="000D397B"/>
    <w:rsid w:val="000E5C3B"/>
    <w:rsid w:val="000E7B6C"/>
    <w:rsid w:val="000F78E3"/>
    <w:rsid w:val="001071F3"/>
    <w:rsid w:val="00126696"/>
    <w:rsid w:val="001374F9"/>
    <w:rsid w:val="001A6977"/>
    <w:rsid w:val="001D4B77"/>
    <w:rsid w:val="001F7DAB"/>
    <w:rsid w:val="00200E0A"/>
    <w:rsid w:val="00213CB9"/>
    <w:rsid w:val="002145F5"/>
    <w:rsid w:val="00216C84"/>
    <w:rsid w:val="002316D5"/>
    <w:rsid w:val="00244856"/>
    <w:rsid w:val="002569DC"/>
    <w:rsid w:val="00286B9F"/>
    <w:rsid w:val="002B5D67"/>
    <w:rsid w:val="002D3279"/>
    <w:rsid w:val="002E0BE8"/>
    <w:rsid w:val="002F772B"/>
    <w:rsid w:val="00321471"/>
    <w:rsid w:val="00321BCB"/>
    <w:rsid w:val="0032439B"/>
    <w:rsid w:val="00380D1F"/>
    <w:rsid w:val="00380D41"/>
    <w:rsid w:val="00385074"/>
    <w:rsid w:val="00387850"/>
    <w:rsid w:val="003A771E"/>
    <w:rsid w:val="003B24CE"/>
    <w:rsid w:val="003C693A"/>
    <w:rsid w:val="003D1723"/>
    <w:rsid w:val="003F3AE1"/>
    <w:rsid w:val="00412A93"/>
    <w:rsid w:val="0041738A"/>
    <w:rsid w:val="00424A8D"/>
    <w:rsid w:val="0043761F"/>
    <w:rsid w:val="00443E78"/>
    <w:rsid w:val="004669F0"/>
    <w:rsid w:val="00485BA2"/>
    <w:rsid w:val="00495E1D"/>
    <w:rsid w:val="004B6252"/>
    <w:rsid w:val="004B6B02"/>
    <w:rsid w:val="004B6E26"/>
    <w:rsid w:val="004C1F1E"/>
    <w:rsid w:val="004D77C3"/>
    <w:rsid w:val="004E1787"/>
    <w:rsid w:val="004F55AC"/>
    <w:rsid w:val="005617FD"/>
    <w:rsid w:val="00584ECE"/>
    <w:rsid w:val="005A3AFA"/>
    <w:rsid w:val="005A4B7B"/>
    <w:rsid w:val="005C4FD8"/>
    <w:rsid w:val="005D584E"/>
    <w:rsid w:val="005F01D9"/>
    <w:rsid w:val="005F6053"/>
    <w:rsid w:val="006008E1"/>
    <w:rsid w:val="006147F2"/>
    <w:rsid w:val="00614B31"/>
    <w:rsid w:val="00623E8E"/>
    <w:rsid w:val="00660D67"/>
    <w:rsid w:val="006623D6"/>
    <w:rsid w:val="006653B9"/>
    <w:rsid w:val="00666FE5"/>
    <w:rsid w:val="0067086F"/>
    <w:rsid w:val="0067542D"/>
    <w:rsid w:val="00682F37"/>
    <w:rsid w:val="006926CA"/>
    <w:rsid w:val="006B50A3"/>
    <w:rsid w:val="006C58B8"/>
    <w:rsid w:val="006F6D72"/>
    <w:rsid w:val="00706235"/>
    <w:rsid w:val="00713B55"/>
    <w:rsid w:val="00724A22"/>
    <w:rsid w:val="0074088C"/>
    <w:rsid w:val="00760B98"/>
    <w:rsid w:val="00761DA4"/>
    <w:rsid w:val="007648B2"/>
    <w:rsid w:val="00772A68"/>
    <w:rsid w:val="007846DF"/>
    <w:rsid w:val="007854BF"/>
    <w:rsid w:val="00793923"/>
    <w:rsid w:val="007A4990"/>
    <w:rsid w:val="007D3DC7"/>
    <w:rsid w:val="00800A52"/>
    <w:rsid w:val="00830F1B"/>
    <w:rsid w:val="00863BE0"/>
    <w:rsid w:val="00873C8E"/>
    <w:rsid w:val="00876A4A"/>
    <w:rsid w:val="00887F07"/>
    <w:rsid w:val="008C0519"/>
    <w:rsid w:val="008C3840"/>
    <w:rsid w:val="008F1E45"/>
    <w:rsid w:val="00910DB0"/>
    <w:rsid w:val="00914505"/>
    <w:rsid w:val="00921BBA"/>
    <w:rsid w:val="00926BEC"/>
    <w:rsid w:val="00954DEF"/>
    <w:rsid w:val="00955E7E"/>
    <w:rsid w:val="009770BC"/>
    <w:rsid w:val="009820FB"/>
    <w:rsid w:val="00993557"/>
    <w:rsid w:val="009A216A"/>
    <w:rsid w:val="009C1D2F"/>
    <w:rsid w:val="009D1482"/>
    <w:rsid w:val="009D1763"/>
    <w:rsid w:val="009E5329"/>
    <w:rsid w:val="009F3BFE"/>
    <w:rsid w:val="009F6342"/>
    <w:rsid w:val="00A059E1"/>
    <w:rsid w:val="00A11E25"/>
    <w:rsid w:val="00A12A35"/>
    <w:rsid w:val="00A253D5"/>
    <w:rsid w:val="00A341BE"/>
    <w:rsid w:val="00A35922"/>
    <w:rsid w:val="00A36146"/>
    <w:rsid w:val="00A4728A"/>
    <w:rsid w:val="00A54E46"/>
    <w:rsid w:val="00A82E65"/>
    <w:rsid w:val="00A901C9"/>
    <w:rsid w:val="00AC5061"/>
    <w:rsid w:val="00AD00AF"/>
    <w:rsid w:val="00AD2EE5"/>
    <w:rsid w:val="00AD4202"/>
    <w:rsid w:val="00AD593D"/>
    <w:rsid w:val="00B10B1A"/>
    <w:rsid w:val="00B31A7E"/>
    <w:rsid w:val="00B31DD8"/>
    <w:rsid w:val="00B474BD"/>
    <w:rsid w:val="00B92A44"/>
    <w:rsid w:val="00BB5288"/>
    <w:rsid w:val="00BB5370"/>
    <w:rsid w:val="00BC4527"/>
    <w:rsid w:val="00BC4A3C"/>
    <w:rsid w:val="00BC781C"/>
    <w:rsid w:val="00BD4345"/>
    <w:rsid w:val="00BD4E41"/>
    <w:rsid w:val="00BE357D"/>
    <w:rsid w:val="00BF1411"/>
    <w:rsid w:val="00BF52D6"/>
    <w:rsid w:val="00C022B2"/>
    <w:rsid w:val="00C07BC3"/>
    <w:rsid w:val="00C10EB7"/>
    <w:rsid w:val="00C11835"/>
    <w:rsid w:val="00C267E5"/>
    <w:rsid w:val="00C275C6"/>
    <w:rsid w:val="00C31167"/>
    <w:rsid w:val="00C41938"/>
    <w:rsid w:val="00C4680F"/>
    <w:rsid w:val="00C54883"/>
    <w:rsid w:val="00C54B06"/>
    <w:rsid w:val="00C618E9"/>
    <w:rsid w:val="00CA0719"/>
    <w:rsid w:val="00CA1C7F"/>
    <w:rsid w:val="00CC3356"/>
    <w:rsid w:val="00CD2970"/>
    <w:rsid w:val="00CE248A"/>
    <w:rsid w:val="00D0410A"/>
    <w:rsid w:val="00D13751"/>
    <w:rsid w:val="00D34CB7"/>
    <w:rsid w:val="00D406B7"/>
    <w:rsid w:val="00D5474A"/>
    <w:rsid w:val="00D60E3F"/>
    <w:rsid w:val="00D611D1"/>
    <w:rsid w:val="00D8283B"/>
    <w:rsid w:val="00D96DFB"/>
    <w:rsid w:val="00DB246F"/>
    <w:rsid w:val="00DC0F59"/>
    <w:rsid w:val="00DD2CFF"/>
    <w:rsid w:val="00DD38D0"/>
    <w:rsid w:val="00DD6C54"/>
    <w:rsid w:val="00E01332"/>
    <w:rsid w:val="00E13848"/>
    <w:rsid w:val="00E3213F"/>
    <w:rsid w:val="00E40570"/>
    <w:rsid w:val="00E53878"/>
    <w:rsid w:val="00E70E38"/>
    <w:rsid w:val="00E71322"/>
    <w:rsid w:val="00E913C5"/>
    <w:rsid w:val="00EA02C9"/>
    <w:rsid w:val="00EA1688"/>
    <w:rsid w:val="00EA461C"/>
    <w:rsid w:val="00EB333F"/>
    <w:rsid w:val="00EB694F"/>
    <w:rsid w:val="00EF33C5"/>
    <w:rsid w:val="00EF3F1A"/>
    <w:rsid w:val="00F13A21"/>
    <w:rsid w:val="00F26BF9"/>
    <w:rsid w:val="00F32879"/>
    <w:rsid w:val="00F542D1"/>
    <w:rsid w:val="00F67460"/>
    <w:rsid w:val="00F81FA5"/>
    <w:rsid w:val="00F8640E"/>
    <w:rsid w:val="00FA2412"/>
    <w:rsid w:val="00FA2A46"/>
    <w:rsid w:val="00FA313B"/>
    <w:rsid w:val="00FB608B"/>
    <w:rsid w:val="00FC1148"/>
    <w:rsid w:val="00FC25AB"/>
    <w:rsid w:val="00FF2F2E"/>
    <w:rsid w:val="00FF6763"/>
    <w:rsid w:val="15DD7808"/>
    <w:rsid w:val="21690C6D"/>
    <w:rsid w:val="2F0E7201"/>
    <w:rsid w:val="36190BE4"/>
    <w:rsid w:val="3D447593"/>
    <w:rsid w:val="4E3B534E"/>
    <w:rsid w:val="606543BF"/>
    <w:rsid w:val="6A3E1DEA"/>
    <w:rsid w:val="6DAE2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alloon Text"/>
    <w:basedOn w:val="1"/>
    <w:link w:val="12"/>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customStyle="1" w:styleId="10">
    <w:name w:val="页眉 字符"/>
    <w:basedOn w:val="8"/>
    <w:link w:val="5"/>
    <w:uiPriority w:val="99"/>
    <w:rPr>
      <w:rFonts w:ascii="Times New Roman" w:hAnsi="Times New Roman" w:eastAsia="仿宋_GB2312"/>
      <w:kern w:val="2"/>
      <w:sz w:val="18"/>
      <w:szCs w:val="18"/>
    </w:rPr>
  </w:style>
  <w:style w:type="character" w:customStyle="1" w:styleId="11">
    <w:name w:val="页脚 字符"/>
    <w:basedOn w:val="8"/>
    <w:link w:val="4"/>
    <w:uiPriority w:val="99"/>
    <w:rPr>
      <w:rFonts w:ascii="Times New Roman" w:hAnsi="Times New Roman" w:eastAsia="仿宋_GB2312"/>
      <w:kern w:val="2"/>
      <w:sz w:val="18"/>
      <w:szCs w:val="18"/>
    </w:rPr>
  </w:style>
  <w:style w:type="character" w:customStyle="1" w:styleId="12">
    <w:name w:val="批注框文本 字符"/>
    <w:basedOn w:val="8"/>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FD3AC13-8A98-4C68-B661-884328EE3E8F}">
  <ds:schemaRefs/>
</ds:datastoreItem>
</file>

<file path=docProps/app.xml><?xml version="1.0" encoding="utf-8"?>
<Properties xmlns="http://schemas.openxmlformats.org/officeDocument/2006/extended-properties" xmlns:vt="http://schemas.openxmlformats.org/officeDocument/2006/docPropsVTypes">
  <Template>Normal</Template>
  <Pages>10</Pages>
  <Words>4628</Words>
  <Characters>4978</Characters>
  <Lines>37</Lines>
  <Paragraphs>10</Paragraphs>
  <TotalTime>4</TotalTime>
  <ScaleCrop>false</ScaleCrop>
  <LinksUpToDate>false</LinksUpToDate>
  <CharactersWithSpaces>5011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2026-03-03T01:16:00Z</dcterms:created>
  <dc:creator>Administrator</dc:creator>
  <cp:lastModifiedBy>智吉</cp:lastModifiedBy>
  <cp:lastPrinted>2026-03-10T06:55:29Z</cp:lastPrinted>
  <dcterms:modified xsi:type="dcterms:W3CDTF">2026-03-10T06:58:01Z</dcterms:modified>
  <cp:revision>778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