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bCs/>
          <w:szCs w:val="32"/>
        </w:rPr>
      </w:pPr>
      <w:bookmarkStart w:id="0" w:name="_GoBack"/>
      <w:r>
        <w:rPr>
          <w:rFonts w:hint="eastAsia" w:ascii="黑体" w:hAnsi="宋体" w:eastAsia="黑体"/>
          <w:bCs/>
          <w:sz w:val="44"/>
          <w:szCs w:val="44"/>
          <w:highlight w:val="none"/>
          <w:lang w:eastAsia="zh-CN"/>
        </w:rPr>
        <w:t>柳州市柳江区财政预算绩效中心</w:t>
      </w:r>
      <w:r>
        <w:rPr>
          <w:rFonts w:hint="eastAsia" w:ascii="黑体" w:hAnsi="宋体" w:eastAsia="黑体"/>
          <w:bCs/>
          <w:sz w:val="44"/>
          <w:szCs w:val="44"/>
          <w:highlight w:val="none"/>
          <w:lang w:val="en-US" w:eastAsia="zh-CN"/>
        </w:rPr>
        <w:t>2026年</w:t>
      </w:r>
      <w:r>
        <w:rPr>
          <w:rFonts w:hint="eastAsia" w:ascii="黑体" w:hAnsi="宋体" w:eastAsia="黑体"/>
          <w:bCs/>
          <w:sz w:val="44"/>
          <w:szCs w:val="44"/>
          <w:highlight w:val="none"/>
          <w:lang w:eastAsia="zh-CN"/>
        </w:rPr>
        <w:t>单位</w:t>
      </w:r>
      <w:r>
        <w:rPr>
          <w:rFonts w:hint="eastAsia" w:ascii="黑体" w:hAnsi="宋体" w:eastAsia="黑体"/>
          <w:bCs/>
          <w:sz w:val="44"/>
          <w:szCs w:val="44"/>
          <w:highlight w:val="none"/>
        </w:rPr>
        <w:t>预算及“三公”经费预算公开说明</w:t>
      </w:r>
    </w:p>
    <w:bookmarkEnd w:id="0"/>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eastAsia="黑体"/>
          <w:szCs w:val="32"/>
          <w:lang w:eastAsia="zh-CN"/>
        </w:rPr>
        <w:t>柳州市柳江区财政预算绩效中心</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单位</w:t>
      </w:r>
      <w:r>
        <w:rPr>
          <w:rFonts w:hint="eastAsia" w:ascii="宋体" w:hAnsi="宋体" w:eastAsia="宋体" w:cs="宋体"/>
          <w:sz w:val="32"/>
          <w:szCs w:val="32"/>
          <w:highlight w:val="none"/>
        </w:rPr>
        <w:t>预算收支增减变化情况说明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二、单位收入总体情况说明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三、单位支出总体情况说明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四、财政拨款收支总体情况说明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五、一般公共预算支出情况说明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六、一般公共预算基本支出情况说明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七、一般公共预算“三公”经费支出情况说明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八、政府性基金预算支出情况说明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九、国有资本经营预算支出情况说明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十</w:t>
      </w:r>
      <w:r>
        <w:rPr>
          <w:rFonts w:hint="eastAsia" w:ascii="宋体" w:hAnsi="宋体" w:eastAsia="宋体" w:cs="宋体"/>
          <w:sz w:val="32"/>
          <w:szCs w:val="32"/>
          <w:highlight w:val="none"/>
          <w:lang w:eastAsia="zh-CN"/>
        </w:rPr>
        <w:t>、其他重要事项情况说明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（一）机关运行经费安排情况说明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（二）政府采购预算安排情况说明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（三）政府购买服务情况说明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（四）国有资产占用情况说明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（五）预算绩效目标情况说明</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bCs/>
          <w:szCs w:val="32"/>
          <w:lang w:eastAsia="zh-CN"/>
        </w:rPr>
        <w:t>柳州市柳江区财政预算绩效中心</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pPr>
        <w:rPr>
          <w:rFonts w:hint="eastAsia" w:ascii="黑体" w:hAnsi="宋体" w:eastAsia="黑体"/>
          <w:bCs/>
          <w:szCs w:val="32"/>
        </w:rPr>
      </w:pPr>
      <w:r>
        <w:rPr>
          <w:rFonts w:hint="eastAsia" w:ascii="黑体" w:hAnsi="宋体" w:eastAsia="黑体"/>
          <w:bCs/>
          <w:szCs w:val="32"/>
        </w:rPr>
        <w:br w:type="page"/>
      </w: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1．主要职能。</w:t>
      </w:r>
    </w:p>
    <w:p>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（一） 负责贯彻执行上级预算绩效管理政策，参与制定区本级预算绩效管理制度和实施办法。</w:t>
      </w:r>
    </w:p>
    <w:p>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（二）研究建立预算绩效管理机制和预算绩效评价体系。</w:t>
      </w:r>
    </w:p>
    <w:p>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（三） 负责承担财政政策、财政制度、财政支出结构和财政资金等预算绩效评价的事务性工作；</w:t>
      </w:r>
    </w:p>
    <w:p>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（四）负责区本级部门整体支出管理综合绩效评价的事务性工作；</w:t>
      </w:r>
    </w:p>
    <w:p>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（五）负责联系上级财政预算绩效管理部门，指导和督促各镇、各单位开展预算绩效管理工作。</w:t>
      </w:r>
    </w:p>
    <w:p>
      <w:pPr>
        <w:tabs>
          <w:tab w:val="center" w:pos="4475"/>
        </w:tabs>
        <w:spacing w:line="560" w:lineRule="exact"/>
        <w:ind w:firstLine="645"/>
        <w:rPr>
          <w:rFonts w:hint="eastAsia" w:ascii="仿宋_GB2312" w:hAnsi="宋体" w:cs="Times New Roman"/>
          <w:szCs w:val="32"/>
          <w:highlight w:val="none"/>
          <w:lang w:eastAsia="zh-CN"/>
        </w:rPr>
      </w:pPr>
      <w:r>
        <w:rPr>
          <w:rFonts w:hint="eastAsia" w:ascii="仿宋_GB2312" w:hAnsi="宋体" w:cs="Times New Roman"/>
          <w:szCs w:val="32"/>
          <w:highlight w:val="none"/>
          <w:lang w:eastAsia="zh-CN"/>
        </w:rPr>
        <w:t>（六）完成区委、区人民政府、区财政局交办的其他工作。</w:t>
      </w:r>
    </w:p>
    <w:p>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pPr>
        <w:spacing w:line="560" w:lineRule="exact"/>
        <w:ind w:firstLine="640" w:firstLineChars="200"/>
        <w:rPr>
          <w:rFonts w:hint="eastAsia" w:ascii="仿宋_GB2312" w:hAnsi="宋体"/>
          <w:szCs w:val="32"/>
          <w:lang w:val="en-US" w:eastAsia="zh-CN"/>
        </w:rPr>
      </w:pPr>
      <w:r>
        <w:rPr>
          <w:rFonts w:hint="eastAsia" w:ascii="仿宋_GB2312" w:hAnsi="宋体"/>
          <w:szCs w:val="32"/>
        </w:rPr>
        <w:t>单位内设机构</w:t>
      </w:r>
      <w:r>
        <w:rPr>
          <w:rFonts w:hint="eastAsia" w:ascii="仿宋_GB2312" w:hAnsi="宋体"/>
          <w:szCs w:val="32"/>
          <w:lang w:val="en-US" w:eastAsia="zh-CN"/>
        </w:rPr>
        <w:t>1个，为柳州市柳江区财政预算绩效中心，属于一类事业单位。</w:t>
      </w:r>
    </w:p>
    <w:p>
      <w:pPr>
        <w:rPr>
          <w:rFonts w:hint="eastAsia"/>
        </w:rPr>
      </w:pPr>
      <w:r>
        <w:rPr>
          <w:rFonts w:hint="eastAsia"/>
        </w:rPr>
        <w:br w:type="page"/>
      </w:r>
    </w:p>
    <w:p>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eastAsia="黑体"/>
          <w:szCs w:val="32"/>
          <w:lang w:eastAsia="zh-CN"/>
        </w:rPr>
        <w:t>柳州市柳江区财政预算绩效中心</w:t>
      </w:r>
      <w:r>
        <w:rPr>
          <w:rFonts w:hint="eastAsia" w:ascii="黑体" w:hAnsi="宋体" w:eastAsia="黑体"/>
          <w:szCs w:val="32"/>
          <w:lang w:eastAsia="zh-CN"/>
        </w:rPr>
        <w:t>2026年</w:t>
      </w:r>
      <w:r>
        <w:rPr>
          <w:rFonts w:hint="eastAsia" w:ascii="黑体" w:eastAsia="黑体"/>
          <w:szCs w:val="32"/>
        </w:rPr>
        <w:t>单位预算情况说明</w:t>
      </w:r>
    </w:p>
    <w:p>
      <w:pPr>
        <w:numPr>
          <w:ilvl w:val="0"/>
          <w:numId w:val="1"/>
        </w:numPr>
        <w:tabs>
          <w:tab w:val="center" w:pos="4475"/>
        </w:tabs>
        <w:spacing w:line="560" w:lineRule="exact"/>
        <w:ind w:firstLine="645"/>
        <w:rPr>
          <w:rFonts w:hint="eastAsia" w:ascii="黑体" w:eastAsia="黑体"/>
          <w:szCs w:val="32"/>
        </w:rPr>
      </w:pPr>
      <w:r>
        <w:rPr>
          <w:rFonts w:hint="eastAsia" w:ascii="黑体" w:eastAsia="黑体"/>
          <w:szCs w:val="32"/>
          <w:lang w:eastAsia="zh-CN"/>
        </w:rPr>
        <w:t>单位</w:t>
      </w:r>
      <w:r>
        <w:rPr>
          <w:rFonts w:hint="eastAsia" w:ascii="黑体" w:eastAsia="黑体"/>
          <w:szCs w:val="32"/>
        </w:rPr>
        <w:t>收支总体情况说明</w:t>
      </w:r>
    </w:p>
    <w:p>
      <w:pPr>
        <w:numPr>
          <w:ilvl w:val="0"/>
          <w:numId w:val="0"/>
        </w:numPr>
        <w:tabs>
          <w:tab w:val="center" w:pos="4475"/>
        </w:tabs>
        <w:spacing w:line="560" w:lineRule="exact"/>
        <w:rPr>
          <w:rFonts w:hint="eastAsia" w:ascii="仿宋_GB2312"/>
          <w:sz w:val="32"/>
          <w:szCs w:val="32"/>
          <w:highlight w:val="none"/>
          <w:lang w:val="en-US" w:eastAsia="zh-CN"/>
        </w:rPr>
      </w:pPr>
      <w:r>
        <w:rPr>
          <w:rFonts w:hint="eastAsia" w:ascii="仿宋_GB2312" w:hAnsi="宋体" w:cs="Times New Roman"/>
          <w:szCs w:val="32"/>
          <w:highlight w:val="none"/>
          <w:lang w:val="en-US" w:eastAsia="zh-CN"/>
        </w:rPr>
        <w:t xml:space="preserve">    </w:t>
      </w: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highlight w:val="none"/>
          <w:lang w:val="en-US" w:eastAsia="zh-CN"/>
        </w:rPr>
        <w:t>78.97</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总支出</w:t>
      </w:r>
      <w:r>
        <w:rPr>
          <w:rFonts w:hint="eastAsia" w:ascii="仿宋_GB2312"/>
          <w:sz w:val="32"/>
          <w:szCs w:val="32"/>
          <w:highlight w:val="none"/>
          <w:lang w:val="en-US" w:eastAsia="zh-CN"/>
        </w:rPr>
        <w:t>78.97</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（不含财政拨款上年未列支结转收支数）。</w:t>
      </w:r>
      <w:r>
        <w:rPr>
          <w:rFonts w:hint="eastAsia" w:ascii="仿宋_GB2312"/>
          <w:sz w:val="32"/>
          <w:szCs w:val="32"/>
          <w:highlight w:val="none"/>
          <w:lang w:eastAsia="zh-CN"/>
        </w:rPr>
        <w:t>总收入较上年增加</w:t>
      </w:r>
      <w:r>
        <w:rPr>
          <w:rFonts w:hint="eastAsia" w:ascii="仿宋_GB2312"/>
          <w:sz w:val="32"/>
          <w:szCs w:val="32"/>
          <w:highlight w:val="none"/>
          <w:lang w:val="en-US" w:eastAsia="zh-CN"/>
        </w:rPr>
        <w:t>15.17%，主要原因是</w:t>
      </w:r>
      <w:r>
        <w:rPr>
          <w:rFonts w:hint="default" w:ascii="Times New Roman" w:hAnsi="Times New Roman" w:eastAsia="仿宋_GB2312" w:cs="Times New Roman"/>
          <w:color w:val="auto"/>
          <w:kern w:val="0"/>
          <w:sz w:val="32"/>
          <w:szCs w:val="32"/>
          <w:highlight w:val="none"/>
        </w:rPr>
        <w:t>职工工资收入总额增加，本年度社会保险缴费基数、住房公积金缴存基数相应上调，导致社保及公积金支出较上年有所增长，故相应调增本年度</w:t>
      </w:r>
      <w:r>
        <w:rPr>
          <w:rFonts w:hint="eastAsia" w:cs="Times New Roman"/>
          <w:color w:val="auto"/>
          <w:kern w:val="0"/>
          <w:sz w:val="32"/>
          <w:szCs w:val="32"/>
          <w:highlight w:val="none"/>
          <w:lang w:eastAsia="zh-CN"/>
        </w:rPr>
        <w:t>收入</w:t>
      </w:r>
      <w:r>
        <w:rPr>
          <w:rFonts w:hint="default" w:ascii="Times New Roman" w:hAnsi="Times New Roman" w:eastAsia="仿宋_GB2312" w:cs="Times New Roman"/>
          <w:color w:val="auto"/>
          <w:kern w:val="0"/>
          <w:sz w:val="32"/>
          <w:szCs w:val="32"/>
          <w:highlight w:val="none"/>
        </w:rPr>
        <w:t>经费预算</w:t>
      </w:r>
      <w:r>
        <w:rPr>
          <w:rFonts w:hint="eastAsia" w:ascii="仿宋_GB2312"/>
          <w:sz w:val="32"/>
          <w:szCs w:val="32"/>
          <w:highlight w:val="none"/>
          <w:lang w:val="en-US" w:eastAsia="zh-CN"/>
        </w:rPr>
        <w:t>。总支出</w:t>
      </w:r>
      <w:r>
        <w:rPr>
          <w:rFonts w:hint="eastAsia" w:ascii="仿宋_GB2312"/>
          <w:sz w:val="32"/>
          <w:szCs w:val="32"/>
          <w:highlight w:val="none"/>
          <w:lang w:eastAsia="zh-CN"/>
        </w:rPr>
        <w:t>较上年增加</w:t>
      </w:r>
      <w:r>
        <w:rPr>
          <w:rFonts w:hint="eastAsia" w:ascii="仿宋_GB2312"/>
          <w:sz w:val="32"/>
          <w:szCs w:val="32"/>
          <w:highlight w:val="none"/>
          <w:lang w:val="en-US" w:eastAsia="zh-CN"/>
        </w:rPr>
        <w:t>15.17%，主要原因是</w:t>
      </w:r>
      <w:r>
        <w:rPr>
          <w:rFonts w:hint="default" w:ascii="Times New Roman" w:hAnsi="Times New Roman" w:eastAsia="仿宋_GB2312" w:cs="Times New Roman"/>
          <w:color w:val="auto"/>
          <w:kern w:val="0"/>
          <w:sz w:val="32"/>
          <w:szCs w:val="32"/>
          <w:highlight w:val="none"/>
        </w:rPr>
        <w:t>职工工资收入总额增加，本年度社会保险缴费基数、住房公积金缴存基数相应上调，导致社保及公积金支出较上年有所增长，故相应调增本年度</w:t>
      </w:r>
      <w:r>
        <w:rPr>
          <w:rFonts w:hint="eastAsia" w:cs="Times New Roman"/>
          <w:color w:val="auto"/>
          <w:kern w:val="0"/>
          <w:sz w:val="32"/>
          <w:szCs w:val="32"/>
          <w:highlight w:val="none"/>
          <w:lang w:eastAsia="zh-CN"/>
        </w:rPr>
        <w:t>支出</w:t>
      </w:r>
      <w:r>
        <w:rPr>
          <w:rFonts w:hint="default" w:ascii="Times New Roman" w:hAnsi="Times New Roman" w:eastAsia="仿宋_GB2312" w:cs="Times New Roman"/>
          <w:color w:val="auto"/>
          <w:kern w:val="0"/>
          <w:sz w:val="32"/>
          <w:szCs w:val="32"/>
          <w:highlight w:val="none"/>
        </w:rPr>
        <w:t>经费预算</w:t>
      </w:r>
      <w:r>
        <w:rPr>
          <w:rFonts w:hint="eastAsia" w:ascii="仿宋_GB2312"/>
          <w:sz w:val="32"/>
          <w:szCs w:val="32"/>
          <w:highlight w:val="none"/>
          <w:lang w:val="en-US"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rPr>
        <w:t>二、</w:t>
      </w:r>
      <w:r>
        <w:rPr>
          <w:rFonts w:hint="eastAsia" w:ascii="黑体" w:eastAsia="黑体"/>
          <w:szCs w:val="32"/>
          <w:lang w:eastAsia="zh-CN"/>
        </w:rPr>
        <w:t>单位</w:t>
      </w:r>
      <w:r>
        <w:rPr>
          <w:rFonts w:hint="eastAsia" w:ascii="黑体" w:eastAsia="黑体"/>
          <w:szCs w:val="32"/>
        </w:rPr>
        <w:t>收入总体情况说明</w:t>
      </w:r>
    </w:p>
    <w:p>
      <w:pPr>
        <w:tabs>
          <w:tab w:val="center" w:pos="4475"/>
        </w:tabs>
        <w:spacing w:line="560" w:lineRule="exact"/>
        <w:ind w:firstLine="645"/>
        <w:rPr>
          <w:rFonts w:hint="eastAsia" w:ascii="黑体" w:eastAsia="黑体"/>
          <w:szCs w:val="32"/>
          <w:highlight w:val="none"/>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highlight w:val="none"/>
          <w:lang w:val="en-US" w:eastAsia="zh-CN"/>
        </w:rPr>
        <w:t>78.97</w:t>
      </w:r>
      <w:r>
        <w:rPr>
          <w:rFonts w:hint="eastAsia" w:ascii="仿宋_GB2312" w:eastAsia="仿宋_GB2312"/>
          <w:sz w:val="32"/>
          <w:szCs w:val="32"/>
          <w:highlight w:val="none"/>
        </w:rPr>
        <w:t>万元</w:t>
      </w:r>
      <w:r>
        <w:rPr>
          <w:rFonts w:hint="eastAsia" w:ascii="仿宋_GB2312"/>
          <w:sz w:val="32"/>
          <w:szCs w:val="32"/>
          <w:highlight w:val="none"/>
          <w:lang w:eastAsia="zh-CN"/>
        </w:rPr>
        <w:t>，较上年增加</w:t>
      </w:r>
      <w:r>
        <w:rPr>
          <w:rFonts w:hint="eastAsia" w:ascii="仿宋_GB2312"/>
          <w:sz w:val="32"/>
          <w:szCs w:val="32"/>
          <w:highlight w:val="none"/>
          <w:lang w:val="en-US" w:eastAsia="zh-CN"/>
        </w:rPr>
        <w:t>15.17%，主要原因是</w:t>
      </w:r>
      <w:r>
        <w:rPr>
          <w:rFonts w:hint="default" w:ascii="Times New Roman" w:hAnsi="Times New Roman" w:eastAsia="仿宋_GB2312" w:cs="Times New Roman"/>
          <w:color w:val="auto"/>
          <w:kern w:val="0"/>
          <w:sz w:val="32"/>
          <w:szCs w:val="32"/>
          <w:highlight w:val="none"/>
        </w:rPr>
        <w:t>职工工资收入总额增加，本年度社会保险缴费基数、住房公积金缴存基数相应上调，导致社保及公积金支出较上年有所增长，故相应调增本年度</w:t>
      </w:r>
      <w:r>
        <w:rPr>
          <w:rFonts w:hint="eastAsia" w:cs="Times New Roman"/>
          <w:color w:val="auto"/>
          <w:kern w:val="0"/>
          <w:sz w:val="32"/>
          <w:szCs w:val="32"/>
          <w:highlight w:val="none"/>
          <w:lang w:eastAsia="zh-CN"/>
        </w:rPr>
        <w:t>收入</w:t>
      </w:r>
      <w:r>
        <w:rPr>
          <w:rFonts w:hint="default" w:ascii="Times New Roman" w:hAnsi="Times New Roman" w:eastAsia="仿宋_GB2312" w:cs="Times New Roman"/>
          <w:color w:val="auto"/>
          <w:kern w:val="0"/>
          <w:sz w:val="32"/>
          <w:szCs w:val="32"/>
          <w:highlight w:val="none"/>
        </w:rPr>
        <w:t>经费预算</w:t>
      </w:r>
      <w:r>
        <w:rPr>
          <w:rFonts w:hint="eastAsia" w:ascii="仿宋_GB2312"/>
          <w:sz w:val="32"/>
          <w:szCs w:val="32"/>
          <w:highlight w:val="none"/>
          <w:lang w:val="en-US"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rPr>
        <w:t>三、</w:t>
      </w:r>
      <w:r>
        <w:rPr>
          <w:rFonts w:hint="eastAsia" w:ascii="黑体" w:eastAsia="黑体"/>
          <w:szCs w:val="32"/>
          <w:lang w:eastAsia="zh-CN"/>
        </w:rPr>
        <w:t>单位</w:t>
      </w:r>
      <w:r>
        <w:rPr>
          <w:rFonts w:hint="eastAsia" w:ascii="黑体" w:eastAsia="黑体"/>
          <w:szCs w:val="32"/>
        </w:rPr>
        <w:t>支出总体情况说明</w:t>
      </w:r>
    </w:p>
    <w:p>
      <w:pPr>
        <w:tabs>
          <w:tab w:val="center" w:pos="4475"/>
        </w:tabs>
        <w:spacing w:line="560" w:lineRule="exact"/>
        <w:ind w:firstLine="645"/>
        <w:rPr>
          <w:rFonts w:hint="eastAsia"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highlight w:val="none"/>
          <w:lang w:val="en-US" w:eastAsia="zh-CN"/>
        </w:rPr>
        <w:t>78.97</w:t>
      </w:r>
      <w:r>
        <w:rPr>
          <w:rFonts w:hint="eastAsia" w:ascii="仿宋_GB2312" w:eastAsia="仿宋_GB2312"/>
          <w:sz w:val="32"/>
          <w:szCs w:val="32"/>
          <w:highlight w:val="none"/>
        </w:rPr>
        <w:t>万元</w:t>
      </w:r>
      <w:r>
        <w:rPr>
          <w:rFonts w:hint="eastAsia" w:ascii="仿宋_GB2312"/>
          <w:sz w:val="32"/>
          <w:szCs w:val="32"/>
          <w:highlight w:val="none"/>
          <w:lang w:eastAsia="zh-CN"/>
        </w:rPr>
        <w:t>，较上年增加</w:t>
      </w:r>
      <w:r>
        <w:rPr>
          <w:rFonts w:hint="eastAsia" w:ascii="仿宋_GB2312"/>
          <w:sz w:val="32"/>
          <w:szCs w:val="32"/>
          <w:highlight w:val="none"/>
          <w:lang w:val="en-US" w:eastAsia="zh-CN"/>
        </w:rPr>
        <w:t>15.17%</w:t>
      </w:r>
      <w:r>
        <w:rPr>
          <w:rFonts w:hint="eastAsia" w:ascii="仿宋_GB2312"/>
          <w:sz w:val="32"/>
          <w:szCs w:val="32"/>
          <w:lang w:val="en-US" w:eastAsia="zh-CN"/>
        </w:rPr>
        <w:t>，主要原</w:t>
      </w:r>
      <w:r>
        <w:rPr>
          <w:rFonts w:hint="eastAsia" w:ascii="仿宋_GB2312"/>
          <w:sz w:val="32"/>
          <w:szCs w:val="32"/>
          <w:highlight w:val="none"/>
          <w:lang w:val="en-US" w:eastAsia="zh-CN"/>
        </w:rPr>
        <w:t>因是</w:t>
      </w:r>
      <w:r>
        <w:rPr>
          <w:rFonts w:hint="default" w:ascii="Times New Roman" w:hAnsi="Times New Roman" w:eastAsia="仿宋_GB2312" w:cs="Times New Roman"/>
          <w:color w:val="auto"/>
          <w:kern w:val="0"/>
          <w:sz w:val="32"/>
          <w:szCs w:val="32"/>
          <w:highlight w:val="none"/>
        </w:rPr>
        <w:t>职工工资收入总额增加，本年度社会保险缴费基数、住房公积金缴存基数相应上调，导致社保及公积金支出较上年有所增长，故相应调增本年度</w:t>
      </w:r>
      <w:r>
        <w:rPr>
          <w:rFonts w:hint="eastAsia" w:cs="Times New Roman"/>
          <w:color w:val="auto"/>
          <w:kern w:val="0"/>
          <w:sz w:val="32"/>
          <w:szCs w:val="32"/>
          <w:highlight w:val="none"/>
          <w:lang w:eastAsia="zh-CN"/>
        </w:rPr>
        <w:t>支出</w:t>
      </w:r>
      <w:r>
        <w:rPr>
          <w:rFonts w:hint="default" w:ascii="Times New Roman" w:hAnsi="Times New Roman" w:eastAsia="仿宋_GB2312" w:cs="Times New Roman"/>
          <w:color w:val="auto"/>
          <w:kern w:val="0"/>
          <w:sz w:val="32"/>
          <w:szCs w:val="32"/>
          <w:highlight w:val="none"/>
        </w:rPr>
        <w:t>经费预算</w:t>
      </w:r>
      <w:r>
        <w:rPr>
          <w:rFonts w:hint="eastAsia" w:ascii="仿宋_GB2312"/>
          <w:sz w:val="32"/>
          <w:szCs w:val="32"/>
          <w:highlight w:val="none"/>
          <w:lang w:val="en-US" w:eastAsia="zh-CN"/>
        </w:rPr>
        <w:t>。主要包括：1.基本支出78.97</w:t>
      </w:r>
      <w:r>
        <w:rPr>
          <w:rFonts w:hint="eastAsia" w:ascii="仿宋_GB2312"/>
          <w:sz w:val="32"/>
          <w:szCs w:val="32"/>
          <w:lang w:val="en-US" w:eastAsia="zh-CN"/>
        </w:rPr>
        <w:t>万元，占总支出的100.00%；2.项目支出0.00万元，占总支出的0.00%。</w:t>
      </w:r>
    </w:p>
    <w:p>
      <w:pPr>
        <w:numPr>
          <w:ilvl w:val="0"/>
          <w:numId w:val="2"/>
        </w:numPr>
        <w:tabs>
          <w:tab w:val="center" w:pos="4475"/>
        </w:tabs>
        <w:spacing w:line="560" w:lineRule="exact"/>
        <w:ind w:firstLine="645"/>
        <w:rPr>
          <w:rFonts w:hint="eastAsia" w:ascii="黑体" w:hAnsi="Times New Roman" w:eastAsia="黑体" w:cs="Times New Roman"/>
          <w:szCs w:val="32"/>
          <w:lang w:val="en-US" w:eastAsia="zh-CN"/>
        </w:rPr>
      </w:pPr>
      <w:r>
        <w:rPr>
          <w:rFonts w:hint="eastAsia" w:ascii="黑体" w:hAnsi="Times New Roman" w:eastAsia="黑体" w:cs="Times New Roman"/>
          <w:szCs w:val="32"/>
          <w:lang w:val="en-US" w:eastAsia="zh-CN"/>
        </w:rPr>
        <w:t>财政拨款收支总体情况说明</w:t>
      </w:r>
    </w:p>
    <w:p>
      <w:pPr>
        <w:tabs>
          <w:tab w:val="center" w:pos="4475"/>
        </w:tabs>
        <w:spacing w:line="560" w:lineRule="exact"/>
        <w:ind w:firstLine="645"/>
        <w:rPr>
          <w:rFonts w:hint="eastAsia" w:ascii="仿宋_GB2312" w:eastAsia="仿宋_GB2312"/>
          <w:sz w:val="32"/>
          <w:szCs w:val="32"/>
          <w:highlight w:val="none"/>
          <w:lang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val="en-US" w:eastAsia="zh-CN"/>
        </w:rPr>
        <w:t>78.97</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78.97</w:t>
      </w:r>
      <w:r>
        <w:rPr>
          <w:rFonts w:hint="eastAsia" w:ascii="仿宋_GB2312" w:eastAsia="仿宋_GB2312"/>
          <w:sz w:val="32"/>
          <w:szCs w:val="32"/>
          <w:lang w:val="en-US" w:eastAsia="zh-CN"/>
        </w:rPr>
        <w:t>万元</w:t>
      </w:r>
      <w:r>
        <w:rPr>
          <w:rFonts w:hint="eastAsia" w:ascii="仿宋_GB2312" w:eastAsia="仿宋_GB2312"/>
          <w:sz w:val="32"/>
          <w:szCs w:val="32"/>
          <w:highlight w:val="none"/>
          <w:lang w:eastAsia="zh-CN"/>
        </w:rPr>
        <w:t>（不含财政拨款上年未列支结转收支数）</w:t>
      </w:r>
      <w:r>
        <w:rPr>
          <w:rFonts w:hint="eastAsia" w:ascii="仿宋_GB2312"/>
          <w:sz w:val="32"/>
          <w:szCs w:val="32"/>
          <w:highlight w:val="none"/>
          <w:lang w:eastAsia="zh-CN"/>
        </w:rPr>
        <w:t>。</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eastAsia="zh-CN"/>
        </w:rPr>
        <w:t>较上年</w:t>
      </w:r>
      <w:r>
        <w:rPr>
          <w:rFonts w:hint="eastAsia" w:ascii="仿宋_GB2312"/>
          <w:sz w:val="32"/>
          <w:szCs w:val="32"/>
          <w:highlight w:val="none"/>
          <w:lang w:eastAsia="zh-CN"/>
        </w:rPr>
        <w:t>增加</w:t>
      </w:r>
      <w:r>
        <w:rPr>
          <w:rFonts w:hint="eastAsia" w:ascii="仿宋_GB2312"/>
          <w:sz w:val="32"/>
          <w:szCs w:val="32"/>
          <w:highlight w:val="none"/>
          <w:lang w:val="en-US" w:eastAsia="zh-CN"/>
        </w:rPr>
        <w:t>15.17</w:t>
      </w:r>
      <w:r>
        <w:rPr>
          <w:rFonts w:hint="eastAsia" w:ascii="仿宋_GB2312"/>
          <w:sz w:val="32"/>
          <w:szCs w:val="32"/>
          <w:lang w:val="en-US" w:eastAsia="zh-CN"/>
        </w:rPr>
        <w:t>%，</w:t>
      </w:r>
      <w:r>
        <w:rPr>
          <w:rFonts w:hint="eastAsia" w:ascii="仿宋_GB2312"/>
          <w:sz w:val="32"/>
          <w:szCs w:val="32"/>
          <w:highlight w:val="none"/>
          <w:lang w:val="en-US" w:eastAsia="zh-CN"/>
        </w:rPr>
        <w:t>主要原因是</w:t>
      </w:r>
      <w:r>
        <w:rPr>
          <w:rFonts w:hint="default" w:ascii="Times New Roman" w:hAnsi="Times New Roman" w:eastAsia="仿宋_GB2312" w:cs="Times New Roman"/>
          <w:color w:val="auto"/>
          <w:kern w:val="0"/>
          <w:sz w:val="32"/>
          <w:szCs w:val="32"/>
          <w:highlight w:val="none"/>
        </w:rPr>
        <w:t>职工工资收入总额增加，本年度社会保险缴费基数、住房公积金缴存基数相应上调，导致社保及公积金支出较上年有所增长，故相应调增本年度</w:t>
      </w:r>
      <w:r>
        <w:rPr>
          <w:rFonts w:hint="eastAsia" w:cs="Times New Roman"/>
          <w:color w:val="auto"/>
          <w:kern w:val="0"/>
          <w:sz w:val="32"/>
          <w:szCs w:val="32"/>
          <w:highlight w:val="none"/>
          <w:lang w:eastAsia="zh-CN"/>
        </w:rPr>
        <w:t>收入</w:t>
      </w:r>
      <w:r>
        <w:rPr>
          <w:rFonts w:hint="default" w:ascii="Times New Roman" w:hAnsi="Times New Roman" w:eastAsia="仿宋_GB2312" w:cs="Times New Roman"/>
          <w:color w:val="auto"/>
          <w:kern w:val="0"/>
          <w:sz w:val="32"/>
          <w:szCs w:val="32"/>
          <w:highlight w:val="none"/>
        </w:rPr>
        <w:t>经费预算</w:t>
      </w:r>
      <w:r>
        <w:rPr>
          <w:rFonts w:hint="eastAsia" w:ascii="仿宋_GB2312"/>
          <w:sz w:val="32"/>
          <w:szCs w:val="32"/>
          <w:highlight w:val="none"/>
          <w:lang w:val="en-US" w:eastAsia="zh-CN"/>
        </w:rPr>
        <w:t>。</w:t>
      </w:r>
      <w:r>
        <w:rPr>
          <w:rFonts w:hint="eastAsia" w:ascii="仿宋_GB2312" w:eastAsia="仿宋_GB2312"/>
          <w:sz w:val="32"/>
          <w:szCs w:val="32"/>
          <w:highlight w:val="none"/>
        </w:rPr>
        <w:t>财政拨款</w:t>
      </w:r>
      <w:r>
        <w:rPr>
          <w:rFonts w:hint="eastAsia" w:ascii="仿宋_GB2312"/>
          <w:sz w:val="32"/>
          <w:szCs w:val="32"/>
          <w:highlight w:val="none"/>
          <w:lang w:val="en-US" w:eastAsia="zh-CN"/>
        </w:rPr>
        <w:t>总支出</w:t>
      </w:r>
      <w:r>
        <w:rPr>
          <w:rFonts w:hint="eastAsia" w:ascii="仿宋_GB2312"/>
          <w:sz w:val="32"/>
          <w:szCs w:val="32"/>
          <w:highlight w:val="none"/>
          <w:lang w:eastAsia="zh-CN"/>
        </w:rPr>
        <w:t>较上年增加</w:t>
      </w:r>
      <w:r>
        <w:rPr>
          <w:rFonts w:hint="eastAsia" w:ascii="仿宋_GB2312"/>
          <w:sz w:val="32"/>
          <w:szCs w:val="32"/>
          <w:highlight w:val="none"/>
          <w:lang w:val="en-US" w:eastAsia="zh-CN"/>
        </w:rPr>
        <w:t>15.17%，主要原因是</w:t>
      </w:r>
      <w:r>
        <w:rPr>
          <w:rFonts w:hint="default" w:ascii="Times New Roman" w:hAnsi="Times New Roman" w:eastAsia="仿宋_GB2312" w:cs="Times New Roman"/>
          <w:color w:val="auto"/>
          <w:kern w:val="0"/>
          <w:sz w:val="32"/>
          <w:szCs w:val="32"/>
          <w:highlight w:val="none"/>
        </w:rPr>
        <w:t>职工工资收入总额增加，本年度社会保险缴费基数、住房公积金缴存基数相应上调，导致社保及公积金支出较上年有所增长，故相应调增本年度相关</w:t>
      </w:r>
      <w:r>
        <w:rPr>
          <w:rFonts w:hint="eastAsia" w:cs="Times New Roman"/>
          <w:color w:val="auto"/>
          <w:kern w:val="0"/>
          <w:sz w:val="32"/>
          <w:szCs w:val="32"/>
          <w:highlight w:val="none"/>
          <w:lang w:eastAsia="zh-CN"/>
        </w:rPr>
        <w:t>收入</w:t>
      </w:r>
      <w:r>
        <w:rPr>
          <w:rFonts w:hint="default" w:ascii="Times New Roman" w:hAnsi="Times New Roman" w:eastAsia="仿宋_GB2312" w:cs="Times New Roman"/>
          <w:color w:val="auto"/>
          <w:kern w:val="0"/>
          <w:sz w:val="32"/>
          <w:szCs w:val="32"/>
          <w:highlight w:val="none"/>
        </w:rPr>
        <w:t>经费预算</w:t>
      </w:r>
      <w:r>
        <w:rPr>
          <w:rFonts w:hint="eastAsia" w:ascii="仿宋_GB2312"/>
          <w:sz w:val="32"/>
          <w:szCs w:val="32"/>
          <w:highlight w:val="none"/>
          <w:lang w:val="en-US" w:eastAsia="zh-CN"/>
        </w:rPr>
        <w:t>。</w:t>
      </w:r>
    </w:p>
    <w:p>
      <w:pPr>
        <w:numPr>
          <w:ilvl w:val="0"/>
          <w:numId w:val="2"/>
        </w:numPr>
        <w:tabs>
          <w:tab w:val="center" w:pos="4475"/>
        </w:tabs>
        <w:spacing w:line="560" w:lineRule="exact"/>
        <w:ind w:left="0" w:leftChars="0" w:firstLine="645" w:firstLineChars="0"/>
        <w:rPr>
          <w:rFonts w:hint="eastAsia" w:ascii="黑体" w:hAnsi="Times New Roman" w:eastAsia="黑体" w:cs="Times New Roman"/>
          <w:szCs w:val="32"/>
          <w:highlight w:val="none"/>
          <w:lang w:eastAsia="zh-CN"/>
        </w:rPr>
      </w:pPr>
      <w:r>
        <w:rPr>
          <w:rFonts w:hint="eastAsia" w:ascii="黑体" w:hAnsi="Times New Roman" w:eastAsia="黑体" w:cs="Times New Roman"/>
          <w:szCs w:val="32"/>
          <w:highlight w:val="none"/>
          <w:lang w:eastAsia="zh-CN"/>
        </w:rPr>
        <w:t>一般公共预算支出情况说明</w:t>
      </w:r>
    </w:p>
    <w:p>
      <w:pPr>
        <w:tabs>
          <w:tab w:val="center" w:pos="4475"/>
        </w:tabs>
        <w:spacing w:line="560" w:lineRule="exact"/>
        <w:ind w:firstLine="645"/>
        <w:rPr>
          <w:rFonts w:hint="eastAsia" w:ascii="仿宋_GB2312"/>
          <w:sz w:val="32"/>
          <w:szCs w:val="32"/>
          <w:lang w:eastAsia="zh-CN"/>
        </w:rPr>
      </w:pPr>
      <w:r>
        <w:rPr>
          <w:rFonts w:hint="eastAsia" w:ascii="仿宋_GB2312"/>
          <w:sz w:val="32"/>
          <w:szCs w:val="32"/>
          <w:highlight w:val="none"/>
          <w:lang w:eastAsia="zh-CN"/>
        </w:rPr>
        <w:t>我单位</w:t>
      </w:r>
      <w:r>
        <w:rPr>
          <w:rFonts w:hint="eastAsia" w:ascii="仿宋_GB2312" w:eastAsia="仿宋_GB2312"/>
          <w:sz w:val="32"/>
          <w:szCs w:val="32"/>
          <w:highlight w:val="none"/>
        </w:rPr>
        <w:t>一般公共预算支出</w:t>
      </w:r>
      <w:r>
        <w:rPr>
          <w:rFonts w:hint="eastAsia" w:ascii="仿宋_GB2312" w:eastAsia="仿宋_GB2312"/>
          <w:sz w:val="32"/>
          <w:szCs w:val="32"/>
          <w:highlight w:val="none"/>
          <w:lang w:eastAsia="zh-CN"/>
        </w:rPr>
        <w:t>共</w:t>
      </w:r>
      <w:r>
        <w:rPr>
          <w:rFonts w:hint="eastAsia" w:ascii="仿宋_GB2312"/>
          <w:sz w:val="32"/>
          <w:szCs w:val="32"/>
          <w:highlight w:val="none"/>
          <w:lang w:val="en-US" w:eastAsia="zh-CN"/>
        </w:rPr>
        <w:t>78.97</w:t>
      </w:r>
      <w:r>
        <w:rPr>
          <w:rFonts w:hint="eastAsia" w:ascii="仿宋_GB2312" w:eastAsia="仿宋_GB2312"/>
          <w:sz w:val="32"/>
          <w:szCs w:val="32"/>
          <w:highlight w:val="none"/>
        </w:rPr>
        <w:t>万元，</w:t>
      </w:r>
      <w:r>
        <w:rPr>
          <w:rFonts w:hint="eastAsia" w:ascii="仿宋_GB2312"/>
          <w:sz w:val="32"/>
          <w:szCs w:val="32"/>
          <w:highlight w:val="none"/>
          <w:lang w:eastAsia="zh-CN"/>
        </w:rPr>
        <w:t>较上年增加</w:t>
      </w:r>
      <w:r>
        <w:rPr>
          <w:rFonts w:hint="eastAsia" w:ascii="仿宋_GB2312"/>
          <w:sz w:val="32"/>
          <w:szCs w:val="32"/>
          <w:highlight w:val="none"/>
          <w:lang w:val="en-US" w:eastAsia="zh-CN"/>
        </w:rPr>
        <w:t>15.17%，主要原因是</w:t>
      </w:r>
      <w:r>
        <w:rPr>
          <w:rFonts w:hint="default" w:ascii="Times New Roman" w:hAnsi="Times New Roman" w:eastAsia="仿宋_GB2312" w:cs="Times New Roman"/>
          <w:color w:val="auto"/>
          <w:kern w:val="0"/>
          <w:sz w:val="32"/>
          <w:szCs w:val="32"/>
          <w:highlight w:val="none"/>
        </w:rPr>
        <w:t>职工工资收入总额增加，本年度社会保险缴费基数、住房公积金缴存基数相应上调，导致社保及公积金支出较上年有所增长，故相应调增本年度相关</w:t>
      </w:r>
      <w:r>
        <w:rPr>
          <w:rFonts w:hint="eastAsia" w:cs="Times New Roman"/>
          <w:color w:val="auto"/>
          <w:kern w:val="0"/>
          <w:sz w:val="32"/>
          <w:szCs w:val="32"/>
          <w:highlight w:val="none"/>
          <w:lang w:eastAsia="zh-CN"/>
        </w:rPr>
        <w:t>收入</w:t>
      </w:r>
      <w:r>
        <w:rPr>
          <w:rFonts w:hint="default" w:ascii="Times New Roman" w:hAnsi="Times New Roman" w:eastAsia="仿宋_GB2312" w:cs="Times New Roman"/>
          <w:color w:val="auto"/>
          <w:kern w:val="0"/>
          <w:sz w:val="32"/>
          <w:szCs w:val="32"/>
          <w:highlight w:val="none"/>
        </w:rPr>
        <w:t>经费预算</w:t>
      </w:r>
      <w:r>
        <w:rPr>
          <w:rFonts w:hint="eastAsia" w:ascii="仿宋_GB2312"/>
          <w:szCs w:val="32"/>
          <w:lang w:eastAsia="zh-CN"/>
        </w:rPr>
        <w:t>。</w:t>
      </w:r>
      <w:r>
        <w:rPr>
          <w:rFonts w:hint="eastAsia" w:ascii="仿宋_GB2312"/>
          <w:sz w:val="32"/>
          <w:szCs w:val="32"/>
          <w:lang w:eastAsia="zh-CN"/>
        </w:rPr>
        <w:t>具体情况为：</w:t>
      </w:r>
    </w:p>
    <w:p>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（1）一般公共服务类科目支出预算</w:t>
      </w:r>
      <w:r>
        <w:rPr>
          <w:rFonts w:hint="eastAsia" w:ascii="仿宋_GB2312" w:hAnsi="Times New Roman" w:cs="Times New Roman"/>
          <w:kern w:val="2"/>
          <w:sz w:val="32"/>
          <w:szCs w:val="32"/>
          <w:highlight w:val="none"/>
          <w:lang w:val="en-US" w:eastAsia="zh-CN"/>
        </w:rPr>
        <w:t>54.92</w:t>
      </w:r>
      <w:r>
        <w:rPr>
          <w:rFonts w:hint="eastAsia" w:ascii="仿宋_GB2312" w:hAnsi="Times New Roman" w:eastAsia="仿宋_GB2312" w:cs="Times New Roman"/>
          <w:kern w:val="2"/>
          <w:sz w:val="32"/>
          <w:szCs w:val="32"/>
          <w:highlight w:val="none"/>
        </w:rPr>
        <w:t>万元，占支出总预算</w:t>
      </w:r>
      <w:r>
        <w:rPr>
          <w:rFonts w:hint="eastAsia" w:ascii="仿宋_GB2312" w:hAnsi="Times New Roman" w:cs="Times New Roman"/>
          <w:kern w:val="2"/>
          <w:sz w:val="32"/>
          <w:szCs w:val="32"/>
          <w:highlight w:val="none"/>
          <w:lang w:val="en-US" w:eastAsia="zh-CN"/>
        </w:rPr>
        <w:t>69.55</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3.45</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6.70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主要原因是职工正常增资等</w:t>
      </w:r>
      <w:r>
        <w:rPr>
          <w:rFonts w:hint="eastAsia" w:ascii="仿宋_GB2312" w:hAnsi="Times New Roman" w:eastAsia="仿宋_GB2312" w:cs="Times New Roman"/>
          <w:kern w:val="2"/>
          <w:sz w:val="32"/>
          <w:szCs w:val="32"/>
          <w:highlight w:val="none"/>
        </w:rPr>
        <w:t>；</w:t>
      </w:r>
    </w:p>
    <w:p>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（2）社会保障和就业支出预算</w:t>
      </w:r>
      <w:r>
        <w:rPr>
          <w:rFonts w:hint="eastAsia" w:ascii="仿宋_GB2312" w:hAnsi="Times New Roman" w:cs="Times New Roman"/>
          <w:kern w:val="2"/>
          <w:sz w:val="32"/>
          <w:szCs w:val="32"/>
          <w:highlight w:val="none"/>
          <w:lang w:val="en-US" w:eastAsia="zh-CN"/>
        </w:rPr>
        <w:t>13.12</w:t>
      </w:r>
      <w:r>
        <w:rPr>
          <w:rFonts w:hint="eastAsia" w:ascii="仿宋_GB2312" w:hAnsi="Times New Roman" w:eastAsia="仿宋_GB2312" w:cs="Times New Roman"/>
          <w:kern w:val="2"/>
          <w:sz w:val="32"/>
          <w:szCs w:val="32"/>
          <w:highlight w:val="none"/>
        </w:rPr>
        <w:t>万元, 占支出总预算</w:t>
      </w:r>
      <w:r>
        <w:rPr>
          <w:rFonts w:hint="eastAsia" w:ascii="仿宋_GB2312" w:hAnsi="Times New Roman" w:cs="Times New Roman"/>
          <w:kern w:val="2"/>
          <w:sz w:val="32"/>
          <w:szCs w:val="32"/>
          <w:highlight w:val="none"/>
          <w:lang w:val="en-US" w:eastAsia="zh-CN"/>
        </w:rPr>
        <w:t>16.61</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3.77</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40.32</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主要原因是上年度</w:t>
      </w:r>
      <w:r>
        <w:rPr>
          <w:rFonts w:hint="default" w:ascii="Times New Roman" w:hAnsi="Times New Roman" w:eastAsia="仿宋_GB2312" w:cs="Times New Roman"/>
          <w:color w:val="auto"/>
          <w:kern w:val="0"/>
          <w:sz w:val="32"/>
          <w:szCs w:val="32"/>
          <w:highlight w:val="none"/>
        </w:rPr>
        <w:t>职工工资收入总额增加，</w:t>
      </w:r>
      <w:r>
        <w:rPr>
          <w:rFonts w:hint="eastAsia" w:ascii="Times New Roman" w:hAnsi="Times New Roman" w:cs="Times New Roman"/>
          <w:color w:val="auto"/>
          <w:kern w:val="0"/>
          <w:sz w:val="32"/>
          <w:szCs w:val="32"/>
          <w:highlight w:val="none"/>
          <w:lang w:eastAsia="zh-CN"/>
        </w:rPr>
        <w:t>导致</w:t>
      </w:r>
      <w:r>
        <w:rPr>
          <w:rFonts w:hint="default" w:ascii="Times New Roman" w:hAnsi="Times New Roman" w:eastAsia="仿宋_GB2312" w:cs="Times New Roman"/>
          <w:color w:val="auto"/>
          <w:kern w:val="0"/>
          <w:sz w:val="32"/>
          <w:szCs w:val="32"/>
          <w:highlight w:val="none"/>
        </w:rPr>
        <w:t>本年度社会保险缴费基数相应上调，社保支出较上年有所增长，故相应调增本年度相关经费预算</w:t>
      </w:r>
      <w:r>
        <w:rPr>
          <w:rFonts w:hint="eastAsia" w:ascii="仿宋_GB2312" w:hAnsi="Times New Roman" w:eastAsia="仿宋_GB2312" w:cs="Times New Roman"/>
          <w:kern w:val="2"/>
          <w:sz w:val="32"/>
          <w:szCs w:val="32"/>
          <w:highlight w:val="none"/>
        </w:rPr>
        <w:t>；</w:t>
      </w:r>
    </w:p>
    <w:p>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w:t>
      </w:r>
      <w:r>
        <w:rPr>
          <w:rFonts w:hint="eastAsia" w:ascii="仿宋_GB2312" w:hAnsi="Times New Roman" w:cs="Times New Roman"/>
          <w:kern w:val="2"/>
          <w:sz w:val="32"/>
          <w:szCs w:val="32"/>
          <w:highlight w:val="none"/>
          <w:lang w:val="en-US" w:eastAsia="zh-CN"/>
        </w:rPr>
        <w:t>3</w:t>
      </w:r>
      <w:r>
        <w:rPr>
          <w:rFonts w:hint="eastAsia" w:ascii="仿宋_GB2312" w:hAnsi="Times New Roman" w:eastAsia="仿宋_GB2312" w:cs="Times New Roman"/>
          <w:kern w:val="2"/>
          <w:sz w:val="32"/>
          <w:szCs w:val="32"/>
          <w:highlight w:val="none"/>
        </w:rPr>
        <w:t>）卫生健康支出预算</w:t>
      </w:r>
      <w:r>
        <w:rPr>
          <w:rFonts w:hint="eastAsia" w:ascii="仿宋_GB2312" w:hAnsi="Times New Roman" w:cs="Times New Roman"/>
          <w:kern w:val="2"/>
          <w:sz w:val="32"/>
          <w:szCs w:val="32"/>
          <w:highlight w:val="none"/>
          <w:lang w:val="en-US" w:eastAsia="zh-CN"/>
        </w:rPr>
        <w:t>4.36</w:t>
      </w:r>
      <w:r>
        <w:rPr>
          <w:rFonts w:hint="eastAsia" w:ascii="仿宋_GB2312" w:hAnsi="Times New Roman" w:eastAsia="仿宋_GB2312" w:cs="Times New Roman"/>
          <w:kern w:val="2"/>
          <w:sz w:val="32"/>
          <w:szCs w:val="32"/>
          <w:highlight w:val="none"/>
        </w:rPr>
        <w:t>万元, 占支出总预算</w:t>
      </w:r>
      <w:r>
        <w:rPr>
          <w:rFonts w:hint="eastAsia" w:ascii="仿宋_GB2312" w:hAnsi="Times New Roman" w:cs="Times New Roman"/>
          <w:kern w:val="2"/>
          <w:sz w:val="32"/>
          <w:szCs w:val="32"/>
          <w:highlight w:val="none"/>
          <w:lang w:val="en-US" w:eastAsia="zh-CN"/>
        </w:rPr>
        <w:t>5.52</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1.28</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41.56</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主要原因是上年度</w:t>
      </w:r>
      <w:r>
        <w:rPr>
          <w:rFonts w:hint="default" w:ascii="Times New Roman" w:hAnsi="Times New Roman" w:eastAsia="仿宋_GB2312" w:cs="Times New Roman"/>
          <w:color w:val="auto"/>
          <w:kern w:val="0"/>
          <w:sz w:val="32"/>
          <w:szCs w:val="32"/>
          <w:highlight w:val="none"/>
        </w:rPr>
        <w:t>职工工资收入总额增加，</w:t>
      </w:r>
      <w:r>
        <w:rPr>
          <w:rFonts w:hint="eastAsia" w:ascii="Times New Roman" w:hAnsi="Times New Roman" w:cs="Times New Roman"/>
          <w:color w:val="auto"/>
          <w:kern w:val="0"/>
          <w:sz w:val="32"/>
          <w:szCs w:val="32"/>
          <w:highlight w:val="none"/>
          <w:lang w:eastAsia="zh-CN"/>
        </w:rPr>
        <w:t>导致</w:t>
      </w:r>
      <w:r>
        <w:rPr>
          <w:rFonts w:hint="default" w:ascii="Times New Roman" w:hAnsi="Times New Roman" w:eastAsia="仿宋_GB2312" w:cs="Times New Roman"/>
          <w:color w:val="auto"/>
          <w:kern w:val="0"/>
          <w:sz w:val="32"/>
          <w:szCs w:val="32"/>
          <w:highlight w:val="none"/>
        </w:rPr>
        <w:t>本年度社会保险缴费基数相应上调，社保支出较上年有所增长，故相应调增本年度相关经费预算</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eastAsia" w:ascii="仿宋_GB2312" w:hAnsi="宋体" w:eastAsia="仿宋_GB2312" w:cs="Times New Roman"/>
          <w:sz w:val="32"/>
          <w:szCs w:val="32"/>
          <w:highlight w:val="none"/>
          <w:u w:val="single"/>
          <w:lang w:eastAsia="zh-CN"/>
        </w:rPr>
      </w:pPr>
      <w:r>
        <w:rPr>
          <w:rFonts w:hint="eastAsia" w:ascii="仿宋_GB2312" w:hAnsi="Times New Roman" w:eastAsia="仿宋_GB2312" w:cs="Times New Roman"/>
          <w:kern w:val="2"/>
          <w:sz w:val="32"/>
          <w:szCs w:val="32"/>
          <w:highlight w:val="none"/>
        </w:rPr>
        <w:t>（</w:t>
      </w:r>
      <w:r>
        <w:rPr>
          <w:rFonts w:hint="eastAsia" w:ascii="仿宋_GB2312" w:hAnsi="Times New Roman" w:cs="Times New Roman"/>
          <w:kern w:val="2"/>
          <w:sz w:val="32"/>
          <w:szCs w:val="32"/>
          <w:highlight w:val="none"/>
          <w:lang w:val="en-US" w:eastAsia="zh-CN"/>
        </w:rPr>
        <w:t>4</w:t>
      </w:r>
      <w:r>
        <w:rPr>
          <w:rFonts w:hint="eastAsia" w:ascii="仿宋_GB2312" w:hAnsi="Times New Roman" w:eastAsia="仿宋_GB2312" w:cs="Times New Roman"/>
          <w:kern w:val="2"/>
          <w:sz w:val="32"/>
          <w:szCs w:val="32"/>
          <w:highlight w:val="none"/>
        </w:rPr>
        <w:t>）住房保障支出预算</w:t>
      </w:r>
      <w:r>
        <w:rPr>
          <w:rFonts w:hint="eastAsia" w:ascii="仿宋_GB2312" w:cs="Times New Roman"/>
          <w:kern w:val="2"/>
          <w:sz w:val="32"/>
          <w:szCs w:val="32"/>
          <w:highlight w:val="none"/>
          <w:lang w:val="en-US" w:eastAsia="zh-CN"/>
        </w:rPr>
        <w:t>6.65</w:t>
      </w:r>
      <w:r>
        <w:rPr>
          <w:rFonts w:hint="eastAsia" w:ascii="仿宋_GB2312" w:hAnsi="Times New Roman" w:eastAsia="仿宋_GB2312" w:cs="Times New Roman"/>
          <w:kern w:val="2"/>
          <w:sz w:val="32"/>
          <w:szCs w:val="32"/>
          <w:highlight w:val="none"/>
        </w:rPr>
        <w:t>万元, 占支出总预算</w:t>
      </w:r>
      <w:r>
        <w:rPr>
          <w:rFonts w:hint="eastAsia" w:ascii="仿宋_GB2312" w:cs="Times New Roman"/>
          <w:kern w:val="2"/>
          <w:sz w:val="32"/>
          <w:szCs w:val="32"/>
          <w:highlight w:val="none"/>
          <w:lang w:val="en-US" w:eastAsia="zh-CN"/>
        </w:rPr>
        <w:t>8.42</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1.98</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42.40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主要原因上年度是</w:t>
      </w:r>
      <w:r>
        <w:rPr>
          <w:rFonts w:hint="default" w:ascii="Times New Roman" w:hAnsi="Times New Roman" w:eastAsia="仿宋_GB2312" w:cs="Times New Roman"/>
          <w:color w:val="auto"/>
          <w:kern w:val="0"/>
          <w:sz w:val="32"/>
          <w:szCs w:val="32"/>
          <w:highlight w:val="none"/>
        </w:rPr>
        <w:t>职工工资收入总额增加，本年度住房公积金缴存基数相应上调，导致公积金支出较上年有所增长，故相应调增本年度相关经费预算</w:t>
      </w:r>
      <w:r>
        <w:rPr>
          <w:rFonts w:hint="eastAsia" w:ascii="仿宋_GB2312"/>
          <w:szCs w:val="32"/>
          <w:lang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rPr>
        <w:t>六、一般公共预算基本支出情况说明</w:t>
      </w:r>
    </w:p>
    <w:p>
      <w:pPr>
        <w:tabs>
          <w:tab w:val="center" w:pos="4475"/>
        </w:tabs>
        <w:spacing w:line="560" w:lineRule="exact"/>
        <w:ind w:firstLine="645"/>
        <w:rPr>
          <w:rFonts w:hint="eastAsia" w:ascii="仿宋_GB2312"/>
          <w:sz w:val="32"/>
          <w:szCs w:val="32"/>
          <w:lang w:eastAsia="zh-CN"/>
        </w:rPr>
      </w:pPr>
      <w:r>
        <w:rPr>
          <w:rFonts w:hint="eastAsia" w:ascii="仿宋_GB2312"/>
          <w:sz w:val="32"/>
          <w:szCs w:val="32"/>
          <w:lang w:eastAsia="zh-CN"/>
        </w:rPr>
        <w:t>我单位</w:t>
      </w:r>
      <w:r>
        <w:rPr>
          <w:rFonts w:hint="eastAsia" w:ascii="仿宋_GB2312"/>
          <w:szCs w:val="32"/>
        </w:rPr>
        <w:t>一般公共预算基本支出</w:t>
      </w:r>
      <w:r>
        <w:rPr>
          <w:rFonts w:hint="eastAsia" w:ascii="仿宋_GB2312" w:eastAsia="仿宋_GB2312"/>
          <w:sz w:val="32"/>
          <w:szCs w:val="32"/>
          <w:lang w:eastAsia="zh-CN"/>
        </w:rPr>
        <w:t>共</w:t>
      </w:r>
      <w:r>
        <w:rPr>
          <w:rFonts w:hint="eastAsia" w:ascii="仿宋_GB2312"/>
          <w:sz w:val="32"/>
          <w:szCs w:val="32"/>
          <w:lang w:val="en-US" w:eastAsia="zh-CN"/>
        </w:rPr>
        <w:t>78.97</w:t>
      </w:r>
      <w:r>
        <w:rPr>
          <w:rFonts w:hint="eastAsia" w:ascii="仿宋_GB2312" w:eastAsia="仿宋_GB2312"/>
          <w:sz w:val="32"/>
          <w:szCs w:val="32"/>
        </w:rPr>
        <w:t>万元，</w:t>
      </w:r>
      <w:r>
        <w:rPr>
          <w:rFonts w:hint="eastAsia" w:ascii="仿宋_GB2312"/>
          <w:sz w:val="32"/>
          <w:szCs w:val="32"/>
          <w:lang w:eastAsia="zh-CN"/>
        </w:rPr>
        <w:t>较上年</w:t>
      </w:r>
      <w:r>
        <w:rPr>
          <w:rFonts w:hint="eastAsia" w:ascii="仿宋_GB2312"/>
          <w:sz w:val="32"/>
          <w:szCs w:val="32"/>
          <w:highlight w:val="none"/>
          <w:lang w:eastAsia="zh-CN"/>
        </w:rPr>
        <w:t>增加</w:t>
      </w:r>
      <w:r>
        <w:rPr>
          <w:rFonts w:hint="eastAsia" w:ascii="仿宋_GB2312"/>
          <w:sz w:val="32"/>
          <w:szCs w:val="32"/>
          <w:highlight w:val="none"/>
          <w:lang w:val="en-US" w:eastAsia="zh-CN"/>
        </w:rPr>
        <w:t>15.17</w:t>
      </w:r>
      <w:r>
        <w:rPr>
          <w:rFonts w:hint="eastAsia" w:ascii="仿宋_GB2312"/>
          <w:sz w:val="32"/>
          <w:szCs w:val="32"/>
          <w:lang w:val="en-US" w:eastAsia="zh-CN"/>
        </w:rPr>
        <w:t>%，</w:t>
      </w:r>
      <w:r>
        <w:rPr>
          <w:rFonts w:hint="eastAsia" w:ascii="仿宋_GB2312"/>
          <w:sz w:val="32"/>
          <w:szCs w:val="32"/>
          <w:highlight w:val="none"/>
          <w:lang w:val="en-US" w:eastAsia="zh-CN"/>
        </w:rPr>
        <w:t>主要原因是</w:t>
      </w:r>
      <w:r>
        <w:rPr>
          <w:rFonts w:hint="default" w:ascii="Times New Roman" w:hAnsi="Times New Roman" w:eastAsia="仿宋_GB2312" w:cs="Times New Roman"/>
          <w:color w:val="auto"/>
          <w:kern w:val="0"/>
          <w:sz w:val="32"/>
          <w:szCs w:val="32"/>
          <w:highlight w:val="none"/>
        </w:rPr>
        <w:t>职工工资收入总额增加，本年度社会保险缴费基数、住房公积金缴存基数相应上调，导致社保及公积金支出较上年有所增长，故相应调增本年度相关经费预算</w:t>
      </w:r>
      <w:r>
        <w:rPr>
          <w:rFonts w:hint="eastAsia" w:ascii="仿宋_GB2312"/>
          <w:szCs w:val="32"/>
          <w:lang w:eastAsia="zh-CN"/>
        </w:rPr>
        <w:t>。</w:t>
      </w:r>
      <w:r>
        <w:rPr>
          <w:rFonts w:hint="eastAsia" w:ascii="仿宋_GB2312"/>
          <w:sz w:val="32"/>
          <w:szCs w:val="32"/>
          <w:lang w:eastAsia="zh-CN"/>
        </w:rPr>
        <w:t>具体情况为：</w:t>
      </w:r>
    </w:p>
    <w:p>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-基本工资20.53万元，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2.90</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16.45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主要原因是职工正常增资</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highlight w:val="none"/>
          <w:lang w:eastAsia="zh-CN"/>
        </w:rPr>
        <w:t>工资福利支出</w:t>
      </w:r>
      <w:r>
        <w:rPr>
          <w:rFonts w:hint="eastAsia" w:ascii="仿宋_GB2312"/>
          <w:sz w:val="32"/>
          <w:szCs w:val="32"/>
          <w:highlight w:val="none"/>
          <w:lang w:val="en-US" w:eastAsia="zh-CN"/>
        </w:rPr>
        <w:t xml:space="preserve"> -津贴补贴10.86万元，</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0.00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与上年持平</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-奖金1.71万元，</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0.24</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16.45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主要原因是职工正常增资导致增长</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highlight w:val="none"/>
          <w:lang w:eastAsia="zh-CN"/>
        </w:rPr>
        <w:t>工资福利支出</w:t>
      </w:r>
      <w:r>
        <w:rPr>
          <w:rFonts w:hint="eastAsia" w:ascii="仿宋_GB2312"/>
          <w:sz w:val="32"/>
          <w:szCs w:val="32"/>
          <w:highlight w:val="none"/>
          <w:lang w:val="en-US" w:eastAsia="zh-CN"/>
        </w:rPr>
        <w:t xml:space="preserve"> -绩效工资12.49万元，</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0.00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与上年持平</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-机关事业单位基本养老保险缴费8.75万元，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2.52</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40.40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default" w:ascii="Times New Roman" w:hAnsi="Times New Roman" w:eastAsia="仿宋_GB2312" w:cs="Times New Roman"/>
          <w:color w:val="auto"/>
          <w:kern w:val="0"/>
          <w:sz w:val="32"/>
          <w:szCs w:val="32"/>
          <w:highlight w:val="none"/>
        </w:rPr>
        <w:t>职工工资收入总额增加，本年度社会保险缴费基数相应上调，导致社保支出较上年有所增长，故相应调增本年度相关经费预算</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-职业年金缴费4.37万元，</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1.26</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40.40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default" w:ascii="Times New Roman" w:hAnsi="Times New Roman" w:eastAsia="仿宋_GB2312" w:cs="Times New Roman"/>
          <w:color w:val="auto"/>
          <w:kern w:val="0"/>
          <w:sz w:val="32"/>
          <w:szCs w:val="32"/>
          <w:highlight w:val="none"/>
        </w:rPr>
        <w:t>职工工资收入总额增加，本年度社会保险缴费基数相应上调，导致社保支出较上年有所增长，故相应调增本年度相关经费预算</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-职工基本医疗保险缴费4.32万元，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1.28</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42.20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default" w:ascii="Times New Roman" w:hAnsi="Times New Roman" w:eastAsia="仿宋_GB2312" w:cs="Times New Roman"/>
          <w:color w:val="auto"/>
          <w:kern w:val="0"/>
          <w:sz w:val="32"/>
          <w:szCs w:val="32"/>
          <w:highlight w:val="none"/>
        </w:rPr>
        <w:t>职工工资收入总额增加，本年度社会保险缴费基数相应上调，导致社保支出较上年有所增长，故相应调增本年度相关经费预算</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-其他社会保障缴费0.43万元，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0.11</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34.87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default" w:ascii="Times New Roman" w:hAnsi="Times New Roman" w:eastAsia="仿宋_GB2312" w:cs="Times New Roman"/>
          <w:color w:val="auto"/>
          <w:kern w:val="0"/>
          <w:sz w:val="32"/>
          <w:szCs w:val="32"/>
          <w:highlight w:val="none"/>
        </w:rPr>
        <w:t>职工工资收入总额增加，本年度社会保险缴费基数相应上调，导致社保支出较上年有所增长，故相应调增本年度相关经费预算</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-住房公积金6.56万元，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1.89</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40.40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default" w:ascii="Times New Roman" w:hAnsi="Times New Roman" w:eastAsia="仿宋_GB2312" w:cs="Times New Roman"/>
          <w:color w:val="auto"/>
          <w:kern w:val="0"/>
          <w:sz w:val="32"/>
          <w:szCs w:val="32"/>
          <w:highlight w:val="none"/>
        </w:rPr>
        <w:t>职工工资收入总额增加，本年度住房公积金缴存基数相应上调，导致</w:t>
      </w:r>
      <w:r>
        <w:rPr>
          <w:rFonts w:hint="eastAsia" w:cs="Times New Roman"/>
          <w:color w:val="auto"/>
          <w:kern w:val="0"/>
          <w:sz w:val="32"/>
          <w:szCs w:val="32"/>
          <w:highlight w:val="none"/>
          <w:lang w:val="en-US" w:eastAsia="zh-CN"/>
        </w:rPr>
        <w:t>住房</w:t>
      </w:r>
      <w:r>
        <w:rPr>
          <w:rFonts w:hint="default" w:ascii="Times New Roman" w:hAnsi="Times New Roman" w:eastAsia="仿宋_GB2312" w:cs="Times New Roman"/>
          <w:color w:val="auto"/>
          <w:kern w:val="0"/>
          <w:sz w:val="32"/>
          <w:szCs w:val="32"/>
          <w:highlight w:val="none"/>
        </w:rPr>
        <w:t>公积金支出较上年有所增长，故相应调增本年度相关经费预算</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-办公费0.75万元，</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0.00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与上年持平</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-印刷费0.18万元，</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0.00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与上年持平</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-邮电费0.39万元，</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0.00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与上年持平</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-差旅费2.16万元，</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0.00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与上年持平</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-维修（护）费0.24万元，</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0.00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与上年持平</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-会议费0.12万元，</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0.00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与上年持平</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-培训费0.14万元，</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0.00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与上年持平</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-公务接待费0.14万元，</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0.00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与上年持平</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-工会经费0.99万元，</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0.21</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26.46</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w:t>
      </w:r>
      <w:r>
        <w:rPr>
          <w:rFonts w:hint="default" w:ascii="Times New Roman" w:hAnsi="Times New Roman" w:eastAsia="仿宋_GB2312" w:cs="Times New Roman"/>
          <w:color w:val="auto"/>
          <w:kern w:val="0"/>
          <w:sz w:val="32"/>
          <w:szCs w:val="32"/>
          <w:highlight w:val="none"/>
        </w:rPr>
        <w:t>职工工资收入总额增加，本年度</w:t>
      </w:r>
      <w:r>
        <w:rPr>
          <w:rFonts w:hint="eastAsia" w:cs="Times New Roman"/>
          <w:color w:val="auto"/>
          <w:kern w:val="0"/>
          <w:sz w:val="32"/>
          <w:szCs w:val="32"/>
          <w:highlight w:val="none"/>
          <w:lang w:eastAsia="zh-CN"/>
        </w:rPr>
        <w:t>应提取工会费</w:t>
      </w:r>
      <w:r>
        <w:rPr>
          <w:rFonts w:hint="default" w:ascii="Times New Roman" w:hAnsi="Times New Roman" w:eastAsia="仿宋_GB2312" w:cs="Times New Roman"/>
          <w:color w:val="auto"/>
          <w:kern w:val="0"/>
          <w:sz w:val="32"/>
          <w:szCs w:val="32"/>
          <w:highlight w:val="none"/>
        </w:rPr>
        <w:t>基数相应上调，故相应调增本年度相关经费预算</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eastAsia" w:ascii="仿宋_GB2312" w:eastAsia="仿宋_GB2312"/>
          <w:sz w:val="32"/>
          <w:szCs w:val="32"/>
          <w:highlight w:val="none"/>
          <w:lang w:val="en-US"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-其他商品和服务支出3.84万元，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0.18</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4.92</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default" w:ascii="Times New Roman" w:hAnsi="Times New Roman" w:eastAsia="仿宋_GB2312" w:cs="Times New Roman"/>
          <w:color w:val="auto"/>
          <w:kern w:val="0"/>
          <w:sz w:val="32"/>
          <w:szCs w:val="32"/>
          <w:highlight w:val="none"/>
        </w:rPr>
        <w:t>职工工资收入总额增加，本年度</w:t>
      </w:r>
      <w:r>
        <w:rPr>
          <w:rFonts w:hint="eastAsia" w:cs="Times New Roman"/>
          <w:color w:val="auto"/>
          <w:kern w:val="0"/>
          <w:sz w:val="32"/>
          <w:szCs w:val="32"/>
          <w:highlight w:val="none"/>
          <w:lang w:eastAsia="zh-CN"/>
        </w:rPr>
        <w:t>应提取相关</w:t>
      </w:r>
      <w:r>
        <w:rPr>
          <w:rFonts w:hint="default" w:ascii="Times New Roman" w:hAnsi="Times New Roman" w:eastAsia="仿宋_GB2312" w:cs="Times New Roman"/>
          <w:color w:val="auto"/>
          <w:kern w:val="0"/>
          <w:sz w:val="32"/>
          <w:szCs w:val="32"/>
          <w:highlight w:val="none"/>
        </w:rPr>
        <w:t>基数相应上调，故相应调增本年度相关经费预算</w:t>
      </w:r>
      <w:r>
        <w:rPr>
          <w:rFonts w:hint="eastAsia" w:ascii="仿宋_GB2312" w:cs="Times New Roman"/>
          <w:kern w:val="2"/>
          <w:sz w:val="32"/>
          <w:szCs w:val="32"/>
          <w:highlight w:val="none"/>
          <w:lang w:eastAsia="zh-CN"/>
        </w:rPr>
        <w:t>。</w:t>
      </w:r>
    </w:p>
    <w:p>
      <w:pPr>
        <w:numPr>
          <w:ilvl w:val="0"/>
          <w:numId w:val="0"/>
        </w:numPr>
        <w:tabs>
          <w:tab w:val="center" w:pos="4475"/>
        </w:tabs>
        <w:spacing w:line="560" w:lineRule="exact"/>
        <w:ind w:left="645" w:leftChars="0"/>
        <w:rPr>
          <w:rFonts w:hint="eastAsia" w:ascii="黑体" w:eastAsia="黑体"/>
          <w:szCs w:val="32"/>
        </w:rPr>
      </w:pPr>
      <w:r>
        <w:rPr>
          <w:rFonts w:hint="eastAsia" w:ascii="黑体" w:eastAsia="黑体"/>
          <w:szCs w:val="32"/>
        </w:rPr>
        <w:t>七、一般公共预算“三公”经费支出情况说明</w:t>
      </w:r>
    </w:p>
    <w:p>
      <w:pPr>
        <w:tabs>
          <w:tab w:val="center" w:pos="4475"/>
        </w:tabs>
        <w:spacing w:line="560" w:lineRule="exact"/>
        <w:ind w:firstLine="645"/>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lang w:eastAsia="zh-CN"/>
        </w:rPr>
        <w:t>2026年</w:t>
      </w:r>
      <w:r>
        <w:rPr>
          <w:rFonts w:hint="eastAsia" w:ascii="仿宋_GB2312"/>
        </w:rPr>
        <w:t>一般公共预算</w:t>
      </w:r>
      <w:r>
        <w:rPr>
          <w:rFonts w:hint="eastAsia" w:ascii="仿宋_GB2312"/>
          <w:bCs/>
        </w:rPr>
        <w:t>安排的“三公”经费支出预算</w:t>
      </w:r>
      <w:r>
        <w:rPr>
          <w:rFonts w:hint="eastAsia" w:ascii="仿宋_GB2312"/>
          <w:bCs/>
          <w:lang w:val="en-US" w:eastAsia="zh-CN"/>
        </w:rPr>
        <w:t>0.14</w:t>
      </w:r>
      <w:r>
        <w:rPr>
          <w:rFonts w:hint="eastAsia" w:ascii="仿宋_GB2312"/>
          <w:bCs/>
        </w:rPr>
        <w:t>万元，同口径比</w:t>
      </w:r>
      <w:r>
        <w:rPr>
          <w:rFonts w:hint="eastAsia" w:ascii="仿宋_GB2312"/>
          <w:bCs/>
          <w:lang w:eastAsia="zh-CN"/>
        </w:rPr>
        <w:t>2025年持平</w:t>
      </w:r>
      <w:r>
        <w:rPr>
          <w:rFonts w:hint="eastAsia" w:ascii="仿宋_GB2312"/>
          <w:bCs/>
        </w:rPr>
        <w:t>，具体如下：</w:t>
      </w:r>
    </w:p>
    <w:p>
      <w:pPr>
        <w:tabs>
          <w:tab w:val="center" w:pos="4475"/>
        </w:tabs>
        <w:spacing w:line="560" w:lineRule="exact"/>
        <w:ind w:firstLine="645"/>
        <w:rPr>
          <w:rFonts w:hint="eastAsia" w:ascii="仿宋_GB2312" w:hAnsi="Arial" w:cs="Arial"/>
          <w:kern w:val="0"/>
        </w:rPr>
      </w:pPr>
      <w:r>
        <w:rPr>
          <w:rFonts w:hint="eastAsia" w:ascii="仿宋_GB2312"/>
        </w:rPr>
        <w:t>1.因公出国（境）费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0.00</w:t>
      </w:r>
      <w:r>
        <w:rPr>
          <w:rFonts w:hint="eastAsia" w:ascii="仿宋_GB2312" w:hAnsi="宋体"/>
          <w:szCs w:val="32"/>
        </w:rPr>
        <w:t>万元，比上年增加</w:t>
      </w:r>
      <w:r>
        <w:rPr>
          <w:rFonts w:hint="eastAsia" w:ascii="仿宋_GB2312" w:hAnsi="宋体"/>
          <w:szCs w:val="32"/>
          <w:lang w:val="en-US" w:eastAsia="zh-CN"/>
        </w:rPr>
        <w:t>0.00</w:t>
      </w:r>
      <w:r>
        <w:rPr>
          <w:rFonts w:hint="eastAsia" w:ascii="仿宋_GB2312" w:hAnsi="宋体"/>
          <w:szCs w:val="32"/>
        </w:rPr>
        <w:t>万元，增长</w:t>
      </w:r>
      <w:r>
        <w:rPr>
          <w:rFonts w:hint="eastAsia" w:ascii="仿宋_GB2312" w:hAnsi="宋体"/>
          <w:szCs w:val="32"/>
          <w:lang w:val="en-US" w:eastAsia="zh-CN"/>
        </w:rPr>
        <w:t>0.00</w:t>
      </w:r>
      <w:r>
        <w:rPr>
          <w:rFonts w:hint="eastAsia" w:ascii="仿宋_GB2312" w:hAnsi="宋体"/>
          <w:szCs w:val="32"/>
        </w:rPr>
        <w:t>%，</w:t>
      </w:r>
      <w:r>
        <w:rPr>
          <w:rFonts w:hint="eastAsia" w:ascii="仿宋_GB2312" w:hAnsi="Arial" w:cs="Arial"/>
          <w:kern w:val="0"/>
        </w:rPr>
        <w:t>增加的主要原因是</w:t>
      </w:r>
      <w:r>
        <w:rPr>
          <w:rFonts w:hint="eastAsia" w:ascii="仿宋_GB2312"/>
        </w:rPr>
        <w:t>因公出国（境）</w:t>
      </w:r>
      <w:r>
        <w:rPr>
          <w:rFonts w:hint="eastAsia" w:ascii="仿宋_GB2312" w:hAnsi="Arial" w:cs="Arial"/>
          <w:kern w:val="0"/>
        </w:rPr>
        <w:t>费</w:t>
      </w:r>
      <w:r>
        <w:rPr>
          <w:rFonts w:hint="eastAsia" w:ascii="仿宋_GB2312" w:hAnsi="Arial" w:cs="Arial"/>
          <w:kern w:val="0"/>
          <w:lang w:eastAsia="zh-CN"/>
        </w:rPr>
        <w:t>2026年</w:t>
      </w:r>
      <w:r>
        <w:rPr>
          <w:rFonts w:hint="eastAsia" w:ascii="仿宋_GB2312" w:hAnsi="Arial" w:cs="Arial"/>
          <w:kern w:val="0"/>
        </w:rPr>
        <w:t>预算安排</w:t>
      </w:r>
      <w:r>
        <w:rPr>
          <w:rFonts w:hint="eastAsia" w:ascii="仿宋_GB2312" w:hAnsi="Arial" w:cs="Arial"/>
          <w:kern w:val="0"/>
          <w:lang w:val="en-US" w:eastAsia="zh-CN"/>
        </w:rPr>
        <w:t>0.00</w:t>
      </w:r>
      <w:r>
        <w:rPr>
          <w:rFonts w:hint="eastAsia" w:ascii="仿宋_GB2312" w:hAnsi="Arial" w:cs="Arial"/>
          <w:kern w:val="0"/>
        </w:rPr>
        <w:t>万元，与上年持平。</w:t>
      </w:r>
    </w:p>
    <w:p>
      <w:pPr>
        <w:tabs>
          <w:tab w:val="center" w:pos="4475"/>
        </w:tabs>
        <w:spacing w:line="560" w:lineRule="exact"/>
        <w:ind w:firstLine="645"/>
        <w:rPr>
          <w:rFonts w:hint="eastAsia" w:ascii="仿宋_GB2312" w:hAnsi="Arial" w:cs="Arial"/>
          <w:kern w:val="0"/>
          <w:highlight w:val="yellow"/>
        </w:rPr>
      </w:pPr>
      <w:r>
        <w:rPr>
          <w:rFonts w:hint="eastAsia" w:ascii="仿宋_GB2312"/>
          <w:highlight w:val="none"/>
        </w:rPr>
        <w:t>2.公务接待费</w:t>
      </w:r>
      <w:r>
        <w:rPr>
          <w:rFonts w:hint="eastAsia" w:ascii="仿宋_GB2312" w:hAnsi="宋体"/>
          <w:szCs w:val="32"/>
          <w:highlight w:val="none"/>
          <w:lang w:eastAsia="zh-CN"/>
        </w:rPr>
        <w:t>2026年</w:t>
      </w:r>
      <w:r>
        <w:rPr>
          <w:rFonts w:hint="eastAsia" w:ascii="仿宋_GB2312" w:hAnsi="宋体"/>
          <w:szCs w:val="32"/>
          <w:highlight w:val="none"/>
        </w:rPr>
        <w:t>预算安排</w:t>
      </w:r>
      <w:r>
        <w:rPr>
          <w:rFonts w:hint="eastAsia" w:ascii="仿宋_GB2312" w:hAnsi="宋体"/>
          <w:szCs w:val="32"/>
          <w:highlight w:val="none"/>
          <w:lang w:val="en-US" w:eastAsia="zh-CN"/>
        </w:rPr>
        <w:t>0.14</w:t>
      </w:r>
      <w:r>
        <w:rPr>
          <w:rFonts w:hint="eastAsia" w:ascii="仿宋_GB2312" w:hAnsi="宋体"/>
          <w:szCs w:val="32"/>
          <w:highlight w:val="none"/>
        </w:rPr>
        <w:t>万元，</w:t>
      </w:r>
      <w:r>
        <w:rPr>
          <w:rFonts w:hint="eastAsia" w:ascii="仿宋_GB2312" w:hAnsi="宋体"/>
          <w:szCs w:val="32"/>
          <w:highlight w:val="none"/>
          <w:lang w:eastAsia="zh-CN"/>
        </w:rPr>
        <w:t>与</w:t>
      </w:r>
      <w:r>
        <w:rPr>
          <w:rFonts w:hint="eastAsia" w:ascii="仿宋_GB2312" w:hAnsi="宋体"/>
          <w:szCs w:val="32"/>
          <w:highlight w:val="none"/>
        </w:rPr>
        <w:t>上年</w:t>
      </w:r>
      <w:r>
        <w:rPr>
          <w:rFonts w:hint="eastAsia" w:ascii="仿宋_GB2312" w:hAnsi="宋体"/>
          <w:szCs w:val="32"/>
          <w:highlight w:val="none"/>
          <w:lang w:eastAsia="zh-CN"/>
        </w:rPr>
        <w:t>持平</w:t>
      </w:r>
      <w:r>
        <w:rPr>
          <w:rFonts w:hint="eastAsia" w:ascii="仿宋_GB2312"/>
          <w:sz w:val="32"/>
          <w:szCs w:val="32"/>
          <w:highlight w:val="none"/>
          <w:lang w:val="en-US" w:eastAsia="zh-CN"/>
        </w:rPr>
        <w:t>。</w:t>
      </w:r>
    </w:p>
    <w:p>
      <w:pPr>
        <w:tabs>
          <w:tab w:val="center" w:pos="4475"/>
        </w:tabs>
        <w:spacing w:line="560" w:lineRule="exact"/>
        <w:ind w:firstLine="645"/>
        <w:rPr>
          <w:rFonts w:hint="eastAsia" w:ascii="仿宋_GB2312" w:hAnsi="宋体"/>
          <w:szCs w:val="32"/>
        </w:rPr>
      </w:pPr>
      <w:r>
        <w:rPr>
          <w:rFonts w:hint="eastAsia" w:ascii="仿宋_GB2312"/>
        </w:rPr>
        <w:t>3.公务用车购置及运行费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0.00</w:t>
      </w:r>
      <w:r>
        <w:rPr>
          <w:rFonts w:hint="eastAsia" w:ascii="仿宋_GB2312" w:hAnsi="宋体"/>
          <w:szCs w:val="32"/>
        </w:rPr>
        <w:t>万元，比上年增加</w:t>
      </w:r>
      <w:r>
        <w:rPr>
          <w:rFonts w:hint="eastAsia" w:ascii="仿宋_GB2312" w:hAnsi="宋体"/>
          <w:szCs w:val="32"/>
          <w:lang w:val="en-US" w:eastAsia="zh-CN"/>
        </w:rPr>
        <w:t>0.00</w:t>
      </w:r>
      <w:r>
        <w:rPr>
          <w:rFonts w:hint="eastAsia" w:ascii="仿宋_GB2312" w:hAnsi="宋体"/>
          <w:szCs w:val="32"/>
        </w:rPr>
        <w:t>万元，增长</w:t>
      </w:r>
      <w:r>
        <w:rPr>
          <w:rFonts w:hint="eastAsia" w:ascii="仿宋_GB2312" w:hAnsi="宋体"/>
          <w:szCs w:val="32"/>
          <w:lang w:val="en-US" w:eastAsia="zh-CN"/>
        </w:rPr>
        <w:t>0.00</w:t>
      </w:r>
      <w:r>
        <w:rPr>
          <w:rFonts w:hint="eastAsia" w:ascii="仿宋_GB2312" w:hAnsi="宋体"/>
          <w:szCs w:val="32"/>
        </w:rPr>
        <w:t>%，</w:t>
      </w:r>
      <w:r>
        <w:rPr>
          <w:rFonts w:hint="eastAsia" w:ascii="仿宋_GB2312" w:hAnsi="Arial" w:cs="Arial"/>
          <w:kern w:val="0"/>
        </w:rPr>
        <w:t>增加的主要原因是</w:t>
      </w:r>
      <w:r>
        <w:rPr>
          <w:rFonts w:hint="eastAsia" w:ascii="仿宋_GB2312"/>
        </w:rPr>
        <w:t>公务用车购置及运行</w:t>
      </w:r>
      <w:r>
        <w:rPr>
          <w:rFonts w:hint="eastAsia" w:ascii="仿宋_GB2312" w:hAnsi="Arial" w:cs="Arial"/>
          <w:kern w:val="0"/>
        </w:rPr>
        <w:t>费</w:t>
      </w:r>
      <w:r>
        <w:rPr>
          <w:rFonts w:hint="eastAsia" w:ascii="仿宋_GB2312" w:hAnsi="Arial" w:cs="Arial"/>
          <w:kern w:val="0"/>
          <w:lang w:eastAsia="zh-CN"/>
        </w:rPr>
        <w:t>2026年</w:t>
      </w:r>
      <w:r>
        <w:rPr>
          <w:rFonts w:hint="eastAsia" w:ascii="仿宋_GB2312" w:hAnsi="Arial" w:cs="Arial"/>
          <w:kern w:val="0"/>
        </w:rPr>
        <w:t>预算安排</w:t>
      </w:r>
      <w:r>
        <w:rPr>
          <w:rFonts w:hint="eastAsia" w:ascii="仿宋_GB2312" w:hAnsi="Arial" w:cs="Arial"/>
          <w:kern w:val="0"/>
          <w:lang w:val="en-US" w:eastAsia="zh-CN"/>
        </w:rPr>
        <w:t>0.00</w:t>
      </w:r>
      <w:r>
        <w:rPr>
          <w:rFonts w:hint="eastAsia" w:ascii="仿宋_GB2312" w:hAnsi="Arial" w:cs="Arial"/>
          <w:kern w:val="0"/>
        </w:rPr>
        <w:t>万元，与上年持平</w:t>
      </w:r>
      <w:r>
        <w:rPr>
          <w:rFonts w:hint="eastAsia" w:ascii="仿宋_GB2312" w:hAnsi="宋体"/>
          <w:szCs w:val="32"/>
          <w:lang w:eastAsia="zh-CN"/>
        </w:rPr>
        <w:t>，</w:t>
      </w:r>
      <w:r>
        <w:rPr>
          <w:rFonts w:hint="eastAsia" w:ascii="仿宋_GB2312" w:hAnsi="宋体"/>
          <w:szCs w:val="32"/>
        </w:rPr>
        <w:t>其中：</w:t>
      </w:r>
    </w:p>
    <w:p>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公务用车购置费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0.00</w:t>
      </w:r>
      <w:r>
        <w:rPr>
          <w:rFonts w:hint="eastAsia" w:ascii="仿宋_GB2312" w:hAnsi="宋体"/>
          <w:szCs w:val="32"/>
        </w:rPr>
        <w:t>万元，比上年增加</w:t>
      </w:r>
      <w:r>
        <w:rPr>
          <w:rFonts w:hint="eastAsia" w:ascii="仿宋_GB2312" w:hAnsi="宋体"/>
          <w:szCs w:val="32"/>
          <w:lang w:val="en-US" w:eastAsia="zh-CN"/>
        </w:rPr>
        <w:t>0.00</w:t>
      </w:r>
      <w:r>
        <w:rPr>
          <w:rFonts w:hint="eastAsia" w:ascii="仿宋_GB2312" w:hAnsi="宋体"/>
          <w:szCs w:val="32"/>
        </w:rPr>
        <w:t>万元，增长</w:t>
      </w:r>
      <w:r>
        <w:rPr>
          <w:rFonts w:hint="eastAsia" w:ascii="仿宋_GB2312" w:hAnsi="宋体"/>
          <w:szCs w:val="32"/>
          <w:lang w:val="en-US" w:eastAsia="zh-CN"/>
        </w:rPr>
        <w:t>0.00</w:t>
      </w:r>
      <w:r>
        <w:rPr>
          <w:rFonts w:hint="eastAsia" w:ascii="仿宋_GB2312" w:hAnsi="宋体"/>
          <w:szCs w:val="32"/>
        </w:rPr>
        <w:t>%，</w:t>
      </w:r>
      <w:r>
        <w:rPr>
          <w:rFonts w:hint="eastAsia" w:ascii="仿宋_GB2312" w:hAnsi="Arial" w:cs="Arial"/>
          <w:kern w:val="0"/>
        </w:rPr>
        <w:t>增加的主要原因是</w:t>
      </w:r>
      <w:r>
        <w:rPr>
          <w:rFonts w:hint="eastAsia" w:ascii="仿宋_GB2312"/>
        </w:rPr>
        <w:t>公务用车购置及运行</w:t>
      </w:r>
      <w:r>
        <w:rPr>
          <w:rFonts w:hint="eastAsia" w:ascii="仿宋_GB2312" w:hAnsi="Arial" w:cs="Arial"/>
          <w:kern w:val="0"/>
        </w:rPr>
        <w:t>费</w:t>
      </w:r>
      <w:r>
        <w:rPr>
          <w:rFonts w:hint="eastAsia" w:ascii="仿宋_GB2312" w:hAnsi="Arial" w:cs="Arial"/>
          <w:kern w:val="0"/>
          <w:lang w:eastAsia="zh-CN"/>
        </w:rPr>
        <w:t>2026年</w:t>
      </w:r>
      <w:r>
        <w:rPr>
          <w:rFonts w:hint="eastAsia" w:ascii="仿宋_GB2312" w:hAnsi="Arial" w:cs="Arial"/>
          <w:kern w:val="0"/>
        </w:rPr>
        <w:t>预算安排</w:t>
      </w:r>
      <w:r>
        <w:rPr>
          <w:rFonts w:hint="eastAsia" w:ascii="仿宋_GB2312" w:hAnsi="Arial" w:cs="Arial"/>
          <w:kern w:val="0"/>
          <w:lang w:val="en-US" w:eastAsia="zh-CN"/>
        </w:rPr>
        <w:t>0.00</w:t>
      </w:r>
      <w:r>
        <w:rPr>
          <w:rFonts w:hint="eastAsia" w:ascii="仿宋_GB2312" w:hAnsi="Arial" w:cs="Arial"/>
          <w:kern w:val="0"/>
        </w:rPr>
        <w:t>万元，与上年持平；</w:t>
      </w:r>
    </w:p>
    <w:p>
      <w:pPr>
        <w:tabs>
          <w:tab w:val="center" w:pos="4475"/>
        </w:tabs>
        <w:spacing w:line="560" w:lineRule="exact"/>
        <w:ind w:firstLine="645"/>
        <w:rPr>
          <w:rFonts w:hint="eastAsia" w:ascii="仿宋_GB2312" w:hAnsi="宋体"/>
          <w:szCs w:val="32"/>
        </w:rPr>
      </w:pPr>
      <w:r>
        <w:rPr>
          <w:rFonts w:hint="eastAsia" w:ascii="仿宋_GB2312" w:hAnsi="宋体"/>
          <w:szCs w:val="32"/>
        </w:rPr>
        <w:t>公务用车运行维护费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0.00</w:t>
      </w:r>
      <w:r>
        <w:rPr>
          <w:rFonts w:hint="eastAsia" w:ascii="仿宋_GB2312" w:hAnsi="宋体"/>
          <w:szCs w:val="32"/>
        </w:rPr>
        <w:t>万元，比上年增加</w:t>
      </w:r>
      <w:r>
        <w:rPr>
          <w:rFonts w:hint="eastAsia" w:ascii="仿宋_GB2312" w:hAnsi="宋体"/>
          <w:szCs w:val="32"/>
          <w:lang w:val="en-US" w:eastAsia="zh-CN"/>
        </w:rPr>
        <w:t>0.00</w:t>
      </w:r>
      <w:r>
        <w:rPr>
          <w:rFonts w:hint="eastAsia" w:ascii="仿宋_GB2312" w:hAnsi="宋体"/>
          <w:szCs w:val="32"/>
        </w:rPr>
        <w:t>万元，增长</w:t>
      </w:r>
      <w:r>
        <w:rPr>
          <w:rFonts w:hint="eastAsia" w:ascii="仿宋_GB2312" w:hAnsi="宋体"/>
          <w:szCs w:val="32"/>
          <w:lang w:val="en-US" w:eastAsia="zh-CN"/>
        </w:rPr>
        <w:t>0.00</w:t>
      </w:r>
      <w:r>
        <w:rPr>
          <w:rFonts w:hint="eastAsia" w:ascii="仿宋_GB2312" w:hAnsi="宋体"/>
          <w:szCs w:val="32"/>
        </w:rPr>
        <w:t>%，</w:t>
      </w:r>
      <w:r>
        <w:rPr>
          <w:rFonts w:hint="eastAsia" w:ascii="仿宋_GB2312" w:hAnsi="Arial" w:cs="Arial"/>
          <w:kern w:val="0"/>
        </w:rPr>
        <w:t>增加的主要原因是</w:t>
      </w:r>
      <w:r>
        <w:rPr>
          <w:rFonts w:hint="eastAsia" w:ascii="仿宋_GB2312" w:hAnsi="宋体"/>
          <w:szCs w:val="32"/>
        </w:rPr>
        <w:t>公务用车运行维护</w:t>
      </w:r>
      <w:r>
        <w:rPr>
          <w:rFonts w:hint="eastAsia" w:ascii="仿宋_GB2312" w:hAnsi="Arial" w:cs="Arial"/>
          <w:kern w:val="0"/>
        </w:rPr>
        <w:t>费</w:t>
      </w:r>
      <w:r>
        <w:rPr>
          <w:rFonts w:hint="eastAsia" w:ascii="仿宋_GB2312" w:hAnsi="Arial" w:cs="Arial"/>
          <w:kern w:val="0"/>
          <w:lang w:eastAsia="zh-CN"/>
        </w:rPr>
        <w:t>2026年</w:t>
      </w:r>
      <w:r>
        <w:rPr>
          <w:rFonts w:hint="eastAsia" w:ascii="仿宋_GB2312" w:hAnsi="Arial" w:cs="Arial"/>
          <w:kern w:val="0"/>
        </w:rPr>
        <w:t>预算安排</w:t>
      </w:r>
      <w:r>
        <w:rPr>
          <w:rFonts w:hint="eastAsia" w:ascii="仿宋_GB2312" w:hAnsi="Arial" w:cs="Arial"/>
          <w:kern w:val="0"/>
          <w:lang w:val="en-US" w:eastAsia="zh-CN"/>
        </w:rPr>
        <w:t>0.00</w:t>
      </w:r>
      <w:r>
        <w:rPr>
          <w:rFonts w:hint="eastAsia" w:ascii="仿宋_GB2312" w:hAnsi="Arial" w:cs="Arial"/>
          <w:kern w:val="0"/>
        </w:rPr>
        <w:t>万元，与上年持平。</w:t>
      </w:r>
    </w:p>
    <w:p>
      <w:pPr>
        <w:tabs>
          <w:tab w:val="center" w:pos="4475"/>
        </w:tabs>
        <w:spacing w:line="560" w:lineRule="exact"/>
        <w:ind w:firstLine="645"/>
        <w:rPr>
          <w:rFonts w:hint="eastAsia" w:ascii="黑体" w:eastAsia="黑体"/>
          <w:szCs w:val="32"/>
        </w:rPr>
      </w:pPr>
      <w:r>
        <w:rPr>
          <w:rFonts w:hint="eastAsia" w:ascii="黑体" w:eastAsia="黑体"/>
          <w:szCs w:val="32"/>
        </w:rPr>
        <w:t>八、政府性基金预算支出情况说明</w:t>
      </w:r>
    </w:p>
    <w:p>
      <w:pPr>
        <w:tabs>
          <w:tab w:val="center" w:pos="4475"/>
        </w:tabs>
        <w:spacing w:line="560" w:lineRule="exact"/>
        <w:ind w:firstLine="645"/>
        <w:rPr>
          <w:rFonts w:hint="eastAsia" w:ascii="仿宋_GB2312"/>
          <w:szCs w:val="32"/>
          <w:lang w:eastAsia="zh-CN"/>
        </w:rPr>
      </w:pPr>
      <w:r>
        <w:rPr>
          <w:rFonts w:hint="eastAsia" w:ascii="仿宋_GB2312"/>
          <w:sz w:val="32"/>
          <w:szCs w:val="32"/>
          <w:lang w:eastAsia="zh-CN"/>
        </w:rPr>
        <w:t>我单位</w:t>
      </w:r>
      <w:r>
        <w:rPr>
          <w:rFonts w:hint="eastAsia" w:ascii="仿宋_GB2312"/>
          <w:szCs w:val="32"/>
        </w:rPr>
        <w:t>政府性基金预算支出</w:t>
      </w:r>
      <w:r>
        <w:rPr>
          <w:rFonts w:hint="eastAsia" w:ascii="仿宋_GB2312" w:eastAsia="仿宋_GB2312"/>
          <w:sz w:val="32"/>
          <w:szCs w:val="32"/>
          <w:lang w:eastAsia="zh-CN"/>
        </w:rPr>
        <w:t>共</w:t>
      </w:r>
      <w:r>
        <w:rPr>
          <w:rFonts w:hint="eastAsia" w:ascii="仿宋_GB2312"/>
          <w:sz w:val="32"/>
          <w:szCs w:val="32"/>
          <w:lang w:val="en-US" w:eastAsia="zh-CN"/>
        </w:rPr>
        <w:t>0.00</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0.00%，主要原因是我单位2026年单位预算无政府性基金预算</w:t>
      </w:r>
      <w:r>
        <w:rPr>
          <w:rFonts w:hint="eastAsia" w:ascii="仿宋_GB2312"/>
          <w:szCs w:val="32"/>
          <w:lang w:eastAsia="zh-CN"/>
        </w:rPr>
        <w:t>。</w:t>
      </w:r>
    </w:p>
    <w:p>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rPr>
        <w:t>九、</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tabs>
          <w:tab w:val="center" w:pos="4475"/>
        </w:tabs>
        <w:spacing w:line="560" w:lineRule="exact"/>
        <w:ind w:firstLine="645"/>
        <w:rPr>
          <w:rFonts w:hint="eastAsia" w:ascii="仿宋_GB2312"/>
          <w:szCs w:val="32"/>
          <w:lang w:eastAsia="zh-CN"/>
        </w:rPr>
      </w:pPr>
      <w:r>
        <w:rPr>
          <w:rFonts w:hint="eastAsia" w:ascii="仿宋_GB2312"/>
          <w:sz w:val="32"/>
          <w:szCs w:val="32"/>
          <w:lang w:eastAsia="zh-CN"/>
        </w:rPr>
        <w:t>我单位</w:t>
      </w:r>
      <w:r>
        <w:rPr>
          <w:rFonts w:hint="eastAsia" w:ascii="仿宋_GB2312"/>
          <w:szCs w:val="32"/>
        </w:rPr>
        <w:t>国有资本经营预算支出</w:t>
      </w:r>
      <w:r>
        <w:rPr>
          <w:rFonts w:hint="eastAsia" w:ascii="仿宋_GB2312" w:eastAsia="仿宋_GB2312"/>
          <w:sz w:val="32"/>
          <w:szCs w:val="32"/>
          <w:lang w:eastAsia="zh-CN"/>
        </w:rPr>
        <w:t>共</w:t>
      </w:r>
      <w:r>
        <w:rPr>
          <w:rFonts w:hint="eastAsia" w:ascii="仿宋_GB2312"/>
          <w:sz w:val="32"/>
          <w:szCs w:val="32"/>
          <w:lang w:val="en-US" w:eastAsia="zh-CN"/>
        </w:rPr>
        <w:t>0.00</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0.00%，主要原因是我单位2026年单位预算无国有资本经营预算</w:t>
      </w:r>
      <w:r>
        <w:rPr>
          <w:rFonts w:hint="eastAsia" w:ascii="仿宋_GB2312"/>
          <w:szCs w:val="32"/>
          <w:lang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lang w:eastAsia="zh-CN"/>
        </w:rPr>
        <w:t>十</w:t>
      </w:r>
      <w:r>
        <w:rPr>
          <w:rFonts w:hint="eastAsia" w:ascii="黑体" w:eastAsia="黑体"/>
          <w:szCs w:val="32"/>
        </w:rPr>
        <w:t>、其他重要事项情况说明</w:t>
      </w:r>
    </w:p>
    <w:p>
      <w:pPr>
        <w:tabs>
          <w:tab w:val="center" w:pos="4475"/>
        </w:tabs>
        <w:spacing w:line="560" w:lineRule="exact"/>
        <w:ind w:firstLine="645"/>
        <w:rPr>
          <w:rFonts w:hint="eastAsia" w:ascii="楷体_GB2312" w:hAnsi="楷体_GB2312" w:eastAsia="楷体_GB2312" w:cs="楷体_GB2312"/>
          <w:szCs w:val="32"/>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单位</w:t>
      </w:r>
      <w:r>
        <w:rPr>
          <w:rFonts w:hint="eastAsia" w:ascii="楷体_GB2312" w:hAnsi="楷体_GB2312" w:eastAsia="楷体_GB2312" w:cs="楷体_GB2312"/>
          <w:szCs w:val="32"/>
        </w:rPr>
        <w:t>运行经费安排情况说明</w:t>
      </w:r>
    </w:p>
    <w:p>
      <w:pPr>
        <w:tabs>
          <w:tab w:val="center" w:pos="4475"/>
        </w:tabs>
        <w:spacing w:line="560" w:lineRule="exact"/>
        <w:ind w:firstLine="645"/>
        <w:rPr>
          <w:rFonts w:hint="eastAsia" w:ascii="仿宋_GB2312"/>
          <w:sz w:val="32"/>
          <w:szCs w:val="32"/>
          <w:lang w:val="en-US" w:eastAsia="zh-CN"/>
        </w:rPr>
      </w:pPr>
      <w:r>
        <w:rPr>
          <w:rFonts w:hint="eastAsia" w:ascii="仿宋_GB2312" w:hAnsi="宋体" w:cs="Times New Roman"/>
          <w:szCs w:val="32"/>
          <w:highlight w:val="none"/>
          <w:lang w:eastAsia="zh-CN"/>
        </w:rPr>
        <w:t>我单位事业</w:t>
      </w:r>
      <w:r>
        <w:rPr>
          <w:rFonts w:hint="eastAsia" w:ascii="仿宋_GB2312" w:hAnsi="宋体" w:cs="Times New Roman"/>
          <w:szCs w:val="32"/>
          <w:highlight w:val="none"/>
          <w:lang w:val="en-US" w:eastAsia="zh-CN"/>
        </w:rPr>
        <w:t>单位</w:t>
      </w:r>
      <w:r>
        <w:rPr>
          <w:rFonts w:hint="eastAsia" w:ascii="仿宋_GB2312" w:hAnsi="宋体" w:cs="Times New Roman"/>
          <w:szCs w:val="32"/>
          <w:highlight w:val="none"/>
          <w:lang w:eastAsia="zh-CN"/>
        </w:rPr>
        <w:t>运行经费主要包括办公费、印刷费、水电费、邮电费、邮电费、差旅费、维修（护）费、会议费、培训费、公务接待费、其他商品和服务支出</w:t>
      </w:r>
      <w:r>
        <w:rPr>
          <w:rFonts w:hint="eastAsia" w:ascii="仿宋_GB2312" w:hAnsi="宋体" w:cs="Times New Roman"/>
          <w:szCs w:val="32"/>
          <w:highlight w:val="none"/>
          <w:lang w:val="en-US" w:eastAsia="zh-CN"/>
        </w:rPr>
        <w:t>。</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2026年</w:t>
      </w:r>
      <w:r>
        <w:rPr>
          <w:rFonts w:hint="eastAsia" w:ascii="仿宋_GB2312" w:hAnsi="宋体" w:cs="Times New Roman"/>
          <w:szCs w:val="32"/>
          <w:highlight w:val="none"/>
          <w:lang w:eastAsia="zh-CN"/>
        </w:rPr>
        <w:t>事业</w:t>
      </w:r>
      <w:r>
        <w:rPr>
          <w:rFonts w:hint="eastAsia" w:ascii="仿宋_GB2312" w:hAnsi="宋体" w:cs="Times New Roman"/>
          <w:szCs w:val="32"/>
          <w:highlight w:val="none"/>
          <w:lang w:val="en-US" w:eastAsia="zh-CN"/>
        </w:rPr>
        <w:t>单位运行经费预算8.95万元，较上年增加0.20</w:t>
      </w:r>
      <w:r>
        <w:rPr>
          <w:rFonts w:hint="eastAsia" w:ascii="仿宋_GB2312"/>
          <w:sz w:val="32"/>
          <w:szCs w:val="32"/>
          <w:lang w:val="en" w:eastAsia="zh-CN"/>
        </w:rPr>
        <w:t>万元，</w:t>
      </w:r>
      <w:r>
        <w:rPr>
          <w:rFonts w:hint="eastAsia" w:ascii="仿宋_GB2312"/>
          <w:sz w:val="32"/>
          <w:szCs w:val="32"/>
          <w:lang w:eastAsia="zh-CN"/>
        </w:rPr>
        <w:t>增长</w:t>
      </w:r>
      <w:r>
        <w:rPr>
          <w:rFonts w:hint="eastAsia" w:ascii="仿宋_GB2312"/>
          <w:sz w:val="32"/>
          <w:szCs w:val="32"/>
          <w:lang w:val="en-US" w:eastAsia="zh-CN"/>
        </w:rPr>
        <w:t>2.29%，增长的主要原因是</w:t>
      </w:r>
      <w:r>
        <w:rPr>
          <w:rFonts w:hint="default" w:ascii="Times New Roman" w:hAnsi="Times New Roman" w:eastAsia="仿宋_GB2312" w:cs="Times New Roman"/>
          <w:color w:val="auto"/>
          <w:kern w:val="0"/>
          <w:sz w:val="32"/>
          <w:szCs w:val="32"/>
          <w:highlight w:val="none"/>
        </w:rPr>
        <w:t>职工工资收入总额增加，本年度</w:t>
      </w:r>
      <w:r>
        <w:rPr>
          <w:rFonts w:hint="eastAsia" w:cs="Times New Roman"/>
          <w:color w:val="auto"/>
          <w:kern w:val="0"/>
          <w:sz w:val="32"/>
          <w:szCs w:val="32"/>
          <w:highlight w:val="none"/>
          <w:lang w:eastAsia="zh-CN"/>
        </w:rPr>
        <w:t>工会经费提取</w:t>
      </w:r>
      <w:r>
        <w:rPr>
          <w:rFonts w:hint="default" w:ascii="Times New Roman" w:hAnsi="Times New Roman" w:eastAsia="仿宋_GB2312" w:cs="Times New Roman"/>
          <w:color w:val="auto"/>
          <w:kern w:val="0"/>
          <w:sz w:val="32"/>
          <w:szCs w:val="32"/>
          <w:highlight w:val="none"/>
        </w:rPr>
        <w:t>基数相应上调，故相应调增本年度相关经费预算</w:t>
      </w:r>
      <w:r>
        <w:rPr>
          <w:rFonts w:hint="eastAsia" w:ascii="仿宋_GB2312"/>
          <w:sz w:val="32"/>
          <w:szCs w:val="32"/>
          <w:lang w:val="en-US" w:eastAsia="zh-CN"/>
        </w:rPr>
        <w:t>。</w:t>
      </w:r>
    </w:p>
    <w:p>
      <w:pPr>
        <w:tabs>
          <w:tab w:val="center" w:pos="4475"/>
        </w:tabs>
        <w:spacing w:line="560" w:lineRule="exact"/>
        <w:ind w:firstLine="645"/>
        <w:rPr>
          <w:rFonts w:hint="eastAsia"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pPr>
        <w:tabs>
          <w:tab w:val="center" w:pos="4475"/>
        </w:tabs>
        <w:spacing w:line="560" w:lineRule="exact"/>
        <w:ind w:firstLine="645"/>
        <w:rPr>
          <w:rFonts w:hint="eastAsia" w:ascii="仿宋_GB2312" w:hAnsi="宋体"/>
          <w:szCs w:val="32"/>
          <w:lang w:val="en-US" w:eastAsia="zh-CN"/>
        </w:rPr>
      </w:pPr>
      <w:r>
        <w:rPr>
          <w:rFonts w:hint="eastAsia" w:ascii="仿宋_GB2312" w:hAnsi="宋体"/>
          <w:szCs w:val="32"/>
          <w:highlight w:val="none"/>
        </w:rPr>
        <w:t>我</w:t>
      </w:r>
      <w:r>
        <w:rPr>
          <w:rFonts w:hint="eastAsia" w:ascii="仿宋_GB2312" w:hAnsi="宋体"/>
          <w:szCs w:val="32"/>
          <w:lang w:eastAsia="zh-CN"/>
        </w:rPr>
        <w:t>单位2026年</w:t>
      </w:r>
      <w:r>
        <w:rPr>
          <w:rFonts w:hint="eastAsia" w:ascii="仿宋_GB2312" w:hAnsi="宋体"/>
          <w:szCs w:val="32"/>
        </w:rPr>
        <w:t>政府采购预算总金额</w:t>
      </w:r>
      <w:r>
        <w:rPr>
          <w:rFonts w:hint="eastAsia" w:ascii="仿宋_GB2312" w:hAnsi="宋体"/>
          <w:szCs w:val="32"/>
          <w:lang w:val="en-US" w:eastAsia="zh-CN"/>
        </w:rPr>
        <w:t>0.93</w:t>
      </w:r>
      <w:r>
        <w:rPr>
          <w:rFonts w:hint="eastAsia" w:ascii="仿宋_GB2312" w:hAnsi="宋体"/>
          <w:szCs w:val="32"/>
        </w:rPr>
        <w:t>万元。其中：货物类采购</w:t>
      </w:r>
      <w:r>
        <w:rPr>
          <w:rFonts w:hint="eastAsia" w:ascii="仿宋_GB2312" w:hAnsi="宋体"/>
          <w:szCs w:val="32"/>
          <w:lang w:val="en-US" w:eastAsia="zh-CN"/>
        </w:rPr>
        <w:t>0.96</w:t>
      </w:r>
      <w:r>
        <w:rPr>
          <w:rFonts w:hint="eastAsia" w:ascii="仿宋_GB2312" w:hAnsi="宋体"/>
          <w:szCs w:val="32"/>
        </w:rPr>
        <w:t>万元、工程类采购</w:t>
      </w:r>
      <w:r>
        <w:rPr>
          <w:rFonts w:hint="eastAsia" w:ascii="仿宋_GB2312" w:hAnsi="宋体"/>
          <w:szCs w:val="32"/>
          <w:lang w:val="en-US" w:eastAsia="zh-CN"/>
        </w:rPr>
        <w:t>0.00</w:t>
      </w:r>
      <w:r>
        <w:rPr>
          <w:rFonts w:hint="eastAsia" w:ascii="仿宋_GB2312" w:hAnsi="宋体"/>
          <w:szCs w:val="32"/>
        </w:rPr>
        <w:t>万元、服务类采购</w:t>
      </w:r>
      <w:r>
        <w:rPr>
          <w:rFonts w:hint="eastAsia" w:ascii="仿宋_GB2312" w:hAnsi="宋体"/>
          <w:szCs w:val="32"/>
          <w:lang w:val="en-US" w:eastAsia="zh-CN"/>
        </w:rPr>
        <w:t>0.00</w:t>
      </w:r>
      <w:r>
        <w:rPr>
          <w:rFonts w:hint="eastAsia" w:ascii="仿宋_GB2312" w:hAnsi="宋体"/>
          <w:szCs w:val="32"/>
        </w:rPr>
        <w:t>万元。</w:t>
      </w:r>
      <w:r>
        <w:rPr>
          <w:rFonts w:hint="eastAsia" w:ascii="仿宋_GB2312" w:hAnsi="宋体"/>
          <w:szCs w:val="32"/>
          <w:lang w:eastAsia="zh-CN"/>
        </w:rPr>
        <w:t>其中：货物类采购主要购买办公使用复印纸</w:t>
      </w:r>
      <w:r>
        <w:rPr>
          <w:rFonts w:hint="eastAsia" w:ascii="仿宋_GB2312" w:hAnsi="宋体"/>
          <w:szCs w:val="32"/>
          <w:lang w:val="en-US" w:eastAsia="zh-CN"/>
        </w:rPr>
        <w:t>。</w:t>
      </w:r>
    </w:p>
    <w:p>
      <w:pPr>
        <w:tabs>
          <w:tab w:val="center" w:pos="4475"/>
        </w:tabs>
        <w:spacing w:line="560" w:lineRule="exact"/>
        <w:ind w:firstLine="645"/>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（三）政府购买服务情况说明</w:t>
      </w:r>
    </w:p>
    <w:p>
      <w:pPr>
        <w:numPr>
          <w:ilvl w:val="0"/>
          <w:numId w:val="0"/>
        </w:numPr>
        <w:spacing w:line="460" w:lineRule="exact"/>
        <w:ind w:firstLine="640" w:firstLineChars="200"/>
        <w:rPr>
          <w:rFonts w:hint="eastAsia" w:ascii="仿宋_GB2312" w:hAnsi="宋体"/>
          <w:szCs w:val="32"/>
          <w:highlight w:val="none"/>
          <w:u w:val="single"/>
          <w:lang w:val="en-US" w:eastAsia="zh-CN"/>
        </w:rPr>
      </w:pP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eastAsia="仿宋_GB2312"/>
          <w:sz w:val="32"/>
          <w:szCs w:val="32"/>
          <w:highlight w:val="none"/>
          <w:lang w:eastAsia="zh-CN"/>
        </w:rPr>
        <w:t>单位的</w:t>
      </w:r>
      <w:r>
        <w:rPr>
          <w:rFonts w:hint="eastAsia" w:ascii="仿宋_GB2312" w:eastAsia="仿宋_GB2312"/>
          <w:sz w:val="32"/>
          <w:szCs w:val="32"/>
          <w:highlight w:val="none"/>
        </w:rPr>
        <w:t>政府</w:t>
      </w:r>
      <w:r>
        <w:rPr>
          <w:rFonts w:hint="eastAsia" w:ascii="仿宋_GB2312" w:eastAsia="仿宋_GB2312"/>
          <w:sz w:val="32"/>
          <w:szCs w:val="32"/>
          <w:highlight w:val="none"/>
          <w:lang w:eastAsia="zh-CN"/>
        </w:rPr>
        <w:t>购买</w:t>
      </w:r>
      <w:r>
        <w:rPr>
          <w:rFonts w:hint="eastAsia" w:ascii="仿宋_GB2312" w:eastAsia="仿宋_GB2312"/>
          <w:sz w:val="32"/>
          <w:szCs w:val="32"/>
          <w:highlight w:val="none"/>
        </w:rPr>
        <w:t>预算共</w:t>
      </w:r>
      <w:r>
        <w:rPr>
          <w:rFonts w:hint="eastAsia" w:ascii="仿宋_GB2312"/>
          <w:sz w:val="32"/>
          <w:szCs w:val="32"/>
          <w:highlight w:val="none"/>
          <w:lang w:val="en-US" w:eastAsia="zh-CN"/>
        </w:rPr>
        <w:t>0.00</w:t>
      </w:r>
      <w:r>
        <w:rPr>
          <w:rFonts w:hint="eastAsia" w:ascii="仿宋_GB2312" w:eastAsia="仿宋_GB2312"/>
          <w:sz w:val="32"/>
          <w:szCs w:val="32"/>
          <w:highlight w:val="none"/>
        </w:rPr>
        <w:t>万元，同比增</w:t>
      </w:r>
      <w:r>
        <w:rPr>
          <w:rFonts w:hint="eastAsia" w:ascii="仿宋_GB2312"/>
          <w:sz w:val="32"/>
          <w:szCs w:val="32"/>
          <w:highlight w:val="none"/>
          <w:lang w:eastAsia="zh-CN"/>
        </w:rPr>
        <w:t>加</w:t>
      </w:r>
      <w:r>
        <w:rPr>
          <w:rFonts w:hint="eastAsia" w:ascii="仿宋_GB2312"/>
          <w:sz w:val="32"/>
          <w:szCs w:val="32"/>
          <w:highlight w:val="none"/>
          <w:lang w:val="en-US" w:eastAsia="zh-CN"/>
        </w:rPr>
        <w:t>0.00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本年度我单位无政府购买服务预算安排</w:t>
      </w:r>
      <w:r>
        <w:rPr>
          <w:rFonts w:hint="eastAsia" w:ascii="仿宋_GB2312" w:eastAsia="仿宋_GB2312"/>
          <w:sz w:val="32"/>
          <w:szCs w:val="32"/>
          <w:highlight w:val="none"/>
        </w:rPr>
        <w:t>。</w:t>
      </w:r>
    </w:p>
    <w:p>
      <w:pPr>
        <w:tabs>
          <w:tab w:val="center" w:pos="4475"/>
        </w:tabs>
        <w:spacing w:line="560" w:lineRule="exact"/>
        <w:ind w:firstLine="645"/>
        <w:rPr>
          <w:rFonts w:hint="eastAsia" w:ascii="楷体_GB2312" w:hAnsi="楷体_GB2312" w:eastAsia="楷体_GB2312" w:cs="楷体_GB2312"/>
          <w:kern w:val="0"/>
        </w:rPr>
      </w:pPr>
      <w:r>
        <w:rPr>
          <w:rFonts w:hint="eastAsia" w:ascii="楷体_GB2312" w:hAnsi="楷体_GB2312" w:eastAsia="楷体_GB2312" w:cs="楷体_GB2312"/>
          <w:kern w:val="0"/>
        </w:rPr>
        <w:t>（</w:t>
      </w:r>
      <w:r>
        <w:rPr>
          <w:rFonts w:hint="eastAsia" w:ascii="楷体_GB2312" w:hAnsi="楷体_GB2312" w:eastAsia="楷体_GB2312" w:cs="楷体_GB2312"/>
          <w:kern w:val="0"/>
          <w:lang w:eastAsia="zh-CN"/>
        </w:rPr>
        <w:t>四</w:t>
      </w:r>
      <w:r>
        <w:rPr>
          <w:rFonts w:hint="eastAsia" w:ascii="楷体_GB2312" w:hAnsi="楷体_GB2312" w:eastAsia="楷体_GB2312" w:cs="楷体_GB2312"/>
          <w:kern w:val="0"/>
        </w:rPr>
        <w:t>）国有资产占用情况说明</w:t>
      </w:r>
    </w:p>
    <w:p>
      <w:pPr>
        <w:numPr>
          <w:ilvl w:val="0"/>
          <w:numId w:val="0"/>
        </w:numPr>
        <w:tabs>
          <w:tab w:val="center" w:pos="4475"/>
        </w:tabs>
        <w:spacing w:line="560" w:lineRule="exact"/>
        <w:ind w:firstLine="640" w:firstLineChars="200"/>
        <w:rPr>
          <w:rFonts w:hint="eastAsia" w:ascii="楷体_GB2312" w:hAnsi="楷体_GB2312" w:eastAsia="仿宋_GB2312" w:cs="楷体_GB2312"/>
          <w:b w:val="0"/>
          <w:bCs w:val="0"/>
          <w:kern w:val="0"/>
          <w:u w:val="none"/>
          <w:lang w:eastAsia="zh-CN"/>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单位2026年没有</w:t>
      </w:r>
      <w:r>
        <w:rPr>
          <w:rFonts w:hint="eastAsia" w:ascii="仿宋_GB2312" w:hAnsi="宋体"/>
          <w:b w:val="0"/>
          <w:bCs w:val="0"/>
          <w:szCs w:val="32"/>
          <w:highlight w:val="none"/>
          <w:u w:val="none"/>
        </w:rPr>
        <w:t>国有资产占用相关情况</w:t>
      </w:r>
      <w:r>
        <w:rPr>
          <w:rFonts w:hint="eastAsia" w:ascii="仿宋_GB2312" w:hAnsi="宋体"/>
          <w:b w:val="0"/>
          <w:bCs w:val="0"/>
          <w:szCs w:val="32"/>
          <w:highlight w:val="none"/>
          <w:u w:val="none"/>
          <w:lang w:eastAsia="zh-CN"/>
        </w:rPr>
        <w:t>。</w:t>
      </w:r>
    </w:p>
    <w:p>
      <w:pPr>
        <w:tabs>
          <w:tab w:val="center" w:pos="4475"/>
        </w:tabs>
        <w:spacing w:line="560" w:lineRule="exact"/>
        <w:ind w:firstLine="645"/>
        <w:rPr>
          <w:rFonts w:hint="eastAsia"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五</w:t>
      </w:r>
      <w:r>
        <w:rPr>
          <w:rFonts w:hint="eastAsia" w:ascii="楷体_GB2312" w:hAnsi="楷体_GB2312" w:eastAsia="楷体_GB2312" w:cs="楷体_GB2312"/>
          <w:szCs w:val="32"/>
        </w:rPr>
        <w:t>）预算绩效目标情况说明</w:t>
      </w:r>
    </w:p>
    <w:p>
      <w:pPr>
        <w:tabs>
          <w:tab w:val="center" w:pos="4475"/>
        </w:tabs>
        <w:spacing w:line="560" w:lineRule="exact"/>
        <w:ind w:firstLine="645"/>
        <w:rPr>
          <w:rFonts w:hint="eastAsia" w:ascii="仿宋_GB2312"/>
          <w:sz w:val="32"/>
          <w:szCs w:val="32"/>
          <w:highlight w:val="none"/>
          <w:lang w:val="en-US" w:eastAsia="zh-CN"/>
        </w:rPr>
      </w:pPr>
      <w:r>
        <w:rPr>
          <w:rFonts w:hint="eastAsia" w:ascii="仿宋_GB2312" w:eastAsia="仿宋_GB2312"/>
          <w:sz w:val="32"/>
          <w:szCs w:val="32"/>
          <w:highlight w:val="none"/>
          <w:lang w:eastAsia="zh-CN"/>
        </w:rPr>
        <w:t>我单位</w:t>
      </w:r>
      <w:r>
        <w:rPr>
          <w:rFonts w:hint="eastAsia" w:ascii="仿宋_GB2312"/>
          <w:sz w:val="32"/>
          <w:szCs w:val="32"/>
          <w:highlight w:val="none"/>
          <w:lang w:val="en-US" w:eastAsia="zh-CN"/>
        </w:rPr>
        <w:t>2026年</w:t>
      </w:r>
      <w:r>
        <w:rPr>
          <w:rFonts w:hint="eastAsia" w:ascii="仿宋_GB2312" w:eastAsia="仿宋_GB2312"/>
          <w:sz w:val="32"/>
          <w:szCs w:val="32"/>
          <w:highlight w:val="none"/>
          <w:lang w:val="en-US" w:eastAsia="zh-CN"/>
        </w:rPr>
        <w:t>预算绩效目标统一由局本级管理，由局本级统一公开说明</w:t>
      </w:r>
      <w:r>
        <w:rPr>
          <w:rFonts w:hint="eastAsia" w:ascii="仿宋_GB2312"/>
          <w:sz w:val="32"/>
          <w:szCs w:val="32"/>
          <w:highlight w:val="none"/>
          <w:lang w:val="en-US" w:eastAsia="zh-CN"/>
        </w:rPr>
        <w:t>。</w:t>
      </w:r>
    </w:p>
    <w:p>
      <w:pPr>
        <w:tabs>
          <w:tab w:val="center" w:pos="4475"/>
        </w:tabs>
        <w:spacing w:line="560" w:lineRule="exact"/>
        <w:ind w:firstLine="645"/>
        <w:rPr>
          <w:rFonts w:hint="eastAsia" w:ascii="仿宋_GB2312"/>
          <w:sz w:val="32"/>
          <w:szCs w:val="32"/>
          <w:highlight w:val="none"/>
          <w:lang w:val="en-US" w:eastAsia="zh-CN"/>
        </w:rPr>
      </w:pPr>
    </w:p>
    <w:p>
      <w:pPr>
        <w:rPr>
          <w:rFonts w:hint="eastAsia" w:ascii="仿宋_GB2312"/>
          <w:sz w:val="32"/>
          <w:szCs w:val="32"/>
          <w:highlight w:val="none"/>
          <w:lang w:val="en-US" w:eastAsia="zh-CN"/>
        </w:rPr>
      </w:pPr>
      <w:r>
        <w:rPr>
          <w:rFonts w:hint="eastAsia" w:ascii="仿宋_GB2312"/>
          <w:sz w:val="32"/>
          <w:szCs w:val="32"/>
          <w:highlight w:val="none"/>
          <w:lang w:val="en-US" w:eastAsia="zh-CN"/>
        </w:rPr>
        <w:br w:type="page"/>
      </w:r>
    </w:p>
    <w:p>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w:t>
      </w:r>
      <w:r>
        <w:rPr>
          <w:rFonts w:hint="eastAsia" w:ascii="仿宋_GB2312"/>
          <w:sz w:val="32"/>
          <w:szCs w:val="32"/>
          <w:highlight w:val="none"/>
          <w:lang w:eastAsia="zh-CN"/>
        </w:rPr>
        <w:t>消防事务</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pPr>
        <w:ind w:firstLine="862" w:firstLineChars="196"/>
        <w:rPr>
          <w:rFonts w:ascii="仿宋_GB2312" w:hAnsi="宋体" w:eastAsia="仿宋_GB2312"/>
          <w:bCs/>
          <w:sz w:val="44"/>
          <w:szCs w:val="44"/>
          <w:highlight w:val="none"/>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szCs w:val="32"/>
          <w:lang w:eastAsia="zh-CN"/>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eastAsia="黑体"/>
          <w:szCs w:val="32"/>
          <w:lang w:eastAsia="zh-CN"/>
        </w:rPr>
        <w:t>柳州市柳江区财政预算绩效中心</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表1：单位收支总体情况表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表2：单位收入总体情况表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表3：单位支出总体情况表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表4：财政拨款收支总体情况表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表5：一般公共预算支出情况表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表6：一般公共预算基本支出情况表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表7：财政拨款“三公”经费、会议费和培训费支出</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表8：政府性基金预算支出情况表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表9：国有资本经营预算支出情况表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lang w:eastAsia="zh-CN"/>
        </w:rPr>
        <w:t>：项目绩效目标公开表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pPr>
        <w:rPr>
          <w:rFonts w:ascii="仿宋_GB2312" w:hAnsi="宋体" w:eastAsia="仿宋_GB2312"/>
          <w:bCs/>
          <w:sz w:val="44"/>
          <w:szCs w:val="44"/>
          <w:highlight w:val="none"/>
        </w:rPr>
      </w:pPr>
      <w:r>
        <w:rPr>
          <w:rFonts w:ascii="仿宋_GB2312" w:hAnsi="宋体" w:eastAsia="仿宋_GB2312"/>
          <w:bCs/>
          <w:sz w:val="44"/>
          <w:szCs w:val="44"/>
          <w:highlight w:val="none"/>
        </w:rPr>
        <w:br w:type="page"/>
      </w:r>
    </w:p>
    <w:tbl>
      <w:tblPr>
        <w:tblStyle w:val="7"/>
        <w:tblW w:w="83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16"/>
        <w:gridCol w:w="816"/>
        <w:gridCol w:w="3316"/>
        <w:gridCol w:w="1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2716" w:type="dxa"/>
            <w:tcBorders>
              <w:top w:val="nil"/>
              <w:left w:val="nil"/>
              <w:bottom w:val="nil"/>
              <w:right w:val="nil"/>
            </w:tcBorders>
            <w:shd w:val="clear" w:color="auto" w:fill="auto"/>
            <w:vAlign w:val="bottom"/>
          </w:tcPr>
          <w:p>
            <w:pPr>
              <w:rPr>
                <w:rFonts w:hint="eastAsia" w:ascii="宋体" w:hAnsi="宋体" w:eastAsia="宋体" w:cs="宋体"/>
                <w:i w:val="0"/>
                <w:iCs w:val="0"/>
                <w:color w:val="000000"/>
                <w:sz w:val="28"/>
                <w:szCs w:val="28"/>
                <w:u w:val="none"/>
              </w:rPr>
            </w:pPr>
          </w:p>
        </w:tc>
        <w:tc>
          <w:tcPr>
            <w:tcW w:w="816" w:type="dxa"/>
            <w:tcBorders>
              <w:top w:val="nil"/>
              <w:left w:val="nil"/>
              <w:bottom w:val="nil"/>
              <w:right w:val="nil"/>
            </w:tcBorders>
            <w:shd w:val="clear" w:color="auto" w:fill="auto"/>
            <w:vAlign w:val="bottom"/>
          </w:tcPr>
          <w:p>
            <w:pPr>
              <w:rPr>
                <w:rFonts w:hint="eastAsia" w:ascii="等线" w:hAnsi="等线" w:eastAsia="等线" w:cs="等线"/>
                <w:i w:val="0"/>
                <w:iCs w:val="0"/>
                <w:color w:val="000000"/>
                <w:sz w:val="22"/>
                <w:szCs w:val="22"/>
                <w:u w:val="none"/>
              </w:rPr>
            </w:pPr>
          </w:p>
        </w:tc>
        <w:tc>
          <w:tcPr>
            <w:tcW w:w="3316" w:type="dxa"/>
            <w:tcBorders>
              <w:top w:val="nil"/>
              <w:left w:val="nil"/>
              <w:bottom w:val="nil"/>
              <w:right w:val="nil"/>
            </w:tcBorders>
            <w:shd w:val="clear" w:color="auto" w:fill="auto"/>
            <w:vAlign w:val="bottom"/>
          </w:tcPr>
          <w:p>
            <w:pPr>
              <w:rPr>
                <w:rFonts w:hint="default" w:ascii="等线" w:hAnsi="等线" w:eastAsia="等线" w:cs="等线"/>
                <w:i w:val="0"/>
                <w:iCs w:val="0"/>
                <w:color w:val="000000"/>
                <w:sz w:val="22"/>
                <w:szCs w:val="22"/>
                <w:u w:val="none"/>
              </w:rPr>
            </w:pPr>
          </w:p>
        </w:tc>
        <w:tc>
          <w:tcPr>
            <w:tcW w:w="1516"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8364"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2716" w:type="dxa"/>
            <w:tcBorders>
              <w:top w:val="nil"/>
              <w:left w:val="nil"/>
              <w:bottom w:val="nil"/>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816" w:type="dxa"/>
            <w:tcBorders>
              <w:top w:val="nil"/>
              <w:left w:val="nil"/>
              <w:bottom w:val="nil"/>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3316" w:type="dxa"/>
            <w:tcBorders>
              <w:top w:val="nil"/>
              <w:left w:val="nil"/>
              <w:bottom w:val="nil"/>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1516"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3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4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目（按支出功能科目分类）</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一、一般公共预算拨款</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78.97</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一、一般公共服务支出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（一）上级补助</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二、外交支出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（二）本级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78.97</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三、国防支出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（三）一般债券收入</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四、公共安全支出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3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五、教育支出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（一）上级补助</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六、科学技术支出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（二）本级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七、文化旅游体育与传媒支出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（三）专项债券收入</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八、社会保障和就业支出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九、卫生健康支出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（一）上级补助</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十、节能环保支出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（二）本级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十一、城乡社区支出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四、财政专户管理资金</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十二、农林水支出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五、单位资金</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十三、交通运输支出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（一）事业收入</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十四、资源勘探工业信息等支出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（二）事业单位经营收入</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十五、商业服务业等支出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（三）上级补助收入</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十六、金融支出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（四）附属单位上缴收入</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十七、援助其他地区支出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（五）其他收入</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十八、自然资源海洋气象等支出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十九、住房保障支出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3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二十、粮油物资储备支出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二十一、国有资本经营预算支出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二十二、灾害防治及应急管理支出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二十三、其他支出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二十四、债务付息支出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二十五、债务发行费用支出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 年 收 入 合 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78.97</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 年 支 出 合 计</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上年结转结余</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结转下年支出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  总  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78.97</w:t>
            </w:r>
          </w:p>
        </w:tc>
        <w:tc>
          <w:tcPr>
            <w:tcW w:w="3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  总  计</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78.97</w:t>
            </w:r>
          </w:p>
        </w:tc>
      </w:tr>
    </w:tbl>
    <w:p>
      <w:pPr>
        <w:rPr>
          <w:rFonts w:ascii="仿宋_GB2312" w:hAnsi="宋体" w:eastAsia="仿宋_GB2312"/>
          <w:bCs/>
          <w:sz w:val="44"/>
          <w:szCs w:val="44"/>
          <w:highlight w:val="none"/>
        </w:rPr>
      </w:pPr>
    </w:p>
    <w:p>
      <w:pPr>
        <w:sectPr>
          <w:pgSz w:w="11906" w:h="16838"/>
          <w:pgMar w:top="1440" w:right="1800" w:bottom="1440" w:left="1800" w:header="851" w:footer="992" w:gutter="0"/>
          <w:cols w:space="720" w:num="1"/>
          <w:docGrid w:type="lines" w:linePitch="312" w:charSpace="0"/>
        </w:sectPr>
      </w:pP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6"/>
        <w:gridCol w:w="1540"/>
        <w:gridCol w:w="672"/>
        <w:gridCol w:w="672"/>
        <w:gridCol w:w="958"/>
        <w:gridCol w:w="878"/>
        <w:gridCol w:w="955"/>
        <w:gridCol w:w="955"/>
        <w:gridCol w:w="647"/>
        <w:gridCol w:w="493"/>
        <w:gridCol w:w="801"/>
        <w:gridCol w:w="878"/>
        <w:gridCol w:w="955"/>
        <w:gridCol w:w="955"/>
        <w:gridCol w:w="1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206" w:type="dxa"/>
            <w:tcBorders>
              <w:top w:val="nil"/>
              <w:left w:val="nil"/>
              <w:bottom w:val="nil"/>
              <w:right w:val="nil"/>
            </w:tcBorders>
            <w:shd w:val="clear" w:color="auto" w:fill="auto"/>
            <w:vAlign w:val="center"/>
          </w:tcPr>
          <w:p>
            <w:pPr>
              <w:rPr>
                <w:rFonts w:hint="eastAsia" w:ascii="宋体" w:hAnsi="宋体" w:eastAsia="宋体" w:cs="宋体"/>
                <w:b/>
                <w:bCs/>
                <w:i w:val="0"/>
                <w:iCs w:val="0"/>
                <w:color w:val="000000"/>
                <w:sz w:val="28"/>
                <w:szCs w:val="28"/>
                <w:u w:val="none"/>
              </w:rPr>
            </w:pPr>
          </w:p>
        </w:tc>
        <w:tc>
          <w:tcPr>
            <w:tcW w:w="15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16"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trPr>
        <w:tc>
          <w:tcPr>
            <w:tcW w:w="14081" w:type="dxa"/>
            <w:gridSpan w:val="1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部门收入总体情况表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300" w:hRule="atLeast"/>
        </w:trPr>
        <w:tc>
          <w:tcPr>
            <w:tcW w:w="12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540"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6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95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8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9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9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6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9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80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87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95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955" w:type="dxa"/>
            <w:tcBorders>
              <w:top w:val="nil"/>
              <w:left w:val="nil"/>
              <w:bottom w:val="nil"/>
              <w:right w:val="nil"/>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16"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50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55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5" w:hRule="atLeast"/>
        </w:trPr>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5"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Calibri" w:hAnsi="Calibri" w:cs="Calibri"/>
                <w:i w:val="0"/>
                <w:iCs w:val="0"/>
                <w:color w:val="000000"/>
                <w:sz w:val="20"/>
                <w:szCs w:val="20"/>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合计</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78.97</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78.97</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78.97</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Calibri" w:hAnsi="Calibri" w:cs="Calibri"/>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Calibri" w:hAnsi="Calibri" w:cs="Calibri"/>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Calibri" w:hAnsi="Calibri" w:cs="Calibri"/>
                <w:i w:val="0"/>
                <w:iCs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Calibri" w:hAnsi="Calibri" w:cs="Calibri"/>
                <w:i w:val="0"/>
                <w:iCs w:val="0"/>
                <w:color w:val="000000"/>
                <w:sz w:val="20"/>
                <w:szCs w:val="20"/>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Calibri" w:hAnsi="Calibri" w:cs="Calibri"/>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Calibri" w:hAnsi="Calibri" w:cs="Calibri"/>
                <w:i w:val="0"/>
                <w:iCs w:val="0"/>
                <w:color w:val="000000"/>
                <w:sz w:val="20"/>
                <w:szCs w:val="20"/>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Calibri" w:hAnsi="Calibri" w:cs="Calibri"/>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Calibri" w:hAnsi="Calibri" w:cs="Calibri"/>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Calibri" w:hAnsi="Calibri" w:cs="Calibri"/>
                <w:i w:val="0"/>
                <w:iCs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Calibri" w:hAnsi="Calibri" w:cs="Calibri"/>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108</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柳州市柳江区财政局</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78.97</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78.97</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78.97</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Calibri" w:hAnsi="Calibri" w:cs="Calibri"/>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Calibri" w:hAnsi="Calibri" w:cs="Calibri"/>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Calibri" w:hAnsi="Calibri" w:cs="Calibri"/>
                <w:i w:val="0"/>
                <w:iCs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Calibri" w:hAnsi="Calibri" w:cs="Calibri"/>
                <w:i w:val="0"/>
                <w:iCs w:val="0"/>
                <w:color w:val="000000"/>
                <w:sz w:val="20"/>
                <w:szCs w:val="20"/>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Calibri" w:hAnsi="Calibri" w:cs="Calibri"/>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Calibri" w:hAnsi="Calibri" w:cs="Calibri"/>
                <w:i w:val="0"/>
                <w:iCs w:val="0"/>
                <w:color w:val="000000"/>
                <w:sz w:val="20"/>
                <w:szCs w:val="20"/>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Calibri" w:hAnsi="Calibri" w:cs="Calibri"/>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Calibri" w:hAnsi="Calibri" w:cs="Calibri"/>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Calibri" w:hAnsi="Calibri" w:cs="Calibri"/>
                <w:i w:val="0"/>
                <w:iCs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Calibri" w:hAnsi="Calibri" w:cs="Calibri"/>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108006</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柳州市柳江区财政绩效管理中心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78.97</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78.97</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78.97</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Calibri" w:hAnsi="Calibri" w:cs="Calibri"/>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Calibri" w:hAnsi="Calibri" w:cs="Calibri"/>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Calibri" w:hAnsi="Calibri" w:cs="Calibri"/>
                <w:i w:val="0"/>
                <w:iCs w:val="0"/>
                <w:color w:val="000000"/>
                <w:sz w:val="20"/>
                <w:szCs w:val="20"/>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Calibri" w:hAnsi="Calibri" w:cs="Calibri"/>
                <w:i w:val="0"/>
                <w:iCs w:val="0"/>
                <w:color w:val="000000"/>
                <w:sz w:val="20"/>
                <w:szCs w:val="20"/>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Calibri" w:hAnsi="Calibri" w:cs="Calibri"/>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Calibri" w:hAnsi="Calibri" w:cs="Calibri"/>
                <w:i w:val="0"/>
                <w:iCs w:val="0"/>
                <w:color w:val="000000"/>
                <w:sz w:val="20"/>
                <w:szCs w:val="20"/>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Calibri" w:hAnsi="Calibri" w:cs="Calibri"/>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Calibri" w:hAnsi="Calibri" w:cs="Calibri"/>
                <w:i w:val="0"/>
                <w:iCs w:val="0"/>
                <w:color w:val="000000"/>
                <w:sz w:val="20"/>
                <w:szCs w:val="20"/>
                <w:u w:val="none"/>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Calibri" w:hAnsi="Calibri" w:cs="Calibri"/>
                <w:i w:val="0"/>
                <w:iCs w:val="0"/>
                <w:color w:val="000000"/>
                <w:sz w:val="20"/>
                <w:szCs w:val="20"/>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Calibri" w:hAnsi="Calibri" w:cs="Calibri"/>
                <w:i w:val="0"/>
                <w:iCs w:val="0"/>
                <w:color w:val="000000"/>
                <w:sz w:val="20"/>
                <w:szCs w:val="20"/>
                <w:u w:val="none"/>
              </w:rPr>
            </w:pPr>
          </w:p>
        </w:tc>
      </w:tr>
    </w:tbl>
    <w:p>
      <w:pPr>
        <w:sectPr>
          <w:pgSz w:w="16838" w:h="11906" w:orient="landscape"/>
          <w:pgMar w:top="1800" w:right="1440" w:bottom="1800" w:left="1440" w:header="851" w:footer="992" w:gutter="0"/>
          <w:cols w:space="720" w:num="1"/>
          <w:docGrid w:type="lines" w:linePitch="312" w:charSpace="0"/>
        </w:sectPr>
      </w:pP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1"/>
        <w:gridCol w:w="419"/>
        <w:gridCol w:w="419"/>
        <w:gridCol w:w="1546"/>
        <w:gridCol w:w="3416"/>
        <w:gridCol w:w="716"/>
        <w:gridCol w:w="1016"/>
        <w:gridCol w:w="562"/>
        <w:gridCol w:w="1292"/>
        <w:gridCol w:w="1292"/>
        <w:gridCol w:w="1292"/>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52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4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6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9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14081"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部门支出总体情况表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21" w:type="dxa"/>
            <w:tcBorders>
              <w:top w:val="nil"/>
              <w:left w:val="nil"/>
              <w:bottom w:val="nil"/>
              <w:right w:val="nil"/>
            </w:tcBorders>
            <w:shd w:val="clear" w:color="auto" w:fill="auto"/>
            <w:vAlign w:val="bottom"/>
          </w:tcPr>
          <w:p>
            <w:pPr>
              <w:rPr>
                <w:rFonts w:hint="eastAsia" w:ascii="Calibri" w:hAnsi="Calibri" w:cs="Calibri"/>
                <w:i w:val="0"/>
                <w:iCs w:val="0"/>
                <w:color w:val="000000"/>
                <w:sz w:val="22"/>
                <w:szCs w:val="22"/>
                <w:u w:val="none"/>
              </w:rPr>
            </w:pPr>
          </w:p>
        </w:tc>
        <w:tc>
          <w:tcPr>
            <w:tcW w:w="4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5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34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7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0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56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2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2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29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59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35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3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(功能分类科目名称)</w:t>
            </w:r>
          </w:p>
        </w:tc>
        <w:tc>
          <w:tcPr>
            <w:tcW w:w="776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3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60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35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运转履职类项目</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重大政策类项目</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特定监控类项目</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专项事业类项目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i w:val="0"/>
                <w:iCs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i w:val="0"/>
                <w:iCs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i w:val="0"/>
                <w:iCs w:val="0"/>
                <w:color w:val="000000"/>
                <w:sz w:val="20"/>
                <w:szCs w:val="2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合计</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78.97</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i w:val="0"/>
                <w:iCs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i w:val="0"/>
                <w:iCs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i w:val="0"/>
                <w:iCs w:val="0"/>
                <w:color w:val="000000"/>
                <w:sz w:val="20"/>
                <w:szCs w:val="2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柳州市柳江区财政局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78.97</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i w:val="0"/>
                <w:iCs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i w:val="0"/>
                <w:iCs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Calibri" w:hAnsi="Calibri" w:cs="Calibri"/>
                <w:i w:val="0"/>
                <w:iCs w:val="0"/>
                <w:color w:val="000000"/>
                <w:sz w:val="20"/>
                <w:szCs w:val="20"/>
                <w:u w:val="none"/>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108006</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柳州市柳江区财政绩效管理中心</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78.97</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06</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50</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事业运行</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54.92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54.92</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208</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05</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05</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机关事业单位基本养老保险缴费支出</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8.75</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208</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05</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06</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机关事业单位职业年金缴费支出</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210</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11</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02</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事业单位医疗</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221</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02</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01</w:t>
            </w:r>
          </w:p>
        </w:tc>
        <w:tc>
          <w:tcPr>
            <w:tcW w:w="15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住房公积金</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6.56</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bl>
    <w:p>
      <w:pPr>
        <w:sectPr>
          <w:pgSz w:w="16838" w:h="11906" w:orient="landscape"/>
          <w:pgMar w:top="1800" w:right="1440" w:bottom="1800" w:left="1440" w:header="851" w:footer="992" w:gutter="0"/>
          <w:cols w:space="720" w:num="1"/>
          <w:docGrid w:type="lines" w:linePitch="312" w:charSpace="0"/>
        </w:sectPr>
      </w:pPr>
    </w:p>
    <w:tbl>
      <w:tblPr>
        <w:tblStyle w:val="7"/>
        <w:tblW w:w="82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16"/>
        <w:gridCol w:w="816"/>
        <w:gridCol w:w="3516"/>
        <w:gridCol w:w="1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2416" w:type="dxa"/>
            <w:tcBorders>
              <w:top w:val="nil"/>
              <w:left w:val="nil"/>
              <w:bottom w:val="nil"/>
              <w:right w:val="nil"/>
            </w:tcBorders>
            <w:shd w:val="clear" w:color="auto" w:fill="auto"/>
            <w:vAlign w:val="bottom"/>
          </w:tcPr>
          <w:p>
            <w:pPr>
              <w:rPr>
                <w:rFonts w:hint="eastAsia" w:ascii="Arial" w:hAnsi="Arial" w:cs="Arial"/>
                <w:i w:val="0"/>
                <w:iCs w:val="0"/>
                <w:color w:val="000000"/>
                <w:sz w:val="20"/>
                <w:szCs w:val="20"/>
                <w:u w:val="none"/>
              </w:rPr>
            </w:pPr>
          </w:p>
        </w:tc>
        <w:tc>
          <w:tcPr>
            <w:tcW w:w="816"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3516"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516"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8264"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2416" w:type="dxa"/>
            <w:tcBorders>
              <w:top w:val="nil"/>
              <w:left w:val="nil"/>
              <w:bottom w:val="nil"/>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816" w:type="dxa"/>
            <w:tcBorders>
              <w:top w:val="nil"/>
              <w:left w:val="nil"/>
              <w:bottom w:val="nil"/>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3516" w:type="dxa"/>
            <w:tcBorders>
              <w:top w:val="nil"/>
              <w:left w:val="nil"/>
              <w:bottom w:val="nil"/>
              <w:right w:val="nil"/>
            </w:tcBorders>
            <w:shd w:val="clear" w:color="auto" w:fill="auto"/>
            <w:vAlign w:val="bottom"/>
          </w:tcPr>
          <w:p>
            <w:pPr>
              <w:rPr>
                <w:rFonts w:hint="eastAsia" w:ascii="宋体" w:hAnsi="宋体" w:eastAsia="宋体" w:cs="宋体"/>
                <w:i w:val="0"/>
                <w:iCs w:val="0"/>
                <w:color w:val="000000"/>
                <w:sz w:val="20"/>
                <w:szCs w:val="20"/>
                <w:u w:val="none"/>
              </w:rPr>
            </w:pPr>
          </w:p>
        </w:tc>
        <w:tc>
          <w:tcPr>
            <w:tcW w:w="1516"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3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50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目（按支出功能科目分类）</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一、本年收入 </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78.97</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一、本年支出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78.97</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（一）一般公共服务支出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1、上级补助</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（二）外交支出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2、本级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78.97</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（三）国防支出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3、一般债券收入</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（四）公共安全支出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（五）教育支出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1、上级补助</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（六）科学技术支出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2、本级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（七）文化旅游体育与传媒支出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3、专项债券收入</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（八）社会保障和就业支出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（九）卫生健康支出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1、上级补助</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（十）节能环保支出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2、本级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（十一）城乡社区支出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二、上年结转结余</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（十二）农林水支出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（十三）交通运输支出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（十四）资源勘探工业信息等支出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（十五）商业服务业等支出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（十六）金融支出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（十七）援助其他地区支出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（十八）自然资源海洋气象等支出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（十九）住房保障支出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（二十）粮油物资储备支出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（二十一）国有资本经营预算支出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（二十二）灾害防治及应急管理支出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（二十三）其他支出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（二十四）债务付息支出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（二十五）债务发行费用支出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二、结转下年支出</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   总   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78.97</w:t>
            </w:r>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　　　总　　　计</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78.97</w:t>
            </w:r>
          </w:p>
        </w:tc>
      </w:tr>
    </w:tbl>
    <w:p>
      <w:pPr>
        <w:sectPr>
          <w:pgSz w:w="11906" w:h="16838"/>
          <w:pgMar w:top="1440" w:right="1800" w:bottom="1440" w:left="1800" w:header="851" w:footer="992" w:gutter="0"/>
          <w:cols w:space="720" w:num="1"/>
          <w:docGrid w:type="lines" w:linePitch="312" w:charSpace="0"/>
        </w:sectPr>
      </w:pPr>
    </w:p>
    <w:tbl>
      <w:tblPr>
        <w:tblStyle w:val="7"/>
        <w:tblW w:w="141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2"/>
        <w:gridCol w:w="507"/>
        <w:gridCol w:w="513"/>
        <w:gridCol w:w="2224"/>
        <w:gridCol w:w="4184"/>
        <w:gridCol w:w="875"/>
        <w:gridCol w:w="875"/>
        <w:gridCol w:w="1244"/>
        <w:gridCol w:w="1247"/>
        <w:gridCol w:w="18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63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0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2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64"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14165"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一般公共预算支出情况表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00" w:hRule="atLeast"/>
        </w:trPr>
        <w:tc>
          <w:tcPr>
            <w:tcW w:w="632" w:type="dxa"/>
            <w:tcBorders>
              <w:top w:val="nil"/>
              <w:left w:val="nil"/>
              <w:bottom w:val="nil"/>
              <w:right w:val="nil"/>
            </w:tcBorders>
            <w:shd w:val="clear" w:color="auto" w:fill="auto"/>
            <w:vAlign w:val="bottom"/>
          </w:tcPr>
          <w:p>
            <w:pPr>
              <w:rPr>
                <w:rFonts w:hint="eastAsia" w:ascii="Calibri" w:hAnsi="Calibri" w:cs="Calibri"/>
                <w:i w:val="0"/>
                <w:iCs w:val="0"/>
                <w:color w:val="000000"/>
                <w:sz w:val="22"/>
                <w:szCs w:val="22"/>
                <w:u w:val="none"/>
              </w:rPr>
            </w:pPr>
          </w:p>
        </w:tc>
        <w:tc>
          <w:tcPr>
            <w:tcW w:w="50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51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222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18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8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87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24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2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864"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65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4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(功能分类科目名称)</w:t>
            </w:r>
          </w:p>
        </w:tc>
        <w:tc>
          <w:tcPr>
            <w:tcW w:w="6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本年一般公共预算支出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65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3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c>
          <w:tcPr>
            <w:tcW w:w="1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78.97</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78.97</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8.95</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柳州市柳江区财政局</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78.97</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78.97</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8.95</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108006</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柳州市柳江区财政绩效管理中心</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78.97</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78.97</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70.02</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8.95</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465"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事业运行</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54.92</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54.92</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45.97</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8.95</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8.75</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8.75</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事业单位医疗</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6.56</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6.56</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6.56</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bl>
    <w:p>
      <w:pPr>
        <w:sectPr>
          <w:pgSz w:w="16838" w:h="11906" w:orient="landscape"/>
          <w:pgMar w:top="1800" w:right="1440" w:bottom="1800" w:left="1440" w:header="851" w:footer="992" w:gutter="0"/>
          <w:cols w:space="720" w:num="1"/>
          <w:docGrid w:type="lines" w:linePitch="312" w:charSpace="0"/>
        </w:sectPr>
      </w:pPr>
    </w:p>
    <w:tbl>
      <w:tblPr>
        <w:tblStyle w:val="7"/>
        <w:tblW w:w="85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443"/>
        <w:gridCol w:w="3016"/>
        <w:gridCol w:w="1472"/>
        <w:gridCol w:w="1496"/>
        <w:gridCol w:w="15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5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4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0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574"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0" w:hRule="atLeast"/>
        </w:trPr>
        <w:tc>
          <w:tcPr>
            <w:tcW w:w="8517"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一般公共预算基本支出情况表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5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4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30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47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496" w:type="dxa"/>
            <w:tcBorders>
              <w:top w:val="nil"/>
              <w:left w:val="nil"/>
              <w:bottom w:val="nil"/>
              <w:right w:val="nil"/>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74"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部门预算支出经济分类科目</w:t>
            </w:r>
          </w:p>
        </w:tc>
        <w:tc>
          <w:tcPr>
            <w:tcW w:w="45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本年一般公共预算基本支出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70.02</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70.02</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基本工资</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20.53</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津贴补贴</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10.86</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奖金</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绩效工资</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12.49</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8.75</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职业年金缴费</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职工基本医疗保险缴费</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4.32</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其他社会保障缴费</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0.43</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0.43</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6.56</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办公费</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印刷费</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0.18</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邮电费</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差旅费</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维修（护）费</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会议费</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培训费</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工会经费</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0.99</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其他商品和服务支出</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w:t>
            </w:r>
          </w:p>
        </w:tc>
        <w:tc>
          <w:tcPr>
            <w:tcW w:w="1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w:t>
            </w:r>
          </w:p>
        </w:tc>
      </w:tr>
    </w:tbl>
    <w:p>
      <w:pPr>
        <w:sectPr>
          <w:pgSz w:w="11906" w:h="16838"/>
          <w:pgMar w:top="1440" w:right="1800" w:bottom="1440" w:left="1800" w:header="851" w:footer="992" w:gutter="0"/>
          <w:cols w:space="720" w:num="1"/>
          <w:docGrid w:type="lines" w:linePitch="312" w:charSpace="0"/>
        </w:sectPr>
      </w:pPr>
    </w:p>
    <w:tbl>
      <w:tblPr>
        <w:tblStyle w:val="7"/>
        <w:tblW w:w="141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3016"/>
        <w:gridCol w:w="1816"/>
        <w:gridCol w:w="616"/>
        <w:gridCol w:w="654"/>
        <w:gridCol w:w="816"/>
        <w:gridCol w:w="547"/>
        <w:gridCol w:w="691"/>
        <w:gridCol w:w="1009"/>
        <w:gridCol w:w="799"/>
        <w:gridCol w:w="637"/>
        <w:gridCol w:w="616"/>
        <w:gridCol w:w="616"/>
        <w:gridCol w:w="1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5" w:hRule="atLeast"/>
        </w:trPr>
        <w:tc>
          <w:tcPr>
            <w:tcW w:w="8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0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8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5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3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6" w:type="dxa"/>
            <w:tcBorders>
              <w:top w:val="nil"/>
              <w:left w:val="nil"/>
              <w:bottom w:val="nil"/>
              <w:right w:val="nil"/>
            </w:tcBorders>
            <w:shd w:val="clear" w:color="auto" w:fill="auto"/>
            <w:vAlign w:val="bottom"/>
          </w:tcPr>
          <w:p>
            <w:pPr>
              <w:rPr>
                <w:rFonts w:hint="eastAsia" w:ascii="Calibri" w:hAnsi="Calibri" w:cs="Calibri"/>
                <w:i w:val="0"/>
                <w:iCs w:val="0"/>
                <w:color w:val="000000"/>
                <w:sz w:val="22"/>
                <w:szCs w:val="22"/>
                <w:u w:val="none"/>
              </w:rPr>
            </w:pPr>
          </w:p>
        </w:tc>
        <w:tc>
          <w:tcPr>
            <w:tcW w:w="616" w:type="dxa"/>
            <w:tcBorders>
              <w:top w:val="nil"/>
              <w:left w:val="nil"/>
              <w:bottom w:val="nil"/>
              <w:right w:val="nil"/>
            </w:tcBorders>
            <w:shd w:val="clear" w:color="auto" w:fill="auto"/>
            <w:vAlign w:val="bottom"/>
          </w:tcPr>
          <w:p>
            <w:pPr>
              <w:rPr>
                <w:rFonts w:hint="default" w:ascii="Calibri" w:hAnsi="Calibri" w:cs="Calibri"/>
                <w:i w:val="0"/>
                <w:iCs w:val="0"/>
                <w:color w:val="000000"/>
                <w:sz w:val="22"/>
                <w:szCs w:val="22"/>
                <w:u w:val="none"/>
              </w:rPr>
            </w:pPr>
          </w:p>
        </w:tc>
        <w:tc>
          <w:tcPr>
            <w:tcW w:w="1516"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2033"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财政拨款“三公”经费、会议费和培训费支出情况表</w:t>
            </w:r>
          </w:p>
        </w:tc>
        <w:tc>
          <w:tcPr>
            <w:tcW w:w="616" w:type="dxa"/>
            <w:tcBorders>
              <w:top w:val="nil"/>
              <w:left w:val="nil"/>
              <w:bottom w:val="nil"/>
              <w:right w:val="nil"/>
            </w:tcBorders>
            <w:shd w:val="clear" w:color="auto" w:fill="auto"/>
            <w:vAlign w:val="bottom"/>
          </w:tcPr>
          <w:p>
            <w:pPr>
              <w:rPr>
                <w:rFonts w:hint="default" w:ascii="Calibri" w:hAnsi="Calibri" w:cs="Calibri"/>
                <w:i w:val="0"/>
                <w:iCs w:val="0"/>
                <w:color w:val="000000"/>
                <w:sz w:val="22"/>
                <w:szCs w:val="22"/>
                <w:u w:val="none"/>
              </w:rPr>
            </w:pPr>
          </w:p>
        </w:tc>
        <w:tc>
          <w:tcPr>
            <w:tcW w:w="1516" w:type="dxa"/>
            <w:tcBorders>
              <w:top w:val="nil"/>
              <w:left w:val="nil"/>
              <w:bottom w:val="nil"/>
              <w:right w:val="nil"/>
            </w:tcBorders>
            <w:shd w:val="clear" w:color="auto" w:fill="auto"/>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16" w:type="dxa"/>
            <w:tcBorders>
              <w:top w:val="nil"/>
              <w:left w:val="nil"/>
              <w:bottom w:val="nil"/>
              <w:right w:val="nil"/>
            </w:tcBorders>
            <w:shd w:val="clear" w:color="auto" w:fill="auto"/>
            <w:vAlign w:val="bottom"/>
          </w:tcPr>
          <w:p>
            <w:pPr>
              <w:rPr>
                <w:rFonts w:hint="default" w:ascii="Calibri" w:hAnsi="Calibri" w:cs="Calibri"/>
                <w:i w:val="0"/>
                <w:iCs w:val="0"/>
                <w:color w:val="000000"/>
                <w:sz w:val="22"/>
                <w:szCs w:val="22"/>
                <w:u w:val="none"/>
              </w:rPr>
            </w:pPr>
          </w:p>
        </w:tc>
        <w:tc>
          <w:tcPr>
            <w:tcW w:w="30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8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6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65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81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54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69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00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79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63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616" w:type="dxa"/>
            <w:tcBorders>
              <w:top w:val="nil"/>
              <w:left w:val="nil"/>
              <w:bottom w:val="nil"/>
              <w:right w:val="nil"/>
            </w:tcBorders>
            <w:shd w:val="clear" w:color="auto" w:fill="auto"/>
            <w:vAlign w:val="bottom"/>
          </w:tcPr>
          <w:p>
            <w:pPr>
              <w:rPr>
                <w:rFonts w:hint="default" w:ascii="Calibri" w:hAnsi="Calibri" w:cs="Calibri"/>
                <w:i w:val="0"/>
                <w:iCs w:val="0"/>
                <w:color w:val="000000"/>
                <w:sz w:val="20"/>
                <w:szCs w:val="20"/>
                <w:u w:val="none"/>
              </w:rPr>
            </w:pPr>
          </w:p>
        </w:tc>
        <w:tc>
          <w:tcPr>
            <w:tcW w:w="616" w:type="dxa"/>
            <w:tcBorders>
              <w:top w:val="nil"/>
              <w:left w:val="nil"/>
              <w:bottom w:val="nil"/>
              <w:right w:val="nil"/>
            </w:tcBorders>
            <w:shd w:val="clear" w:color="auto" w:fill="auto"/>
            <w:vAlign w:val="bottom"/>
          </w:tcPr>
          <w:p>
            <w:pPr>
              <w:jc w:val="right"/>
              <w:rPr>
                <w:rFonts w:hint="default" w:ascii="Calibri" w:hAnsi="Calibri" w:cs="Calibri"/>
                <w:i w:val="0"/>
                <w:iCs w:val="0"/>
                <w:color w:val="000000"/>
                <w:sz w:val="20"/>
                <w:szCs w:val="20"/>
                <w:u w:val="none"/>
              </w:rPr>
            </w:pPr>
          </w:p>
        </w:tc>
        <w:tc>
          <w:tcPr>
            <w:tcW w:w="1516"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3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p>
        </w:tc>
        <w:tc>
          <w:tcPr>
            <w:tcW w:w="1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资金性质</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45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“三公”经费</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会议费</w:t>
            </w:r>
          </w:p>
        </w:tc>
        <w:tc>
          <w:tcPr>
            <w:tcW w:w="2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224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公务用车购置及运行维护费</w:t>
            </w:r>
          </w:p>
        </w:tc>
        <w:tc>
          <w:tcPr>
            <w:tcW w:w="799" w:type="dxa"/>
            <w:vMerge w:val="restar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本级资金安排</w:t>
            </w:r>
          </w:p>
        </w:tc>
        <w:tc>
          <w:tcPr>
            <w:tcW w:w="1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上级补助资金安排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4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9"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公务用车运行维护费</w:t>
            </w:r>
          </w:p>
        </w:tc>
        <w:tc>
          <w:tcPr>
            <w:tcW w:w="799"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9" w:type="dxa"/>
            <w:vMerge w:val="continue"/>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柳州市柳江区财政局</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108006</w:t>
            </w:r>
          </w:p>
        </w:tc>
        <w:tc>
          <w:tcPr>
            <w:tcW w:w="3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柳州市柳江区财政绩效管理中心</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一般公共预算资金</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bl>
    <w:p>
      <w:pPr>
        <w:sectPr>
          <w:pgSz w:w="16838" w:h="11906" w:orient="landscape"/>
          <w:pgMar w:top="1800" w:right="1440" w:bottom="1800" w:left="1440" w:header="851" w:footer="992" w:gutter="0"/>
          <w:cols w:space="720" w:num="1"/>
          <w:docGrid w:type="lines" w:linePitch="312" w:charSpace="0"/>
        </w:sectPr>
      </w:pPr>
    </w:p>
    <w:tbl>
      <w:tblPr>
        <w:tblStyle w:val="7"/>
        <w:tblW w:w="141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6"/>
        <w:gridCol w:w="618"/>
        <w:gridCol w:w="606"/>
        <w:gridCol w:w="1465"/>
        <w:gridCol w:w="4157"/>
        <w:gridCol w:w="1969"/>
        <w:gridCol w:w="2154"/>
        <w:gridCol w:w="2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6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1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6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1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9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15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2593"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5" w:hRule="atLeast"/>
        </w:trPr>
        <w:tc>
          <w:tcPr>
            <w:tcW w:w="14168"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政府性基金预算支出情况表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606" w:type="dxa"/>
            <w:tcBorders>
              <w:top w:val="nil"/>
              <w:left w:val="nil"/>
              <w:bottom w:val="nil"/>
              <w:right w:val="nil"/>
            </w:tcBorders>
            <w:shd w:val="clear" w:color="auto" w:fill="auto"/>
            <w:vAlign w:val="bottom"/>
          </w:tcPr>
          <w:p>
            <w:pPr>
              <w:rPr>
                <w:rFonts w:hint="eastAsia" w:ascii="Calibri" w:hAnsi="Calibri" w:cs="Calibri"/>
                <w:i w:val="0"/>
                <w:iCs w:val="0"/>
                <w:color w:val="000000"/>
                <w:sz w:val="22"/>
                <w:szCs w:val="22"/>
                <w:u w:val="none"/>
              </w:rPr>
            </w:pPr>
          </w:p>
        </w:tc>
        <w:tc>
          <w:tcPr>
            <w:tcW w:w="618"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60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46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15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9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2154"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2593"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0" w:hRule="atLeast"/>
        </w:trPr>
        <w:tc>
          <w:tcPr>
            <w:tcW w:w="18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41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(功能分类科目名称)</w:t>
            </w:r>
          </w:p>
        </w:tc>
        <w:tc>
          <w:tcPr>
            <w:tcW w:w="6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8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bl>
    <w:p>
      <w:pPr>
        <w:sectPr>
          <w:pgSz w:w="16838" w:h="11906" w:orient="landscape"/>
          <w:pgMar w:top="1800" w:right="1440" w:bottom="1800" w:left="1440" w:header="851" w:footer="992" w:gutter="0"/>
          <w:cols w:space="720" w:num="1"/>
          <w:docGrid w:type="lines" w:linePitch="312" w:charSpace="0"/>
        </w:sectPr>
      </w:pPr>
    </w:p>
    <w:tbl>
      <w:tblPr>
        <w:tblStyle w:val="7"/>
        <w:tblW w:w="141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649"/>
        <w:gridCol w:w="652"/>
        <w:gridCol w:w="2601"/>
        <w:gridCol w:w="3902"/>
        <w:gridCol w:w="2100"/>
        <w:gridCol w:w="1836"/>
        <w:gridCol w:w="1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648"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9"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01"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0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6"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8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trPr>
        <w:tc>
          <w:tcPr>
            <w:tcW w:w="14168"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国有资本经营预算支出情况表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648" w:type="dxa"/>
            <w:tcBorders>
              <w:top w:val="nil"/>
              <w:left w:val="nil"/>
              <w:bottom w:val="nil"/>
              <w:right w:val="nil"/>
            </w:tcBorders>
            <w:shd w:val="clear" w:color="auto" w:fill="auto"/>
            <w:vAlign w:val="bottom"/>
          </w:tcPr>
          <w:p>
            <w:pPr>
              <w:rPr>
                <w:rFonts w:hint="eastAsia" w:ascii="Calibri" w:hAnsi="Calibri" w:cs="Calibri"/>
                <w:i w:val="0"/>
                <w:iCs w:val="0"/>
                <w:color w:val="000000"/>
                <w:sz w:val="22"/>
                <w:szCs w:val="22"/>
                <w:u w:val="none"/>
              </w:rPr>
            </w:pPr>
          </w:p>
        </w:tc>
        <w:tc>
          <w:tcPr>
            <w:tcW w:w="649"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5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01"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02"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36" w:type="dxa"/>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80"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0" w:hRule="atLeast"/>
        </w:trPr>
        <w:tc>
          <w:tcPr>
            <w:tcW w:w="194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39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(功能分类科目名称)</w:t>
            </w:r>
          </w:p>
        </w:tc>
        <w:tc>
          <w:tcPr>
            <w:tcW w:w="5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本年国有资本经营预算支出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194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9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bl>
    <w:p>
      <w:pPr>
        <w:sectPr>
          <w:pgSz w:w="16838" w:h="11906" w:orient="landscape"/>
          <w:pgMar w:top="1800" w:right="1440" w:bottom="1800" w:left="1440" w:header="851" w:footer="992" w:gutter="0"/>
          <w:cols w:space="720" w:num="1"/>
          <w:docGrid w:type="lines" w:linePitch="312" w:charSpace="0"/>
        </w:sectPr>
      </w:pPr>
    </w:p>
    <w:tbl>
      <w:tblPr>
        <w:tblStyle w:val="7"/>
        <w:tblW w:w="141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808"/>
        <w:gridCol w:w="1679"/>
        <w:gridCol w:w="1668"/>
        <w:gridCol w:w="1416"/>
        <w:gridCol w:w="458"/>
        <w:gridCol w:w="750"/>
        <w:gridCol w:w="750"/>
        <w:gridCol w:w="750"/>
        <w:gridCol w:w="750"/>
        <w:gridCol w:w="750"/>
        <w:gridCol w:w="750"/>
        <w:gridCol w:w="750"/>
        <w:gridCol w:w="751"/>
        <w:gridCol w:w="15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5" w:hRule="atLeast"/>
        </w:trPr>
        <w:tc>
          <w:tcPr>
            <w:tcW w:w="616" w:type="dxa"/>
            <w:tcBorders>
              <w:top w:val="nil"/>
              <w:left w:val="nil"/>
              <w:bottom w:val="nil"/>
              <w:right w:val="nil"/>
            </w:tcBorders>
            <w:shd w:val="clear" w:color="auto" w:fill="auto"/>
            <w:vAlign w:val="bottom"/>
          </w:tcPr>
          <w:p>
            <w:pPr>
              <w:rPr>
                <w:rFonts w:hint="eastAsia" w:ascii="Arial" w:hAnsi="Arial" w:cs="Arial"/>
                <w:i w:val="0"/>
                <w:iCs w:val="0"/>
                <w:color w:val="000000"/>
                <w:sz w:val="20"/>
                <w:szCs w:val="20"/>
                <w:u w:val="none"/>
              </w:rPr>
            </w:pPr>
          </w:p>
        </w:tc>
        <w:tc>
          <w:tcPr>
            <w:tcW w:w="808"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679"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668"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416"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458"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750"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750"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750"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750"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750"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750"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750"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751"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517" w:type="dxa"/>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5" w:hRule="atLeast"/>
        </w:trPr>
        <w:tc>
          <w:tcPr>
            <w:tcW w:w="14163" w:type="dxa"/>
            <w:gridSpan w:val="1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项目绩效目标公开表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0" w:hRule="atLeast"/>
        </w:trPr>
        <w:tc>
          <w:tcPr>
            <w:tcW w:w="616" w:type="dxa"/>
            <w:tcBorders>
              <w:top w:val="nil"/>
              <w:left w:val="nil"/>
              <w:bottom w:val="nil"/>
              <w:right w:val="nil"/>
            </w:tcBorders>
            <w:shd w:val="clear" w:color="auto" w:fill="auto"/>
            <w:vAlign w:val="bottom"/>
          </w:tcPr>
          <w:p>
            <w:pPr>
              <w:jc w:val="left"/>
              <w:rPr>
                <w:rFonts w:hint="eastAsia" w:ascii="宋体" w:hAnsi="宋体" w:eastAsia="宋体" w:cs="宋体"/>
                <w:i w:val="0"/>
                <w:iCs w:val="0"/>
                <w:color w:val="000000"/>
                <w:sz w:val="20"/>
                <w:szCs w:val="20"/>
                <w:u w:val="none"/>
              </w:rPr>
            </w:pPr>
          </w:p>
        </w:tc>
        <w:tc>
          <w:tcPr>
            <w:tcW w:w="808" w:type="dxa"/>
            <w:tcBorders>
              <w:top w:val="nil"/>
              <w:left w:val="nil"/>
              <w:bottom w:val="nil"/>
              <w:right w:val="nil"/>
            </w:tcBorders>
            <w:shd w:val="clear" w:color="auto" w:fill="auto"/>
            <w:vAlign w:val="bottom"/>
          </w:tcPr>
          <w:p>
            <w:pPr>
              <w:rPr>
                <w:rFonts w:hint="eastAsia" w:ascii="等线" w:hAnsi="等线" w:eastAsia="等线" w:cs="等线"/>
                <w:i w:val="0"/>
                <w:iCs w:val="0"/>
                <w:color w:val="000000"/>
                <w:sz w:val="22"/>
                <w:szCs w:val="22"/>
                <w:u w:val="none"/>
              </w:rPr>
            </w:pPr>
          </w:p>
        </w:tc>
        <w:tc>
          <w:tcPr>
            <w:tcW w:w="1679" w:type="dxa"/>
            <w:tcBorders>
              <w:top w:val="nil"/>
              <w:left w:val="nil"/>
              <w:bottom w:val="nil"/>
              <w:right w:val="nil"/>
            </w:tcBorders>
            <w:shd w:val="clear" w:color="auto" w:fill="auto"/>
            <w:vAlign w:val="bottom"/>
          </w:tcPr>
          <w:p>
            <w:pPr>
              <w:rPr>
                <w:rFonts w:hint="default" w:ascii="等线" w:hAnsi="等线" w:eastAsia="等线" w:cs="等线"/>
                <w:i w:val="0"/>
                <w:iCs w:val="0"/>
                <w:color w:val="000000"/>
                <w:sz w:val="22"/>
                <w:szCs w:val="22"/>
                <w:u w:val="none"/>
              </w:rPr>
            </w:pPr>
          </w:p>
        </w:tc>
        <w:tc>
          <w:tcPr>
            <w:tcW w:w="1668" w:type="dxa"/>
            <w:tcBorders>
              <w:top w:val="nil"/>
              <w:left w:val="nil"/>
              <w:bottom w:val="nil"/>
              <w:right w:val="nil"/>
            </w:tcBorders>
            <w:shd w:val="clear" w:color="auto" w:fill="auto"/>
            <w:vAlign w:val="bottom"/>
          </w:tcPr>
          <w:p>
            <w:pPr>
              <w:rPr>
                <w:rFonts w:hint="default" w:ascii="等线" w:hAnsi="等线" w:eastAsia="等线" w:cs="等线"/>
                <w:i w:val="0"/>
                <w:iCs w:val="0"/>
                <w:color w:val="000000"/>
                <w:sz w:val="22"/>
                <w:szCs w:val="22"/>
                <w:u w:val="none"/>
              </w:rPr>
            </w:pPr>
          </w:p>
        </w:tc>
        <w:tc>
          <w:tcPr>
            <w:tcW w:w="1416" w:type="dxa"/>
            <w:tcBorders>
              <w:top w:val="nil"/>
              <w:left w:val="nil"/>
              <w:bottom w:val="nil"/>
              <w:right w:val="nil"/>
            </w:tcBorders>
            <w:shd w:val="clear" w:color="auto" w:fill="auto"/>
            <w:vAlign w:val="bottom"/>
          </w:tcPr>
          <w:p>
            <w:pPr>
              <w:rPr>
                <w:rFonts w:hint="default" w:ascii="等线" w:hAnsi="等线" w:eastAsia="等线" w:cs="等线"/>
                <w:i w:val="0"/>
                <w:iCs w:val="0"/>
                <w:color w:val="000000"/>
                <w:sz w:val="22"/>
                <w:szCs w:val="22"/>
                <w:u w:val="none"/>
              </w:rPr>
            </w:pPr>
          </w:p>
        </w:tc>
        <w:tc>
          <w:tcPr>
            <w:tcW w:w="458" w:type="dxa"/>
            <w:tcBorders>
              <w:top w:val="nil"/>
              <w:left w:val="nil"/>
              <w:bottom w:val="nil"/>
              <w:right w:val="nil"/>
            </w:tcBorders>
            <w:shd w:val="clear" w:color="auto" w:fill="auto"/>
            <w:vAlign w:val="bottom"/>
          </w:tcPr>
          <w:p>
            <w:pPr>
              <w:rPr>
                <w:rFonts w:hint="default" w:ascii="等线" w:hAnsi="等线" w:eastAsia="等线" w:cs="等线"/>
                <w:i w:val="0"/>
                <w:iCs w:val="0"/>
                <w:color w:val="000000"/>
                <w:sz w:val="22"/>
                <w:szCs w:val="22"/>
                <w:u w:val="none"/>
              </w:rPr>
            </w:pPr>
          </w:p>
        </w:tc>
        <w:tc>
          <w:tcPr>
            <w:tcW w:w="750" w:type="dxa"/>
            <w:tcBorders>
              <w:top w:val="nil"/>
              <w:left w:val="nil"/>
              <w:bottom w:val="nil"/>
              <w:right w:val="nil"/>
            </w:tcBorders>
            <w:shd w:val="clear" w:color="auto" w:fill="auto"/>
            <w:vAlign w:val="bottom"/>
          </w:tcPr>
          <w:p>
            <w:pPr>
              <w:rPr>
                <w:rFonts w:hint="default" w:ascii="等线" w:hAnsi="等线" w:eastAsia="等线" w:cs="等线"/>
                <w:i w:val="0"/>
                <w:iCs w:val="0"/>
                <w:color w:val="000000"/>
                <w:sz w:val="22"/>
                <w:szCs w:val="22"/>
                <w:u w:val="none"/>
              </w:rPr>
            </w:pPr>
          </w:p>
        </w:tc>
        <w:tc>
          <w:tcPr>
            <w:tcW w:w="750" w:type="dxa"/>
            <w:tcBorders>
              <w:top w:val="nil"/>
              <w:left w:val="nil"/>
              <w:bottom w:val="nil"/>
              <w:right w:val="nil"/>
            </w:tcBorders>
            <w:shd w:val="clear" w:color="auto" w:fill="auto"/>
            <w:vAlign w:val="bottom"/>
          </w:tcPr>
          <w:p>
            <w:pPr>
              <w:rPr>
                <w:rFonts w:hint="default" w:ascii="等线" w:hAnsi="等线" w:eastAsia="等线" w:cs="等线"/>
                <w:i w:val="0"/>
                <w:iCs w:val="0"/>
                <w:color w:val="000000"/>
                <w:sz w:val="22"/>
                <w:szCs w:val="22"/>
                <w:u w:val="none"/>
              </w:rPr>
            </w:pPr>
          </w:p>
        </w:tc>
        <w:tc>
          <w:tcPr>
            <w:tcW w:w="750" w:type="dxa"/>
            <w:tcBorders>
              <w:top w:val="nil"/>
              <w:left w:val="nil"/>
              <w:bottom w:val="nil"/>
              <w:right w:val="nil"/>
            </w:tcBorders>
            <w:shd w:val="clear" w:color="auto" w:fill="auto"/>
            <w:vAlign w:val="bottom"/>
          </w:tcPr>
          <w:p>
            <w:pPr>
              <w:rPr>
                <w:rFonts w:hint="default" w:ascii="等线" w:hAnsi="等线" w:eastAsia="等线" w:cs="等线"/>
                <w:i w:val="0"/>
                <w:iCs w:val="0"/>
                <w:color w:val="000000"/>
                <w:sz w:val="22"/>
                <w:szCs w:val="22"/>
                <w:u w:val="none"/>
              </w:rPr>
            </w:pPr>
          </w:p>
        </w:tc>
        <w:tc>
          <w:tcPr>
            <w:tcW w:w="750" w:type="dxa"/>
            <w:tcBorders>
              <w:top w:val="nil"/>
              <w:left w:val="nil"/>
              <w:bottom w:val="nil"/>
              <w:right w:val="nil"/>
            </w:tcBorders>
            <w:shd w:val="clear" w:color="auto" w:fill="auto"/>
            <w:vAlign w:val="bottom"/>
          </w:tcPr>
          <w:p>
            <w:pPr>
              <w:rPr>
                <w:rFonts w:hint="default" w:ascii="等线" w:hAnsi="等线" w:eastAsia="等线" w:cs="等线"/>
                <w:i w:val="0"/>
                <w:iCs w:val="0"/>
                <w:color w:val="000000"/>
                <w:sz w:val="22"/>
                <w:szCs w:val="22"/>
                <w:u w:val="none"/>
              </w:rPr>
            </w:pPr>
          </w:p>
        </w:tc>
        <w:tc>
          <w:tcPr>
            <w:tcW w:w="750" w:type="dxa"/>
            <w:tcBorders>
              <w:top w:val="nil"/>
              <w:left w:val="nil"/>
              <w:bottom w:val="nil"/>
              <w:right w:val="nil"/>
            </w:tcBorders>
            <w:shd w:val="clear" w:color="auto" w:fill="auto"/>
            <w:vAlign w:val="bottom"/>
          </w:tcPr>
          <w:p>
            <w:pPr>
              <w:rPr>
                <w:rFonts w:hint="default" w:ascii="等线" w:hAnsi="等线" w:eastAsia="等线" w:cs="等线"/>
                <w:i w:val="0"/>
                <w:iCs w:val="0"/>
                <w:color w:val="000000"/>
                <w:sz w:val="22"/>
                <w:szCs w:val="22"/>
                <w:u w:val="none"/>
              </w:rPr>
            </w:pPr>
          </w:p>
        </w:tc>
        <w:tc>
          <w:tcPr>
            <w:tcW w:w="750" w:type="dxa"/>
            <w:tcBorders>
              <w:top w:val="nil"/>
              <w:left w:val="nil"/>
              <w:bottom w:val="nil"/>
              <w:right w:val="nil"/>
            </w:tcBorders>
            <w:shd w:val="clear" w:color="auto" w:fill="auto"/>
            <w:vAlign w:val="bottom"/>
          </w:tcPr>
          <w:p>
            <w:pPr>
              <w:rPr>
                <w:rFonts w:hint="default" w:ascii="等线" w:hAnsi="等线" w:eastAsia="等线" w:cs="等线"/>
                <w:i w:val="0"/>
                <w:iCs w:val="0"/>
                <w:color w:val="000000"/>
                <w:sz w:val="22"/>
                <w:szCs w:val="22"/>
                <w:u w:val="none"/>
              </w:rPr>
            </w:pPr>
          </w:p>
        </w:tc>
        <w:tc>
          <w:tcPr>
            <w:tcW w:w="750" w:type="dxa"/>
            <w:tcBorders>
              <w:top w:val="nil"/>
              <w:left w:val="nil"/>
              <w:bottom w:val="nil"/>
              <w:right w:val="nil"/>
            </w:tcBorders>
            <w:shd w:val="clear" w:color="auto" w:fill="auto"/>
            <w:vAlign w:val="bottom"/>
          </w:tcPr>
          <w:p>
            <w:pPr>
              <w:rPr>
                <w:rFonts w:hint="default" w:ascii="等线" w:hAnsi="等线" w:eastAsia="等线" w:cs="等线"/>
                <w:i w:val="0"/>
                <w:iCs w:val="0"/>
                <w:color w:val="000000"/>
                <w:sz w:val="22"/>
                <w:szCs w:val="22"/>
                <w:u w:val="none"/>
              </w:rPr>
            </w:pPr>
          </w:p>
        </w:tc>
        <w:tc>
          <w:tcPr>
            <w:tcW w:w="751" w:type="dxa"/>
            <w:tcBorders>
              <w:top w:val="nil"/>
              <w:left w:val="nil"/>
              <w:bottom w:val="nil"/>
              <w:right w:val="nil"/>
            </w:tcBorders>
            <w:shd w:val="clear" w:color="auto" w:fill="auto"/>
            <w:vAlign w:val="bottom"/>
          </w:tcPr>
          <w:p>
            <w:pPr>
              <w:rPr>
                <w:rFonts w:hint="default" w:ascii="等线" w:hAnsi="等线" w:eastAsia="等线" w:cs="等线"/>
                <w:i w:val="0"/>
                <w:iCs w:val="0"/>
                <w:color w:val="000000"/>
                <w:sz w:val="22"/>
                <w:szCs w:val="22"/>
                <w:u w:val="none"/>
              </w:rPr>
            </w:pPr>
          </w:p>
        </w:tc>
        <w:tc>
          <w:tcPr>
            <w:tcW w:w="1517" w:type="dxa"/>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单位代码</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预算资金总额</w:t>
            </w: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可持续效益指标</w:t>
            </w:r>
          </w:p>
        </w:tc>
        <w:tc>
          <w:tcPr>
            <w:tcW w:w="1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35"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bl>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5B3CE9"/>
    <w:multiLevelType w:val="singleLevel"/>
    <w:tmpl w:val="9F5B3CE9"/>
    <w:lvl w:ilvl="0" w:tentative="0">
      <w:start w:val="4"/>
      <w:numFmt w:val="chineseCounting"/>
      <w:suff w:val="nothing"/>
      <w:lvlText w:val="%1、"/>
      <w:lvlJc w:val="left"/>
      <w:rPr>
        <w:rFonts w:hint="eastAsia"/>
      </w:rPr>
    </w:lvl>
  </w:abstractNum>
  <w:abstractNum w:abstractNumId="1">
    <w:nsid w:val="37B7ADE2"/>
    <w:multiLevelType w:val="singleLevel"/>
    <w:tmpl w:val="37B7ADE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0095C"/>
    <w:rsid w:val="0D60022D"/>
    <w:rsid w:val="10964DA7"/>
    <w:rsid w:val="15DD7808"/>
    <w:rsid w:val="170F219D"/>
    <w:rsid w:val="17263809"/>
    <w:rsid w:val="193261D5"/>
    <w:rsid w:val="1EB268D8"/>
    <w:rsid w:val="21690C6D"/>
    <w:rsid w:val="21A57EA9"/>
    <w:rsid w:val="22277DC8"/>
    <w:rsid w:val="22800727"/>
    <w:rsid w:val="28B744E0"/>
    <w:rsid w:val="29630A3E"/>
    <w:rsid w:val="2F0E7201"/>
    <w:rsid w:val="36190BE4"/>
    <w:rsid w:val="36AA3F69"/>
    <w:rsid w:val="392A132F"/>
    <w:rsid w:val="415E722C"/>
    <w:rsid w:val="436B0526"/>
    <w:rsid w:val="4CC12FFC"/>
    <w:rsid w:val="4E3B534E"/>
    <w:rsid w:val="4EAE5F7A"/>
    <w:rsid w:val="52744604"/>
    <w:rsid w:val="5506574F"/>
    <w:rsid w:val="584246B7"/>
    <w:rsid w:val="5CE77012"/>
    <w:rsid w:val="61790893"/>
    <w:rsid w:val="65156AAD"/>
    <w:rsid w:val="6A3E1DEA"/>
    <w:rsid w:val="6B47600F"/>
    <w:rsid w:val="6DAE2E3A"/>
    <w:rsid w:val="7B6749B6"/>
    <w:rsid w:val="7C8A3290"/>
    <w:rsid w:val="7D9F22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自建正文1"/>
    <w:basedOn w:val="1"/>
    <w:next w:val="1"/>
    <w:qFormat/>
    <w:uiPriority w:val="0"/>
    <w:pPr>
      <w:spacing w:beforeAutospacing="0" w:afterAutospacing="0" w:line="600" w:lineRule="exact"/>
      <w:ind w:left="1134" w:leftChars="0" w:firstLine="0" w:firstLineChars="0"/>
    </w:pPr>
    <w:rPr>
      <w:rFonts w:ascii="仿宋_GB2312" w:hAnsi="仿宋_GB2312" w:eastAsia="仿宋_GB2312"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6912</Words>
  <Characters>7496</Characters>
  <Lines>0</Lines>
  <Paragraphs>0</Paragraphs>
  <TotalTime>18</TotalTime>
  <ScaleCrop>false</ScaleCrop>
  <LinksUpToDate>false</LinksUpToDate>
  <CharactersWithSpaces>7682</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Administrator</cp:lastModifiedBy>
  <dcterms:modified xsi:type="dcterms:W3CDTF">2026-03-31T01:16:31Z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KSOTemplateDocerSaveRecord">
    <vt:lpwstr>eyJoZGlkIjoiOTZjNmRiMjk0MzkzM2E1NTM0Y2NlM2ZmMmY4NWYwMGUiLCJ1c2VySWQiOiIxMjE1MTc3OTczIn0=</vt:lpwstr>
  </property>
  <property fmtid="{D5CDD505-2E9C-101B-9397-08002B2CF9AE}" pid="4" name="ICV">
    <vt:lpwstr>96A78774882843BEB0D73857A9875396_13</vt:lpwstr>
  </property>
</Properties>
</file>