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bookmarkStart w:id="0" w:name="_GoBack"/>
      <w:r>
        <w:rPr>
          <w:rFonts w:hint="eastAsia" w:ascii="黑体" w:hAnsi="宋体" w:eastAsia="黑体"/>
          <w:bCs/>
          <w:sz w:val="44"/>
          <w:szCs w:val="44"/>
          <w:highlight w:val="none"/>
          <w:lang w:eastAsia="zh-CN"/>
        </w:rPr>
        <w:t>柳州市柳江区人民政府国有资产综合服务中心</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bookmarkEnd w:id="0"/>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柳州市柳江区人民政府国有资产综合服务中心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w:t>
      </w:r>
      <w:r>
        <w:rPr>
          <w:rFonts w:hint="eastAsia" w:ascii="宋体" w:hAnsi="宋体" w:eastAsia="宋体" w:cs="宋体"/>
          <w:sz w:val="32"/>
          <w:szCs w:val="32"/>
          <w:highlight w:val="none"/>
        </w:rPr>
        <w:t>预算收支增减变化情况说明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二、单位收入总体情况说明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三、单位支出总体情况说明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四、财政拨款收支总体情况说明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五、一般公共预算支出情况说明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六、一般公共预算基本支出情况说明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八、政府性基金预算支出情况说明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九、国有资本经营预算支出情况说明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w:t>
      </w:r>
      <w:r>
        <w:rPr>
          <w:rFonts w:hint="eastAsia" w:ascii="宋体" w:hAnsi="宋体" w:eastAsia="宋体" w:cs="宋体"/>
          <w:sz w:val="32"/>
          <w:szCs w:val="32"/>
          <w:highlight w:val="none"/>
          <w:lang w:eastAsia="zh-CN"/>
        </w:rPr>
        <w:t>、其他重要事项情况说明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（三）政府购买服务情况说明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柳州市柳江区人民政府国有资产综合服务中心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rPr>
          <w:rFonts w:hint="eastAsia" w:ascii="黑体" w:hAnsi="宋体" w:eastAsia="黑体"/>
          <w:bCs/>
          <w:szCs w:val="32"/>
        </w:rPr>
      </w:pPr>
      <w:r>
        <w:rPr>
          <w:rFonts w:hint="eastAsia" w:ascii="黑体" w:hAnsi="宋体" w:eastAsia="黑体"/>
          <w:bCs/>
          <w:szCs w:val="32"/>
        </w:rPr>
        <w:br w:type="page"/>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一）根据区人民政府授权，依照《中华人民共和国公司法》、《企业国有资产监督管理暂行条例》等法律和行政法规，对所出资企业履行出资人职责，维护所有者权益；指导推进国有及国有控股企业改革和重组。推进国有及国有控股企业的现代化企业制度建设，完善公司治理结构。</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（二）依照法定程序对所出资企业的企业负责人进行考核，并根据考核结果对其进行奖惩；完善经营管理者激励和约束制度。</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（三）加强国有企业资产管理工作，通过统计、稽核等方式对所监管企业国有资产的保值增值情况进行监管；建立和完善企业国有资产保值增值体系，拟订考核标准；维护国有资产出资人权益。</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（四）根据区人民政府委托，起草企业国有资产管理的规范性文件草案，拟订管理制度。</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（五）负责对转制为企业单位的国有资产进行监管，确保国有资产保值增值。</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（六）负责协调全区各镇、各单位对国有企业退休人员社会化管理工作。</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（七）负责制定和组织实施全区行政事业单位国有资产管理规章制度，管理区本级行政事业单位国有资产。</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（八）负责指导全区各镇、各单位开展国有资产清查和报告工作并牵头编制国有资产管理情况综合报告。</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（九）完成区委、区人民政府、区财政局交办的其他事项。</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1个，为柳州市柳江区人民政府国有资产综合服务中心，属于一类事业单位。</w:t>
      </w:r>
    </w:p>
    <w:p>
      <w:pPr>
        <w:rPr>
          <w:rFonts w:hint="eastAsia"/>
        </w:rPr>
      </w:pPr>
      <w:r>
        <w:rPr>
          <w:rFonts w:hint="eastAsia"/>
        </w:rPr>
        <w:br w:type="page"/>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柳州市柳江区人民政府国有资产综合服务中心</w:t>
      </w:r>
      <w:r>
        <w:rPr>
          <w:rFonts w:hint="eastAsia" w:ascii="黑体" w:hAnsi="宋体" w:eastAsia="黑体"/>
          <w:szCs w:val="32"/>
          <w:lang w:eastAsia="zh-CN"/>
        </w:rPr>
        <w:t>2026年</w:t>
      </w:r>
      <w:r>
        <w:rPr>
          <w:rFonts w:hint="eastAsia" w:ascii="黑体" w:eastAsia="黑体"/>
          <w:szCs w:val="32"/>
        </w:rPr>
        <w:t>单位预算情况说明</w:t>
      </w:r>
    </w:p>
    <w:p>
      <w:pPr>
        <w:numPr>
          <w:ilvl w:val="0"/>
          <w:numId w:val="1"/>
        </w:numPr>
        <w:tabs>
          <w:tab w:val="center" w:pos="4475"/>
        </w:tabs>
        <w:spacing w:line="560" w:lineRule="exact"/>
        <w:ind w:firstLine="645"/>
        <w:rPr>
          <w:rFonts w:hint="eastAsia" w:ascii="黑体" w:eastAsia="黑体"/>
          <w:szCs w:val="32"/>
        </w:rPr>
      </w:pPr>
      <w:r>
        <w:rPr>
          <w:rFonts w:hint="eastAsia" w:ascii="黑体" w:eastAsia="黑体"/>
          <w:szCs w:val="32"/>
          <w:lang w:eastAsia="zh-CN"/>
        </w:rPr>
        <w:t>单位</w:t>
      </w:r>
      <w:r>
        <w:rPr>
          <w:rFonts w:hint="eastAsia" w:ascii="黑体" w:eastAsia="黑体"/>
          <w:szCs w:val="32"/>
        </w:rPr>
        <w:t>收支总体情况说明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231.80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231.80</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上年度职工工资收入总额增加，本年度社会保险缴费基数、住房公积金缴存基数相应上调，导致社保及公积金支出较上年有所增长，故相应调增本年度相关经费预算</w:t>
      </w:r>
      <w:r>
        <w:rPr>
          <w:rFonts w:hint="eastAsia" w:ascii="仿宋_GB2312"/>
          <w:sz w:val="32"/>
          <w:szCs w:val="32"/>
          <w:highlight w:val="none"/>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上年度职工工资收入总额增加，本年度社会保险缴费基数、住房公积金缴存基数相应上调，导致社保及公积金支出较上年有所增长，故相应调增本年度相关经费预算</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231.80</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上年度职工工资收入总额增加，本年度社会保险缴费基数、住房公积金缴存基数相应上调，导致社保及公积金支出较上年有所增长，故相应调增本年度相关经费预算</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231.80</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增长</w:t>
      </w:r>
      <w:r>
        <w:rPr>
          <w:rFonts w:hint="eastAsia" w:ascii="仿宋_GB2312"/>
          <w:sz w:val="32"/>
          <w:szCs w:val="32"/>
          <w:lang w:val="en-US" w:eastAsia="zh-CN"/>
        </w:rPr>
        <w:t>68.19</w:t>
      </w:r>
      <w:r>
        <w:rPr>
          <w:rFonts w:hint="eastAsia" w:ascii="仿宋_GB2312"/>
          <w:sz w:val="32"/>
          <w:szCs w:val="32"/>
          <w:highlight w:val="none"/>
          <w:lang w:val="en-US" w:eastAsia="zh-CN"/>
        </w:rPr>
        <w:t>%</w:t>
      </w:r>
      <w:r>
        <w:rPr>
          <w:rFonts w:hint="eastAsia" w:ascii="仿宋_GB2312"/>
          <w:sz w:val="32"/>
          <w:szCs w:val="32"/>
          <w:lang w:val="en-US" w:eastAsia="zh-CN"/>
        </w:rPr>
        <w:t>，主要原</w:t>
      </w:r>
      <w:r>
        <w:rPr>
          <w:rFonts w:hint="eastAsia" w:ascii="仿宋_GB2312"/>
          <w:sz w:val="32"/>
          <w:szCs w:val="32"/>
          <w:highlight w:val="none"/>
          <w:lang w:val="en-US" w:eastAsia="zh-CN"/>
        </w:rPr>
        <w:t>因是</w:t>
      </w:r>
      <w:r>
        <w:rPr>
          <w:rFonts w:hint="default" w:ascii="Times New Roman" w:hAnsi="Times New Roman" w:eastAsia="仿宋_GB2312" w:cs="Times New Roman"/>
          <w:color w:val="auto"/>
          <w:kern w:val="0"/>
          <w:sz w:val="32"/>
          <w:szCs w:val="32"/>
          <w:highlight w:val="none"/>
        </w:rPr>
        <w:t>上年度职工工资收入总额增加，本年度社会保险缴费基数、住房公积金缴存基数相应上调，导致社保及公积金支出较上年有所增长，故相应调增本年度相关经费预算</w:t>
      </w:r>
      <w:r>
        <w:rPr>
          <w:rFonts w:hint="eastAsia" w:ascii="仿宋_GB2312"/>
          <w:sz w:val="32"/>
          <w:szCs w:val="32"/>
          <w:highlight w:val="none"/>
          <w:lang w:val="en-US" w:eastAsia="zh-CN"/>
        </w:rPr>
        <w:t>。主要包括：1.基本支出</w:t>
      </w:r>
      <w:r>
        <w:rPr>
          <w:rFonts w:hint="eastAsia" w:ascii="仿宋_GB2312"/>
          <w:sz w:val="32"/>
          <w:szCs w:val="32"/>
          <w:lang w:val="en-US" w:eastAsia="zh-CN"/>
        </w:rPr>
        <w:t>231.80万元，占总支出的100.00%；2.项目支出0.00万元，占总支出的0.00%。</w:t>
      </w:r>
    </w:p>
    <w:p>
      <w:pPr>
        <w:numPr>
          <w:ilvl w:val="0"/>
          <w:numId w:val="2"/>
        </w:numPr>
        <w:tabs>
          <w:tab w:val="center" w:pos="4475"/>
        </w:tabs>
        <w:spacing w:line="560" w:lineRule="exact"/>
        <w:ind w:firstLine="645"/>
        <w:rPr>
          <w:rFonts w:hint="eastAsia" w:ascii="黑体" w:hAnsi="Times New Roman" w:eastAsia="黑体" w:cs="Times New Roman"/>
          <w:szCs w:val="32"/>
          <w:lang w:val="en-US" w:eastAsia="zh-CN"/>
        </w:rPr>
      </w:pPr>
      <w:r>
        <w:rPr>
          <w:rFonts w:hint="eastAsia" w:ascii="黑体" w:hAnsi="Times New Roman" w:eastAsia="黑体" w:cs="Times New Roman"/>
          <w:szCs w:val="32"/>
          <w:lang w:val="en-US" w:eastAsia="zh-CN"/>
        </w:rPr>
        <w:t>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231.80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231.80</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职工工资收入总额增加，本年度社会保险缴费基数、住房公积金缴存基数相应上调，导致社保及公积金支出较上年有所增长，故相应调增本年度相关经费预算</w:t>
      </w:r>
      <w:r>
        <w:rPr>
          <w:rFonts w:hint="eastAsia" w:ascii="仿宋_GB2312"/>
          <w:sz w:val="32"/>
          <w:szCs w:val="32"/>
          <w:highlight w:val="none"/>
          <w:lang w:val="en-US" w:eastAsia="zh-CN"/>
        </w:rPr>
        <w:t>。</w:t>
      </w:r>
      <w:r>
        <w:rPr>
          <w:rFonts w:hint="eastAsia" w:ascii="仿宋_GB2312" w:eastAsia="仿宋_GB2312"/>
          <w:sz w:val="32"/>
          <w:szCs w:val="32"/>
          <w:highlight w:val="none"/>
        </w:rPr>
        <w:t>财政拨款</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w:t>
      </w:r>
      <w:r>
        <w:rPr>
          <w:rFonts w:hint="eastAsia" w:ascii="仿宋_GB2312"/>
          <w:sz w:val="32"/>
          <w:szCs w:val="32"/>
          <w:lang w:eastAsia="zh-CN"/>
        </w:rPr>
        <w:t>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职工工资收入总额增加，本年度社会保险缴费基数、住房公积金缴存基数相应上调，导致社保及公积金支出较上年有所增长，故相应调增本年度相关经费预算</w:t>
      </w:r>
      <w:r>
        <w:rPr>
          <w:rFonts w:hint="eastAsia" w:ascii="仿宋_GB2312"/>
          <w:sz w:val="32"/>
          <w:szCs w:val="32"/>
          <w:highlight w:val="none"/>
          <w:lang w:val="en-US" w:eastAsia="zh-CN"/>
        </w:rPr>
        <w:t>。</w:t>
      </w:r>
    </w:p>
    <w:p>
      <w:pPr>
        <w:numPr>
          <w:ilvl w:val="0"/>
          <w:numId w:val="2"/>
        </w:numPr>
        <w:tabs>
          <w:tab w:val="center" w:pos="4475"/>
        </w:tabs>
        <w:spacing w:line="560" w:lineRule="exact"/>
        <w:ind w:left="0" w:leftChars="0" w:firstLine="645" w:firstLineChars="0"/>
        <w:rPr>
          <w:rFonts w:hint="eastAsia" w:ascii="黑体" w:hAnsi="Times New Roman" w:eastAsia="黑体" w:cs="Times New Roman"/>
          <w:szCs w:val="32"/>
          <w:highlight w:val="none"/>
          <w:lang w:eastAsia="zh-CN"/>
        </w:rPr>
      </w:pPr>
      <w:r>
        <w:rPr>
          <w:rFonts w:hint="eastAsia" w:ascii="黑体" w:hAnsi="Times New Roman" w:eastAsia="黑体" w:cs="Times New Roman"/>
          <w:szCs w:val="32"/>
          <w:highlight w:val="none"/>
          <w:lang w:eastAsia="zh-CN"/>
        </w:rPr>
        <w:t>一般公共预算支出情况说明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highlight w:val="none"/>
          <w:lang w:eastAsia="zh-CN"/>
        </w:rPr>
        <w:t>我单位</w:t>
      </w:r>
      <w:r>
        <w:rPr>
          <w:rFonts w:hint="eastAsia" w:ascii="仿宋_GB2312" w:eastAsia="仿宋_GB2312"/>
          <w:sz w:val="32"/>
          <w:szCs w:val="32"/>
          <w:highlight w:val="none"/>
        </w:rPr>
        <w:t>一般公共预算支出</w:t>
      </w:r>
      <w:r>
        <w:rPr>
          <w:rFonts w:hint="eastAsia" w:ascii="仿宋_GB2312" w:eastAsia="仿宋_GB2312"/>
          <w:sz w:val="32"/>
          <w:szCs w:val="32"/>
          <w:highlight w:val="none"/>
          <w:lang w:eastAsia="zh-CN"/>
        </w:rPr>
        <w:t>共</w:t>
      </w:r>
      <w:r>
        <w:rPr>
          <w:rFonts w:hint="eastAsia" w:ascii="仿宋_GB2312"/>
          <w:sz w:val="32"/>
          <w:szCs w:val="32"/>
          <w:lang w:val="en-US" w:eastAsia="zh-CN"/>
        </w:rPr>
        <w:t>231.80</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职工工资收入总额增加，本年度社会保险缴费基数、住房公积金缴存基数相应上调，导致社保及公积金支出较上年有所增长，故相应调增本年度相关经费预算</w:t>
      </w:r>
      <w:r>
        <w:rPr>
          <w:rFonts w:hint="eastAsia" w:ascii="仿宋_GB2312"/>
          <w:szCs w:val="32"/>
          <w:lang w:eastAsia="zh-CN"/>
        </w:rPr>
        <w:t>。</w:t>
      </w:r>
      <w:r>
        <w:rPr>
          <w:rFonts w:hint="eastAsia" w:ascii="仿宋_GB2312"/>
          <w:sz w:val="32"/>
          <w:szCs w:val="32"/>
          <w:lang w:eastAsia="zh-CN"/>
        </w:rPr>
        <w:t>具体情况为：</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（1）一般公共服务类科目支出预算</w:t>
      </w:r>
      <w:r>
        <w:rPr>
          <w:rFonts w:hint="eastAsia" w:ascii="仿宋_GB2312" w:hAnsi="Times New Roman" w:cs="Times New Roman"/>
          <w:kern w:val="2"/>
          <w:sz w:val="32"/>
          <w:szCs w:val="32"/>
          <w:highlight w:val="none"/>
          <w:lang w:val="en-US" w:eastAsia="zh-CN"/>
        </w:rPr>
        <w:t>54.92</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49.46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11.71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11.38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主要原因是职工正常增资等</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（2）社会保障和就业支出预算</w:t>
      </w:r>
      <w:r>
        <w:rPr>
          <w:rFonts w:hint="eastAsia" w:ascii="仿宋_GB2312" w:hAnsi="Times New Roman" w:cs="Times New Roman"/>
          <w:kern w:val="2"/>
          <w:sz w:val="32"/>
          <w:szCs w:val="32"/>
          <w:highlight w:val="none"/>
          <w:lang w:val="en-US" w:eastAsia="zh-CN"/>
        </w:rPr>
        <w:t>13.12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27.98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44.93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225.45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3</w:t>
      </w:r>
      <w:r>
        <w:rPr>
          <w:rFonts w:hint="eastAsia" w:ascii="仿宋_GB2312" w:hAnsi="Times New Roman" w:eastAsia="仿宋_GB2312" w:cs="Times New Roman"/>
          <w:kern w:val="2"/>
          <w:sz w:val="32"/>
          <w:szCs w:val="32"/>
          <w:highlight w:val="none"/>
        </w:rPr>
        <w:t>）卫生健康支出预算</w:t>
      </w:r>
      <w:r>
        <w:rPr>
          <w:rFonts w:hint="eastAsia" w:ascii="仿宋_GB2312" w:hAnsi="Times New Roman" w:cs="Times New Roman"/>
          <w:kern w:val="2"/>
          <w:sz w:val="32"/>
          <w:szCs w:val="32"/>
          <w:highlight w:val="none"/>
          <w:lang w:val="en-US" w:eastAsia="zh-CN"/>
        </w:rPr>
        <w:t>4.36</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8.97</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14.87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250.57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宋体" w:eastAsia="仿宋_GB2312" w:cs="Times New Roman"/>
          <w:sz w:val="32"/>
          <w:szCs w:val="32"/>
          <w:highlight w:val="none"/>
          <w:u w:val="single"/>
          <w:lang w:eastAsia="zh-CN"/>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4</w:t>
      </w:r>
      <w:r>
        <w:rPr>
          <w:rFonts w:hint="eastAsia" w:ascii="仿宋_GB2312" w:hAnsi="Times New Roman" w:eastAsia="仿宋_GB2312" w:cs="Times New Roman"/>
          <w:kern w:val="2"/>
          <w:sz w:val="32"/>
          <w:szCs w:val="32"/>
          <w:highlight w:val="none"/>
        </w:rPr>
        <w:t>）住房保障支出预算</w:t>
      </w:r>
      <w:r>
        <w:rPr>
          <w:rFonts w:hint="eastAsia" w:ascii="仿宋_GB2312" w:cs="Times New Roman"/>
          <w:kern w:val="2"/>
          <w:sz w:val="32"/>
          <w:szCs w:val="32"/>
          <w:highlight w:val="none"/>
          <w:lang w:val="en-US" w:eastAsia="zh-CN"/>
        </w:rPr>
        <w:t>6.65</w:t>
      </w:r>
      <w:r>
        <w:rPr>
          <w:rFonts w:hint="eastAsia" w:ascii="仿宋_GB2312" w:hAnsi="Times New Roman" w:eastAsia="仿宋_GB2312" w:cs="Times New Roman"/>
          <w:kern w:val="2"/>
          <w:sz w:val="32"/>
          <w:szCs w:val="32"/>
          <w:highlight w:val="none"/>
        </w:rPr>
        <w:t>万元, 占支出总预算</w:t>
      </w:r>
      <w:r>
        <w:rPr>
          <w:rFonts w:hint="eastAsia" w:ascii="仿宋_GB2312" w:cs="Times New Roman"/>
          <w:kern w:val="2"/>
          <w:sz w:val="32"/>
          <w:szCs w:val="32"/>
          <w:highlight w:val="none"/>
          <w:lang w:val="en-US" w:eastAsia="zh-CN"/>
        </w:rPr>
        <w:t>13.58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22.47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249.17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w:t>
      </w:r>
      <w:r>
        <w:rPr>
          <w:rFonts w:hint="eastAsia" w:cs="Times New Roman"/>
          <w:color w:val="auto"/>
          <w:kern w:val="0"/>
          <w:sz w:val="32"/>
          <w:szCs w:val="32"/>
          <w:highlight w:val="none"/>
          <w:lang w:val="en-US" w:eastAsia="zh-CN"/>
        </w:rPr>
        <w:t>住房</w:t>
      </w:r>
      <w:r>
        <w:rPr>
          <w:rFonts w:hint="default" w:ascii="Times New Roman" w:hAnsi="Times New Roman" w:eastAsia="仿宋_GB2312" w:cs="Times New Roman"/>
          <w:color w:val="auto"/>
          <w:kern w:val="0"/>
          <w:sz w:val="32"/>
          <w:szCs w:val="32"/>
          <w:highlight w:val="none"/>
        </w:rPr>
        <w:t>公积金支出较上年有所增长，故相应调增本年度相关经费预算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231.80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68.19%，</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职工工资收入总额增加，本年度社会保险缴费基数、住房公积金缴存基数相应上调，导致社保及公积金支出较上年有所增长，故相应调增本年度相关经费预算</w:t>
      </w:r>
      <w:r>
        <w:rPr>
          <w:rFonts w:hint="eastAsia" w:ascii="仿宋_GB2312"/>
          <w:szCs w:val="32"/>
          <w:lang w:eastAsia="zh-CN"/>
        </w:rPr>
        <w:t>。</w:t>
      </w:r>
      <w:r>
        <w:rPr>
          <w:rFonts w:hint="eastAsia" w:ascii="仿宋_GB2312"/>
          <w:sz w:val="32"/>
          <w:szCs w:val="32"/>
          <w:lang w:eastAsia="zh-CN"/>
        </w:rPr>
        <w:t>具体情况为：</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-基本工资44.22万元，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6.61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17.57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-津贴补贴19.04万元，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0.39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-奖金3.68万元，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0.55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17.57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-绩效工资22.46万元，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1.24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5.84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-机关事业单位基本养老保险缴费41.98万元，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29.96</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249.17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-职业年金缴费20.99万元，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14.98</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249.17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-职工基本医疗保险缴费20.73万元，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14.87</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253.65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-其他社会保障缴费1.91万元，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1.31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219.17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-住房公积金31.48万元，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22.47</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249.17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w:t>
      </w:r>
      <w:r>
        <w:rPr>
          <w:rFonts w:hint="eastAsia" w:cs="Times New Roman"/>
          <w:color w:val="auto"/>
          <w:kern w:val="0"/>
          <w:sz w:val="32"/>
          <w:szCs w:val="32"/>
          <w:highlight w:val="none"/>
          <w:lang w:val="en-US" w:eastAsia="zh-CN"/>
        </w:rPr>
        <w:t>住房</w:t>
      </w:r>
      <w:r>
        <w:rPr>
          <w:rFonts w:hint="default" w:ascii="Times New Roman" w:hAnsi="Times New Roman" w:eastAsia="仿宋_GB2312" w:cs="Times New Roman"/>
          <w:color w:val="auto"/>
          <w:kern w:val="0"/>
          <w:sz w:val="32"/>
          <w:szCs w:val="32"/>
          <w:highlight w:val="none"/>
        </w:rPr>
        <w:t>公积金支出较上年有所增长，故相应调增本年度相关经费预算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-办公费1.25万元，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-印刷费0.30万元，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-邮电费0.65万元，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-差旅费3.60万元，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-维修（护）费0.40万元，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-会议费0.20万元，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-培训费0.24万元，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-公务接待费0.24万元，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-工会经费2.51万元，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1.01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67.22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应提取公积金</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-其他交通费用7.62万元，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0.60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8.55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应提取公积金</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hAnsi="Times New Roman" w:eastAsia="仿宋_GB2312" w:cs="Times New Roman"/>
          <w:kern w:val="2"/>
          <w:sz w:val="32"/>
          <w:szCs w:val="32"/>
          <w:highlight w:val="none"/>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-其他商品和服务支出6.45万元，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0.30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应提取公积金</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sz w:val="32"/>
          <w:szCs w:val="32"/>
          <w:lang w:eastAsia="zh-CN"/>
        </w:rPr>
        <w:t>对个人和家庭的补助</w:t>
      </w:r>
      <w:r>
        <w:rPr>
          <w:rFonts w:hint="eastAsia" w:ascii="仿宋_GB2312"/>
          <w:sz w:val="32"/>
          <w:szCs w:val="32"/>
          <w:lang w:val="en-US" w:eastAsia="zh-CN"/>
        </w:rPr>
        <w:t xml:space="preserve"> -退休费支出1.85万元，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，与上年持平</w:t>
      </w:r>
      <w:r>
        <w:rPr>
          <w:rFonts w:hint="eastAsia" w:ascii="仿宋_GB2312" w:cs="Times New Roman"/>
          <w:kern w:val="2"/>
          <w:sz w:val="32"/>
          <w:szCs w:val="32"/>
          <w:highlight w:val="none"/>
          <w:lang w:eastAsia="zh-CN"/>
        </w:rPr>
        <w:t>。</w:t>
      </w:r>
    </w:p>
    <w:p>
      <w:pPr>
        <w:numPr>
          <w:ilvl w:val="0"/>
          <w:numId w:val="0"/>
        </w:numPr>
        <w:tabs>
          <w:tab w:val="center" w:pos="4475"/>
        </w:tabs>
        <w:spacing w:line="560" w:lineRule="exact"/>
        <w:ind w:left="645" w:leftChars="0"/>
        <w:rPr>
          <w:rFonts w:hint="eastAsia"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0.24</w:t>
      </w:r>
      <w:r>
        <w:rPr>
          <w:rFonts w:hint="eastAsia" w:ascii="仿宋_GB2312"/>
          <w:bCs/>
        </w:rPr>
        <w:t>万元，同口径比</w:t>
      </w:r>
      <w:r>
        <w:rPr>
          <w:rFonts w:hint="eastAsia" w:ascii="仿宋_GB2312"/>
          <w:bCs/>
          <w:lang w:eastAsia="zh-CN"/>
        </w:rPr>
        <w:t>2025年持平</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0.24</w:t>
      </w:r>
      <w:r>
        <w:rPr>
          <w:rFonts w:hint="eastAsia" w:ascii="仿宋_GB2312" w:hAnsi="宋体"/>
          <w:szCs w:val="32"/>
          <w:highlight w:val="none"/>
        </w:rPr>
        <w:t>万元，</w:t>
      </w:r>
      <w:r>
        <w:rPr>
          <w:rFonts w:hint="eastAsia" w:ascii="仿宋_GB2312" w:hAnsi="宋体"/>
          <w:szCs w:val="32"/>
          <w:highlight w:val="none"/>
          <w:lang w:eastAsia="zh-CN"/>
        </w:rPr>
        <w:t>与</w:t>
      </w:r>
      <w:r>
        <w:rPr>
          <w:rFonts w:hint="eastAsia" w:ascii="仿宋_GB2312" w:hAnsi="宋体"/>
          <w:szCs w:val="32"/>
          <w:highlight w:val="none"/>
        </w:rPr>
        <w:t>上年</w:t>
      </w:r>
      <w:r>
        <w:rPr>
          <w:rFonts w:hint="eastAsia" w:ascii="仿宋_GB2312" w:hAnsi="宋体"/>
          <w:szCs w:val="32"/>
          <w:highlight w:val="none"/>
          <w:lang w:eastAsia="zh-CN"/>
        </w:rPr>
        <w:t>持平</w:t>
      </w:r>
      <w:r>
        <w:rPr>
          <w:rFonts w:hint="eastAsia" w:ascii="仿宋_GB2312"/>
          <w:sz w:val="32"/>
          <w:szCs w:val="32"/>
          <w:highlight w:val="none"/>
          <w:lang w:val="en-US" w:eastAsia="zh-CN"/>
        </w:rPr>
        <w:t>。</w:t>
      </w:r>
    </w:p>
    <w:p>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0.00%，主要原因是我单位2026年单位预算无政府性基金预算</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0.00%，主要原因是我单位2026年单位预算无国有资本经营预算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cs="Times New Roman"/>
          <w:szCs w:val="32"/>
          <w:highlight w:val="none"/>
          <w:lang w:eastAsia="zh-CN"/>
        </w:rPr>
        <w:t>我单位事业</w:t>
      </w:r>
      <w:r>
        <w:rPr>
          <w:rFonts w:hint="eastAsia" w:ascii="仿宋_GB2312" w:hAnsi="宋体" w:cs="Times New Roman"/>
          <w:szCs w:val="32"/>
          <w:highlight w:val="none"/>
          <w:lang w:val="en-US" w:eastAsia="zh-CN"/>
        </w:rPr>
        <w:t>单位</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2026年</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单位运行经费预算23.46万元，较上年增加1.61</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7.37%，增加的主要原因是</w:t>
      </w:r>
      <w:r>
        <w:rPr>
          <w:rFonts w:hint="default" w:ascii="Times New Roman" w:hAnsi="Times New Roman" w:eastAsia="仿宋_GB2312" w:cs="Times New Roman"/>
          <w:color w:val="auto"/>
          <w:kern w:val="0"/>
          <w:sz w:val="32"/>
          <w:szCs w:val="32"/>
          <w:highlight w:val="none"/>
        </w:rPr>
        <w:t>上年度职工工资收入总额增加，本年度</w:t>
      </w:r>
      <w:r>
        <w:rPr>
          <w:rFonts w:hint="eastAsia" w:cs="Times New Roman"/>
          <w:color w:val="auto"/>
          <w:kern w:val="0"/>
          <w:sz w:val="32"/>
          <w:szCs w:val="32"/>
          <w:highlight w:val="none"/>
          <w:lang w:eastAsia="zh-CN"/>
        </w:rPr>
        <w:t>工会经费提取基数增加，</w:t>
      </w:r>
      <w:r>
        <w:rPr>
          <w:rFonts w:hint="default" w:ascii="Times New Roman" w:hAnsi="Times New Roman" w:eastAsia="仿宋_GB2312" w:cs="Times New Roman"/>
          <w:color w:val="auto"/>
          <w:kern w:val="0"/>
          <w:sz w:val="32"/>
          <w:szCs w:val="32"/>
          <w:highlight w:val="none"/>
        </w:rPr>
        <w:t>故相应调增本年度相关经费预算</w:t>
      </w:r>
      <w:r>
        <w:rPr>
          <w:rFonts w:hint="eastAsia" w:ascii="仿宋_GB2312"/>
          <w:sz w:val="32"/>
          <w:szCs w:val="32"/>
          <w:lang w:val="en-US" w:eastAsia="zh-CN"/>
        </w:rPr>
        <w:t>。</w:t>
      </w:r>
    </w:p>
    <w:p>
      <w:pPr>
        <w:numPr>
          <w:ilvl w:val="0"/>
          <w:numId w:val="3"/>
        </w:num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政府采购预算安排情况说明</w:t>
      </w:r>
    </w:p>
    <w:p>
      <w:pPr>
        <w:numPr>
          <w:ilvl w:val="0"/>
          <w:numId w:val="0"/>
        </w:numPr>
        <w:tabs>
          <w:tab w:val="center" w:pos="4475"/>
        </w:tabs>
        <w:spacing w:line="560" w:lineRule="exact"/>
        <w:ind w:firstLine="640"/>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1.55</w:t>
      </w:r>
      <w:r>
        <w:rPr>
          <w:rFonts w:hint="eastAsia" w:ascii="仿宋_GB2312" w:hAnsi="宋体"/>
          <w:szCs w:val="32"/>
        </w:rPr>
        <w:t>万元。其中：货物类采购</w:t>
      </w:r>
      <w:r>
        <w:rPr>
          <w:rFonts w:hint="eastAsia" w:ascii="仿宋_GB2312" w:hAnsi="宋体"/>
          <w:szCs w:val="32"/>
          <w:lang w:val="en-US" w:eastAsia="zh-CN"/>
        </w:rPr>
        <w:t>1.55</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本年度我单位无政府购买服务预算安排</w:t>
      </w:r>
      <w:r>
        <w:rPr>
          <w:rFonts w:hint="eastAsia" w:ascii="仿宋_GB2312" w:eastAsia="仿宋_GB2312"/>
          <w:sz w:val="32"/>
          <w:szCs w:val="32"/>
          <w:highlight w:val="none"/>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sz w:val="32"/>
          <w:szCs w:val="32"/>
          <w:highlight w:val="none"/>
          <w:lang w:val="en-US" w:eastAsia="zh-CN"/>
        </w:rPr>
        <w:t>2026年</w:t>
      </w:r>
      <w:r>
        <w:rPr>
          <w:rFonts w:hint="eastAsia" w:ascii="仿宋_GB2312" w:eastAsia="仿宋_GB2312"/>
          <w:sz w:val="32"/>
          <w:szCs w:val="32"/>
          <w:highlight w:val="none"/>
          <w:lang w:val="en-US" w:eastAsia="zh-CN"/>
        </w:rPr>
        <w:t>预算绩效目标统一由局本级管理，由局本级统一公开说明</w:t>
      </w:r>
      <w:r>
        <w:rPr>
          <w:rFonts w:hint="eastAsia" w:ascii="仿宋_GB2312"/>
          <w:sz w:val="32"/>
          <w:szCs w:val="32"/>
          <w:highlight w:val="none"/>
          <w:lang w:val="en-US" w:eastAsia="zh-CN"/>
        </w:rPr>
        <w:t>。</w:t>
      </w:r>
    </w:p>
    <w:p>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w:t>
      </w:r>
      <w:r>
        <w:rPr>
          <w:rFonts w:hint="eastAsia" w:ascii="仿宋_GB2312"/>
          <w:sz w:val="32"/>
          <w:szCs w:val="32"/>
          <w:highlight w:val="none"/>
          <w:lang w:eastAsia="zh-CN"/>
        </w:rPr>
        <w:t>消防事务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rPr>
          <w:rFonts w:hint="eastAsia" w:ascii="黑体" w:hAnsi="宋体" w:eastAsia="黑体"/>
          <w:szCs w:val="32"/>
          <w:lang w:eastAsia="zh-CN"/>
        </w:rPr>
      </w:pPr>
      <w:r>
        <w:rPr>
          <w:rFonts w:hint="eastAsia" w:ascii="黑体" w:hAnsi="宋体" w:eastAsia="黑体"/>
          <w:szCs w:val="32"/>
          <w:lang w:eastAsia="zh-CN"/>
        </w:rPr>
        <w:br w:type="page"/>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柳州市柳江区人民政府国有资产综合服务中心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表1：单位收支总体情况表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表2：单位收入总体情况表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表3：单位支出总体情况表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表7：财政拨款“三公”经费、会议费和培训费支出</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pPr>
        <w:sectPr>
          <w:pgSz w:w="11906" w:h="16838"/>
          <w:pgMar w:top="1440" w:right="1800" w:bottom="1440" w:left="180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4"/>
        <w:gridCol w:w="831"/>
        <w:gridCol w:w="3377"/>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8"/>
                <w:szCs w:val="28"/>
                <w:u w:val="none"/>
              </w:rPr>
            </w:pPr>
          </w:p>
        </w:tc>
        <w:tc>
          <w:tcPr>
            <w:tcW w:w="831"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337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377"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r>
    </w:tbl>
    <w:p>
      <w:p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9"/>
        <w:gridCol w:w="1845"/>
        <w:gridCol w:w="774"/>
        <w:gridCol w:w="774"/>
        <w:gridCol w:w="989"/>
        <w:gridCol w:w="825"/>
        <w:gridCol w:w="896"/>
        <w:gridCol w:w="896"/>
        <w:gridCol w:w="626"/>
        <w:gridCol w:w="485"/>
        <w:gridCol w:w="757"/>
        <w:gridCol w:w="825"/>
        <w:gridCol w:w="896"/>
        <w:gridCol w:w="896"/>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159" w:type="dxa"/>
            <w:tcBorders>
              <w:top w:val="nil"/>
              <w:left w:val="nil"/>
              <w:bottom w:val="nil"/>
              <w:right w:val="nil"/>
            </w:tcBorders>
            <w:shd w:val="clear" w:color="auto" w:fill="auto"/>
            <w:vAlign w:val="center"/>
          </w:tcPr>
          <w:p>
            <w:pPr>
              <w:snapToGrid w:val="0"/>
              <w:rPr>
                <w:rFonts w:hint="eastAsia" w:ascii="宋体" w:hAnsi="宋体" w:eastAsia="宋体" w:cs="宋体"/>
                <w:b/>
                <w:bCs/>
                <w:i w:val="0"/>
                <w:iCs w:val="0"/>
                <w:color w:val="000000"/>
                <w:sz w:val="28"/>
                <w:szCs w:val="28"/>
                <w:u w:val="none"/>
              </w:rPr>
            </w:pPr>
          </w:p>
        </w:tc>
        <w:tc>
          <w:tcPr>
            <w:tcW w:w="18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8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2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8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5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31"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8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2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8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5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31"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3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Calibri" w:hAnsi="Calibri" w:cs="Calibri"/>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108004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柳州市柳江区人民政府国有资产监督管理中心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419"/>
        <w:gridCol w:w="421"/>
        <w:gridCol w:w="1377"/>
        <w:gridCol w:w="4216"/>
        <w:gridCol w:w="816"/>
        <w:gridCol w:w="1016"/>
        <w:gridCol w:w="523"/>
        <w:gridCol w:w="1090"/>
        <w:gridCol w:w="1090"/>
        <w:gridCol w:w="1090"/>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9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3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59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运转履职类项目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重大政策类项目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特定监控类项目</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专项事业类项目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108004</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柳州市柳江区人民政府国有资产监督管理中心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事业运行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事业单位离退休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机关事业单位基本养老保险缴费支出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机关事业单位职业年金缴费支出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事业单位医疗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住房公积金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8"/>
        <w:gridCol w:w="843"/>
        <w:gridCol w:w="362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5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r>
    </w:tbl>
    <w:p>
      <w:pPr>
        <w:sectPr>
          <w:pgSz w:w="11906" w:h="16838"/>
          <w:pgMar w:top="1440" w:right="1800" w:bottom="1440" w:left="1800" w:header="851" w:footer="992" w:gutter="0"/>
          <w:cols w:space="720" w:num="1"/>
          <w:docGrid w:type="lines" w:linePitch="312" w:charSpace="0"/>
        </w:sectPr>
      </w:pPr>
    </w:p>
    <w:tbl>
      <w:tblPr>
        <w:tblStyle w:val="7"/>
        <w:tblW w:w="1416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465"/>
        <w:gridCol w:w="470"/>
        <w:gridCol w:w="2045"/>
        <w:gridCol w:w="4753"/>
        <w:gridCol w:w="918"/>
        <w:gridCol w:w="918"/>
        <w:gridCol w:w="1144"/>
        <w:gridCol w:w="1147"/>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8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75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4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22"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3" w:type="dxa"/>
            <w:gridSpan w:val="10"/>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6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0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75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1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722"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8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108004</w:t>
            </w: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柳州市柳江区人民政府国有资产监督管理中心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事业运行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114.65</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事业单位离退休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484"/>
        <w:gridCol w:w="3523"/>
        <w:gridCol w:w="950"/>
        <w:gridCol w:w="1186"/>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8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7" w:type="dxa"/>
            <w:gridSpan w:val="6"/>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8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5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186"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206.49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4216"/>
        <w:gridCol w:w="1816"/>
        <w:gridCol w:w="616"/>
        <w:gridCol w:w="616"/>
        <w:gridCol w:w="817"/>
        <w:gridCol w:w="416"/>
        <w:gridCol w:w="416"/>
        <w:gridCol w:w="428"/>
        <w:gridCol w:w="627"/>
        <w:gridCol w:w="616"/>
        <w:gridCol w:w="639"/>
        <w:gridCol w:w="617"/>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81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2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39"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617"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1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040"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财政拨款“三公”经费、会议费和培训费支出情况表</w:t>
            </w:r>
          </w:p>
        </w:tc>
        <w:tc>
          <w:tcPr>
            <w:tcW w:w="617"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17"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17"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42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1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2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39"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0"/>
                <w:szCs w:val="20"/>
                <w:u w:val="none"/>
              </w:rPr>
            </w:pPr>
          </w:p>
        </w:tc>
        <w:tc>
          <w:tcPr>
            <w:tcW w:w="617" w:type="dxa"/>
            <w:tcBorders>
              <w:top w:val="nil"/>
              <w:left w:val="nil"/>
              <w:bottom w:val="nil"/>
              <w:right w:val="nil"/>
            </w:tcBorders>
            <w:shd w:val="clear" w:color="auto" w:fill="auto"/>
            <w:vAlign w:val="bottom"/>
          </w:tcPr>
          <w:p>
            <w:pPr>
              <w:snapToGrid w:val="0"/>
              <w:jc w:val="right"/>
              <w:rPr>
                <w:rFonts w:hint="default" w:ascii="Calibri" w:hAnsi="Calibri" w:cs="Calibri"/>
                <w:i w:val="0"/>
                <w:iCs w:val="0"/>
                <w:color w:val="000000"/>
                <w:sz w:val="20"/>
                <w:szCs w:val="20"/>
                <w:u w:val="none"/>
              </w:rPr>
            </w:pPr>
          </w:p>
        </w:tc>
        <w:tc>
          <w:tcPr>
            <w:tcW w:w="151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3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2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627" w:type="dxa"/>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2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27"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627"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27"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108004</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柳州市柳江区人民政府国有资产监督管理中心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r>
        <w:br w:type="page"/>
      </w: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r>
        <w:br w:type="page"/>
      </w: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r>
        <w:br w:type="page"/>
      </w: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753"/>
        <w:gridCol w:w="753"/>
        <w:gridCol w:w="753"/>
        <w:gridCol w:w="1416"/>
        <w:gridCol w:w="980"/>
        <w:gridCol w:w="757"/>
        <w:gridCol w:w="757"/>
        <w:gridCol w:w="757"/>
        <w:gridCol w:w="757"/>
        <w:gridCol w:w="984"/>
        <w:gridCol w:w="984"/>
        <w:gridCol w:w="984"/>
        <w:gridCol w:w="1100"/>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823" w:type="dxa"/>
            <w:tcBorders>
              <w:top w:val="nil"/>
              <w:left w:val="nil"/>
              <w:bottom w:val="nil"/>
              <w:right w:val="nil"/>
            </w:tcBorders>
            <w:shd w:val="clear" w:color="auto" w:fill="auto"/>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jc w:val="left"/>
              <w:rPr>
                <w:rFonts w:hint="eastAsia" w:ascii="宋体" w:hAnsi="宋体" w:eastAsia="宋体" w:cs="宋体"/>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10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823"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预算资金总额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12F20"/>
    <w:multiLevelType w:val="singleLevel"/>
    <w:tmpl w:val="88712F20"/>
    <w:lvl w:ilvl="0" w:tentative="0">
      <w:start w:val="2"/>
      <w:numFmt w:val="chineseCounting"/>
      <w:suff w:val="nothing"/>
      <w:lvlText w:val="（%1）"/>
      <w:lvlJc w:val="left"/>
      <w:rPr>
        <w:rFonts w:hint="eastAsia"/>
      </w:rPr>
    </w:lvl>
  </w:abstractNum>
  <w:abstractNum w:abstractNumId="1">
    <w:nsid w:val="9F5B3CE9"/>
    <w:multiLevelType w:val="singleLevel"/>
    <w:tmpl w:val="9F5B3CE9"/>
    <w:lvl w:ilvl="0" w:tentative="0">
      <w:start w:val="4"/>
      <w:numFmt w:val="chineseCounting"/>
      <w:suff w:val="nothing"/>
      <w:lvlText w:val="%1、"/>
      <w:lvlJc w:val="left"/>
      <w:rPr>
        <w:rFonts w:hint="eastAsia"/>
      </w:rPr>
    </w:lvl>
  </w:abstractNum>
  <w:abstractNum w:abstractNumId="2">
    <w:nsid w:val="37B7ADE2"/>
    <w:multiLevelType w:val="singleLevel"/>
    <w:tmpl w:val="37B7ADE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F24D7"/>
    <w:rsid w:val="0C6C0E37"/>
    <w:rsid w:val="15DD7808"/>
    <w:rsid w:val="193261D5"/>
    <w:rsid w:val="1EB268D8"/>
    <w:rsid w:val="21690C6D"/>
    <w:rsid w:val="22800727"/>
    <w:rsid w:val="2D0A4BBF"/>
    <w:rsid w:val="2F0E7201"/>
    <w:rsid w:val="36190BE4"/>
    <w:rsid w:val="392A132F"/>
    <w:rsid w:val="3DB14A1D"/>
    <w:rsid w:val="4CC12FFC"/>
    <w:rsid w:val="4E3B534E"/>
    <w:rsid w:val="52744604"/>
    <w:rsid w:val="5C274352"/>
    <w:rsid w:val="5ED305F4"/>
    <w:rsid w:val="61790893"/>
    <w:rsid w:val="61D8154E"/>
    <w:rsid w:val="63041A86"/>
    <w:rsid w:val="65A57B85"/>
    <w:rsid w:val="671F0A3B"/>
    <w:rsid w:val="6A3E1DEA"/>
    <w:rsid w:val="6B47600F"/>
    <w:rsid w:val="6D53000C"/>
    <w:rsid w:val="6DAE2E3A"/>
    <w:rsid w:val="73C01D4B"/>
    <w:rsid w:val="74EC56AE"/>
    <w:rsid w:val="7EAF4A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8307</Words>
  <Characters>9179</Characters>
  <Lines>0</Lines>
  <Paragraphs>0</Paragraphs>
  <TotalTime>12</TotalTime>
  <ScaleCrop>false</ScaleCrop>
  <LinksUpToDate>false</LinksUpToDate>
  <CharactersWithSpaces>9464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2026-03-31T01:22:35Z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eyJoZGlkIjoiOTZjNmRiMjk0MzkzM2E1NTM0Y2NlM2ZmMmY4NWYwMGUiLCJ1c2VySWQiOiIxMjE1MTc3OTczIn0=</vt:lpwstr>
  </property>
  <property fmtid="{D5CDD505-2E9C-101B-9397-08002B2CF9AE}" pid="4" name="ICV">
    <vt:lpwstr>5B6E35D531F0412AA52BDC96E38F04A1_13</vt:lpwstr>
  </property>
</Properties>
</file>