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bCs/>
          <w:szCs w:val="32"/>
          <w:highlight w:val="none"/>
        </w:rPr>
      </w:pPr>
      <w:bookmarkStart w:id="0" w:name="_GoBack"/>
      <w:r>
        <w:rPr>
          <w:rFonts w:hint="eastAsia" w:ascii="黑体" w:hAnsi="宋体" w:eastAsia="黑体"/>
          <w:bCs/>
          <w:sz w:val="44"/>
          <w:szCs w:val="44"/>
          <w:highlight w:val="none"/>
          <w:lang w:eastAsia="zh-CN"/>
        </w:rPr>
        <w:t>柳州市柳江区政府采购中心</w:t>
      </w: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预算及“三公”经费预算公开说明</w:t>
      </w:r>
    </w:p>
    <w:bookmarkEnd w:id="0"/>
    <w:p>
      <w:pPr>
        <w:adjustRightInd w:val="0"/>
        <w:snapToGrid w:val="0"/>
        <w:spacing w:line="560" w:lineRule="exact"/>
        <w:ind w:right="-333" w:rightChars="-104" w:firstLine="640" w:firstLineChars="200"/>
        <w:rPr>
          <w:rFonts w:hint="eastAsia" w:ascii="黑体" w:hAnsi="宋体" w:eastAsia="黑体"/>
          <w:bCs/>
          <w:szCs w:val="32"/>
          <w:highlight w:val="none"/>
        </w:rPr>
      </w:pPr>
      <w:r>
        <w:rPr>
          <w:rFonts w:hint="eastAsia" w:ascii="黑体" w:hAnsi="宋体" w:eastAsia="黑体"/>
          <w:bCs/>
          <w:szCs w:val="32"/>
          <w:highlight w:val="none"/>
        </w:rPr>
        <w:t>第一部分：</w:t>
      </w:r>
      <w:r>
        <w:rPr>
          <w:rFonts w:hint="eastAsia" w:ascii="黑体" w:hAnsi="宋体" w:eastAsia="黑体"/>
          <w:bCs/>
          <w:szCs w:val="32"/>
          <w:highlight w:val="none"/>
          <w:lang w:eastAsia="zh-CN"/>
        </w:rPr>
        <w:t>单位</w:t>
      </w:r>
      <w:r>
        <w:rPr>
          <w:rFonts w:hint="eastAsia" w:ascii="黑体" w:hAnsi="宋体" w:eastAsia="黑体"/>
          <w:bCs/>
          <w:szCs w:val="32"/>
          <w:highlight w:val="none"/>
        </w:rPr>
        <w:t>概况</w:t>
      </w:r>
    </w:p>
    <w:p>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pPr>
        <w:spacing w:line="460" w:lineRule="exact"/>
        <w:ind w:firstLine="640" w:firstLineChars="200"/>
        <w:rPr>
          <w:rFonts w:hint="eastAsia" w:ascii="黑体" w:hAnsi="宋体" w:eastAsia="黑体"/>
          <w:bCs/>
          <w:szCs w:val="32"/>
          <w:highlight w:val="none"/>
        </w:rPr>
      </w:pPr>
      <w:r>
        <w:rPr>
          <w:rFonts w:hint="eastAsia" w:ascii="宋体" w:hAnsi="宋体" w:eastAsia="宋体" w:cs="宋体"/>
          <w:sz w:val="32"/>
          <w:szCs w:val="32"/>
          <w:highlight w:val="none"/>
        </w:rPr>
        <w:t>二、机构设置</w:t>
      </w:r>
    </w:p>
    <w:p>
      <w:pPr>
        <w:adjustRightInd w:val="0"/>
        <w:snapToGrid w:val="0"/>
        <w:spacing w:line="560" w:lineRule="exact"/>
        <w:ind w:right="-333" w:rightChars="-104" w:firstLine="640" w:firstLineChars="200"/>
        <w:rPr>
          <w:rFonts w:hint="eastAsia" w:ascii="黑体" w:hAnsi="宋体" w:eastAsia="黑体"/>
          <w:bCs/>
          <w:szCs w:val="32"/>
          <w:highlight w:val="none"/>
        </w:rPr>
      </w:pPr>
      <w:r>
        <w:rPr>
          <w:rFonts w:hint="eastAsia" w:ascii="黑体" w:eastAsia="黑体"/>
          <w:szCs w:val="32"/>
          <w:highlight w:val="none"/>
        </w:rPr>
        <w:t>第二部分：</w:t>
      </w:r>
      <w:r>
        <w:rPr>
          <w:rFonts w:hint="eastAsia" w:ascii="黑体" w:eastAsia="黑体"/>
          <w:szCs w:val="32"/>
          <w:highlight w:val="none"/>
          <w:lang w:eastAsia="zh-CN"/>
        </w:rPr>
        <w:t>柳州市柳江区政府采购中心</w:t>
      </w:r>
      <w:r>
        <w:rPr>
          <w:rFonts w:hint="eastAsia" w:ascii="黑体" w:hAnsi="宋体" w:eastAsia="黑体"/>
          <w:szCs w:val="32"/>
          <w:highlight w:val="none"/>
          <w:lang w:eastAsia="zh-CN"/>
        </w:rPr>
        <w:t>2026年</w:t>
      </w:r>
      <w:r>
        <w:rPr>
          <w:rFonts w:hint="eastAsia" w:ascii="黑体" w:eastAsia="黑体"/>
          <w:szCs w:val="32"/>
          <w:highlight w:val="none"/>
          <w:lang w:eastAsia="zh-CN"/>
        </w:rPr>
        <w:t>单位</w:t>
      </w:r>
      <w:r>
        <w:rPr>
          <w:rFonts w:hint="eastAsia" w:ascii="黑体" w:eastAsia="黑体"/>
          <w:szCs w:val="32"/>
          <w:highlight w:val="none"/>
        </w:rPr>
        <w:t>预算情况说明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单位</w:t>
      </w:r>
      <w:r>
        <w:rPr>
          <w:rFonts w:hint="eastAsia" w:ascii="宋体" w:hAnsi="宋体" w:eastAsia="宋体" w:cs="宋体"/>
          <w:sz w:val="32"/>
          <w:szCs w:val="32"/>
          <w:highlight w:val="none"/>
        </w:rPr>
        <w:t>预算收支增减变化情况说明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二、单位收入总体情况说明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三、单位支出总体情况说明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四、财政拨款收支总体情况说明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五、一般公共预算支出情况说明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六、一般公共预算基本支出情况说明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七、一般公共预算“三公”经费支出情况说明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八、政府性基金预算支出情况说明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九、国有资本经营预算支出情况说明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val="en-US" w:eastAsia="zh-CN"/>
        </w:rPr>
        <w:t>十</w:t>
      </w:r>
      <w:r>
        <w:rPr>
          <w:rFonts w:hint="eastAsia" w:ascii="宋体" w:hAnsi="宋体" w:eastAsia="宋体" w:cs="宋体"/>
          <w:sz w:val="32"/>
          <w:szCs w:val="32"/>
          <w:highlight w:val="none"/>
          <w:lang w:eastAsia="zh-CN"/>
        </w:rPr>
        <w:t>、其他重要事项情况说明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（一）机关运行经费安排情况说明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（二）政府采购预算安排情况说明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（三）政府购买服务情况说明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（四）国有资产占用情况说明</w:t>
      </w:r>
    </w:p>
    <w:p>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（五）预算绩效目标情况说明</w:t>
      </w:r>
    </w:p>
    <w:p>
      <w:pPr>
        <w:adjustRightInd w:val="0"/>
        <w:snapToGrid w:val="0"/>
        <w:spacing w:line="560" w:lineRule="exact"/>
        <w:ind w:right="-333" w:rightChars="-104" w:firstLine="640" w:firstLineChars="200"/>
        <w:rPr>
          <w:rFonts w:hint="eastAsia" w:ascii="黑体" w:hAnsi="宋体" w:eastAsia="黑体"/>
          <w:bCs/>
          <w:szCs w:val="32"/>
          <w:highlight w:val="none"/>
        </w:rPr>
      </w:pPr>
      <w:r>
        <w:rPr>
          <w:rFonts w:hint="eastAsia" w:ascii="黑体" w:eastAsia="黑体"/>
          <w:szCs w:val="32"/>
          <w:highlight w:val="none"/>
        </w:rPr>
        <w:t>第三部分：名词解释</w:t>
      </w:r>
    </w:p>
    <w:p>
      <w:pPr>
        <w:adjustRightInd w:val="0"/>
        <w:snapToGrid w:val="0"/>
        <w:spacing w:line="560" w:lineRule="exact"/>
        <w:ind w:right="-333" w:rightChars="-104" w:firstLine="640" w:firstLineChars="200"/>
        <w:rPr>
          <w:rFonts w:hint="eastAsia" w:ascii="黑体" w:hAnsi="宋体" w:eastAsia="黑体"/>
          <w:bCs/>
          <w:szCs w:val="32"/>
          <w:highlight w:val="none"/>
        </w:rPr>
      </w:pPr>
      <w:r>
        <w:rPr>
          <w:rFonts w:hint="eastAsia" w:ascii="黑体" w:hAnsi="宋体" w:eastAsia="黑体"/>
          <w:bCs/>
          <w:szCs w:val="32"/>
          <w:highlight w:val="none"/>
        </w:rPr>
        <w:t>第四部分：</w:t>
      </w:r>
      <w:r>
        <w:rPr>
          <w:rFonts w:hint="eastAsia" w:ascii="黑体" w:eastAsia="黑体"/>
          <w:szCs w:val="32"/>
          <w:highlight w:val="none"/>
          <w:lang w:eastAsia="zh-CN"/>
        </w:rPr>
        <w:t>柳州市柳江区政府采购中心</w:t>
      </w:r>
      <w:r>
        <w:rPr>
          <w:rFonts w:hint="eastAsia" w:ascii="黑体" w:hAnsi="宋体" w:eastAsia="黑体"/>
          <w:szCs w:val="32"/>
          <w:highlight w:val="none"/>
          <w:lang w:eastAsia="zh-CN"/>
        </w:rPr>
        <w:t>2026年</w:t>
      </w:r>
      <w:r>
        <w:rPr>
          <w:rFonts w:hint="eastAsia" w:ascii="黑体" w:eastAsia="黑体"/>
          <w:szCs w:val="32"/>
          <w:highlight w:val="none"/>
          <w:lang w:eastAsia="zh-CN"/>
        </w:rPr>
        <w:t>单位</w:t>
      </w:r>
      <w:r>
        <w:rPr>
          <w:rFonts w:hint="eastAsia" w:ascii="黑体" w:eastAsia="黑体"/>
          <w:szCs w:val="32"/>
          <w:highlight w:val="none"/>
        </w:rPr>
        <w:t>预算报表</w:t>
      </w:r>
    </w:p>
    <w:p>
      <w:pPr>
        <w:rPr>
          <w:rFonts w:hint="eastAsia" w:ascii="黑体" w:hAnsi="宋体" w:eastAsia="黑体"/>
          <w:bCs/>
          <w:szCs w:val="32"/>
          <w:highlight w:val="none"/>
        </w:rPr>
      </w:pPr>
      <w:r>
        <w:rPr>
          <w:rFonts w:hint="eastAsia" w:ascii="黑体" w:hAnsi="宋体" w:eastAsia="黑体"/>
          <w:bCs/>
          <w:szCs w:val="32"/>
          <w:highlight w:val="none"/>
        </w:rPr>
        <w:br w:type="page"/>
      </w:r>
    </w:p>
    <w:p>
      <w:pPr>
        <w:adjustRightInd w:val="0"/>
        <w:snapToGrid w:val="0"/>
        <w:spacing w:line="560" w:lineRule="exact"/>
        <w:ind w:right="-333" w:rightChars="-104" w:firstLine="640" w:firstLineChars="200"/>
        <w:rPr>
          <w:rFonts w:hint="eastAsia" w:ascii="黑体" w:hAnsi="宋体" w:eastAsia="黑体"/>
          <w:bCs/>
          <w:szCs w:val="32"/>
          <w:highlight w:val="none"/>
        </w:rPr>
      </w:pPr>
      <w:r>
        <w:rPr>
          <w:rFonts w:hint="eastAsia" w:ascii="黑体" w:hAnsi="宋体" w:eastAsia="黑体"/>
          <w:bCs/>
          <w:szCs w:val="32"/>
          <w:highlight w:val="none"/>
        </w:rPr>
        <w:t>第一部分：单位概况</w:t>
      </w:r>
    </w:p>
    <w:p>
      <w:pPr>
        <w:adjustRightInd w:val="0"/>
        <w:snapToGrid w:val="0"/>
        <w:spacing w:line="560" w:lineRule="exact"/>
        <w:ind w:right="-333" w:rightChars="-104" w:firstLine="640" w:firstLineChars="200"/>
        <w:rPr>
          <w:rFonts w:hint="eastAsia" w:ascii="黑体" w:hAnsi="宋体" w:eastAsia="黑体"/>
          <w:szCs w:val="32"/>
          <w:highlight w:val="none"/>
        </w:rPr>
      </w:pPr>
      <w:r>
        <w:rPr>
          <w:rFonts w:hint="eastAsia" w:ascii="黑体" w:hAnsi="宋体" w:eastAsia="黑体"/>
          <w:bCs/>
          <w:szCs w:val="32"/>
          <w:highlight w:val="none"/>
        </w:rPr>
        <w:t>一</w:t>
      </w:r>
      <w:r>
        <w:rPr>
          <w:rFonts w:hint="eastAsia" w:ascii="黑体" w:hAnsi="宋体" w:eastAsia="黑体"/>
          <w:szCs w:val="32"/>
          <w:highlight w:val="none"/>
        </w:rPr>
        <w:t>、单位主要职能</w:t>
      </w:r>
    </w:p>
    <w:p>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1．主要职能。</w:t>
      </w:r>
    </w:p>
    <w:p>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sz w:val="32"/>
          <w:szCs w:val="32"/>
          <w:highlight w:val="none"/>
          <w:lang w:val="en-US" w:eastAsia="zh-CN"/>
        </w:rPr>
        <w:t>（一）</w:t>
      </w:r>
      <w:r>
        <w:rPr>
          <w:rFonts w:hint="eastAsia" w:ascii="仿宋_GB2312" w:hAnsi="仿宋" w:eastAsia="仿宋_GB2312"/>
          <w:sz w:val="32"/>
          <w:szCs w:val="32"/>
          <w:highlight w:val="none"/>
          <w:lang w:val="en-US" w:eastAsia="zh-CN"/>
        </w:rPr>
        <w:t>负责全区政府采购管理工作，拟订全区政府采购有关规划并组织实施。</w:t>
      </w:r>
    </w:p>
    <w:p>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sz w:val="32"/>
          <w:szCs w:val="32"/>
          <w:highlight w:val="none"/>
          <w:lang w:val="en-US" w:eastAsia="zh-CN"/>
        </w:rPr>
        <w:t>（二）</w:t>
      </w:r>
      <w:r>
        <w:rPr>
          <w:rFonts w:hint="eastAsia" w:ascii="仿宋_GB2312" w:hAnsi="仿宋" w:eastAsia="仿宋_GB2312"/>
          <w:sz w:val="32"/>
          <w:szCs w:val="32"/>
          <w:highlight w:val="none"/>
          <w:lang w:val="en-US" w:eastAsia="zh-CN"/>
        </w:rPr>
        <w:t>负责提出政府采购预算建议、编制和汇总政府采购计划。</w:t>
      </w:r>
    </w:p>
    <w:p>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sz w:val="32"/>
          <w:szCs w:val="32"/>
          <w:highlight w:val="none"/>
          <w:lang w:val="en-US" w:eastAsia="zh-CN"/>
        </w:rPr>
        <w:t>（三）</w:t>
      </w:r>
      <w:r>
        <w:rPr>
          <w:rFonts w:hint="eastAsia" w:ascii="仿宋_GB2312" w:hAnsi="仿宋" w:eastAsia="仿宋_GB2312"/>
          <w:sz w:val="32"/>
          <w:szCs w:val="32"/>
          <w:highlight w:val="none"/>
          <w:lang w:val="en-US" w:eastAsia="zh-CN"/>
        </w:rPr>
        <w:t>负责政府采购信息统计管理，包括政府采购信息发布，供应商资料库管理，政府采购档案管理，编制和汇总政府采购信息统计表，对统计表进行分析并提出建议。</w:t>
      </w:r>
    </w:p>
    <w:p>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sz w:val="32"/>
          <w:szCs w:val="32"/>
          <w:highlight w:val="none"/>
          <w:lang w:val="en-US" w:eastAsia="zh-CN"/>
        </w:rPr>
        <w:t>（四）</w:t>
      </w:r>
      <w:r>
        <w:rPr>
          <w:rFonts w:hint="eastAsia" w:ascii="仿宋_GB2312" w:hAnsi="仿宋" w:eastAsia="仿宋_GB2312"/>
          <w:sz w:val="32"/>
          <w:szCs w:val="32"/>
          <w:highlight w:val="none"/>
          <w:lang w:val="en-US" w:eastAsia="zh-CN"/>
        </w:rPr>
        <w:t>负责审核、批准政府采购方式。</w:t>
      </w:r>
    </w:p>
    <w:p>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sz w:val="32"/>
          <w:szCs w:val="32"/>
          <w:highlight w:val="none"/>
          <w:lang w:val="en-US" w:eastAsia="zh-CN"/>
        </w:rPr>
        <w:t>（五）</w:t>
      </w:r>
      <w:r>
        <w:rPr>
          <w:rFonts w:hint="eastAsia" w:ascii="仿宋_GB2312" w:hAnsi="仿宋" w:eastAsia="仿宋_GB2312"/>
          <w:sz w:val="32"/>
          <w:szCs w:val="32"/>
          <w:highlight w:val="none"/>
          <w:lang w:val="en-US" w:eastAsia="zh-CN"/>
        </w:rPr>
        <w:t>负责受理政府采购当事人的投诉。</w:t>
      </w:r>
    </w:p>
    <w:p>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sz w:val="32"/>
          <w:szCs w:val="32"/>
          <w:highlight w:val="none"/>
          <w:lang w:val="en-US" w:eastAsia="zh-CN"/>
        </w:rPr>
        <w:t>（六）</w:t>
      </w:r>
      <w:r>
        <w:rPr>
          <w:rFonts w:hint="eastAsia" w:ascii="仿宋_GB2312" w:hAnsi="仿宋" w:eastAsia="仿宋_GB2312"/>
          <w:sz w:val="32"/>
          <w:szCs w:val="32"/>
          <w:highlight w:val="none"/>
          <w:lang w:val="en-US" w:eastAsia="zh-CN"/>
        </w:rPr>
        <w:t>协助区财政局监督检查全区政府采购法律、法规、规章的执行情况。</w:t>
      </w:r>
    </w:p>
    <w:p>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sz w:val="32"/>
          <w:szCs w:val="32"/>
          <w:highlight w:val="none"/>
          <w:lang w:val="en-US" w:eastAsia="zh-CN"/>
        </w:rPr>
        <w:t>（七）</w:t>
      </w:r>
      <w:r>
        <w:rPr>
          <w:rFonts w:hint="eastAsia" w:ascii="仿宋_GB2312" w:hAnsi="仿宋" w:eastAsia="仿宋_GB2312"/>
          <w:sz w:val="32"/>
          <w:szCs w:val="32"/>
          <w:highlight w:val="none"/>
          <w:lang w:val="en-US" w:eastAsia="zh-CN"/>
        </w:rPr>
        <w:t>协助区财政局依法查处政府采购当事人的违法违规行为。</w:t>
      </w:r>
    </w:p>
    <w:p>
      <w:pPr>
        <w:snapToGrid w:val="0"/>
        <w:spacing w:line="520" w:lineRule="exact"/>
        <w:ind w:firstLine="640" w:firstLineChars="200"/>
        <w:jc w:val="both"/>
        <w:rPr>
          <w:rFonts w:hint="eastAsia" w:ascii="仿宋_GB2312" w:hAnsi="仿宋" w:eastAsia="仿宋_GB2312"/>
          <w:sz w:val="32"/>
          <w:szCs w:val="32"/>
          <w:highlight w:val="none"/>
          <w:lang w:val="en-US" w:eastAsia="zh-CN"/>
        </w:rPr>
      </w:pPr>
      <w:r>
        <w:rPr>
          <w:rFonts w:hint="eastAsia" w:ascii="仿宋_GB2312" w:hAnsi="仿宋"/>
          <w:sz w:val="32"/>
          <w:szCs w:val="32"/>
          <w:highlight w:val="none"/>
          <w:lang w:val="en-US" w:eastAsia="zh-CN"/>
        </w:rPr>
        <w:t>（八）</w:t>
      </w:r>
      <w:r>
        <w:rPr>
          <w:rFonts w:hint="eastAsia" w:ascii="仿宋_GB2312" w:hAnsi="仿宋" w:eastAsia="仿宋_GB2312"/>
          <w:sz w:val="32"/>
          <w:szCs w:val="32"/>
          <w:highlight w:val="none"/>
          <w:lang w:val="en-US" w:eastAsia="zh-CN"/>
        </w:rPr>
        <w:t>负责组织开展全区政府采购人员业务培训。</w:t>
      </w:r>
    </w:p>
    <w:p>
      <w:pPr>
        <w:snapToGrid w:val="0"/>
        <w:spacing w:line="520" w:lineRule="exact"/>
        <w:ind w:firstLine="640" w:firstLineChars="200"/>
        <w:jc w:val="both"/>
        <w:rPr>
          <w:rFonts w:hint="eastAsia" w:ascii="仿宋_GB2312" w:hAnsi="仿宋" w:eastAsia="仿宋_GB2312" w:cs="Times New Roman"/>
          <w:sz w:val="32"/>
          <w:szCs w:val="32"/>
          <w:highlight w:val="none"/>
          <w:lang w:val="en-US" w:eastAsia="zh-CN"/>
        </w:rPr>
      </w:pPr>
      <w:r>
        <w:rPr>
          <w:rFonts w:hint="eastAsia" w:ascii="仿宋_GB2312" w:hAnsi="仿宋"/>
          <w:sz w:val="32"/>
          <w:szCs w:val="32"/>
          <w:highlight w:val="none"/>
          <w:lang w:val="en-US" w:eastAsia="zh-CN"/>
        </w:rPr>
        <w:t>（九）</w:t>
      </w:r>
      <w:r>
        <w:rPr>
          <w:rFonts w:hint="eastAsia" w:ascii="仿宋_GB2312" w:hAnsi="仿宋" w:eastAsia="仿宋_GB2312" w:cs="Times New Roman"/>
          <w:sz w:val="32"/>
          <w:szCs w:val="32"/>
          <w:highlight w:val="none"/>
          <w:lang w:val="en-US" w:eastAsia="zh-CN"/>
        </w:rPr>
        <w:t>负责指导全区各镇、各单位开展政府采购工作。</w:t>
      </w:r>
    </w:p>
    <w:p>
      <w:pPr>
        <w:spacing w:line="560" w:lineRule="exact"/>
        <w:ind w:firstLine="640" w:firstLineChars="200"/>
        <w:rPr>
          <w:rFonts w:hint="eastAsia" w:ascii="黑体" w:hAnsi="宋体" w:eastAsia="黑体"/>
          <w:szCs w:val="32"/>
          <w:highlight w:val="none"/>
        </w:rPr>
      </w:pPr>
      <w:r>
        <w:rPr>
          <w:rFonts w:hint="eastAsia" w:ascii="黑体" w:hAnsi="宋体" w:eastAsia="黑体"/>
          <w:szCs w:val="32"/>
          <w:highlight w:val="none"/>
        </w:rPr>
        <w:t>二、机构设置情况</w:t>
      </w:r>
    </w:p>
    <w:p>
      <w:pPr>
        <w:spacing w:line="560" w:lineRule="exact"/>
        <w:ind w:firstLine="640" w:firstLineChars="200"/>
        <w:rPr>
          <w:rFonts w:hint="eastAsia" w:ascii="仿宋_GB2312" w:hAnsi="宋体"/>
          <w:szCs w:val="32"/>
          <w:highlight w:val="none"/>
          <w:lang w:val="en-US" w:eastAsia="zh-CN"/>
        </w:rPr>
      </w:pPr>
      <w:r>
        <w:rPr>
          <w:rFonts w:hint="eastAsia" w:ascii="仿宋_GB2312" w:hAnsi="宋体"/>
          <w:szCs w:val="32"/>
          <w:highlight w:val="none"/>
        </w:rPr>
        <w:t>单位内设机构</w:t>
      </w:r>
      <w:r>
        <w:rPr>
          <w:rFonts w:hint="eastAsia" w:ascii="仿宋_GB2312" w:hAnsi="宋体"/>
          <w:szCs w:val="32"/>
          <w:highlight w:val="none"/>
          <w:lang w:val="en-US" w:eastAsia="zh-CN"/>
        </w:rPr>
        <w:t>1个，为柳州市柳江区政府采购中心，属于参照公务员管理的事业单位。</w:t>
      </w:r>
    </w:p>
    <w:p>
      <w:pPr>
        <w:pStyle w:val="9"/>
        <w:rPr>
          <w:rFonts w:hint="eastAsia"/>
          <w:highlight w:val="none"/>
        </w:rPr>
      </w:pPr>
    </w:p>
    <w:p>
      <w:pPr>
        <w:rPr>
          <w:rFonts w:hint="eastAsia" w:ascii="黑体" w:eastAsia="黑体"/>
          <w:szCs w:val="32"/>
          <w:highlight w:val="none"/>
        </w:rPr>
      </w:pPr>
      <w:r>
        <w:rPr>
          <w:rFonts w:hint="eastAsia" w:ascii="黑体" w:eastAsia="黑体"/>
          <w:szCs w:val="32"/>
          <w:highlight w:val="none"/>
        </w:rPr>
        <w:br w:type="page"/>
      </w:r>
    </w:p>
    <w:p>
      <w:pPr>
        <w:tabs>
          <w:tab w:val="center" w:pos="4475"/>
        </w:tabs>
        <w:spacing w:line="560" w:lineRule="exact"/>
        <w:ind w:firstLine="645"/>
        <w:rPr>
          <w:rFonts w:hint="eastAsia" w:ascii="仿宋_GB2312" w:hAnsi="仿宋_GB2312" w:eastAsia="仿宋_GB2312" w:cs="仿宋_GB2312"/>
          <w:szCs w:val="32"/>
          <w:highlight w:val="none"/>
        </w:rPr>
      </w:pPr>
      <w:r>
        <w:rPr>
          <w:rFonts w:hint="eastAsia" w:ascii="黑体" w:eastAsia="黑体"/>
          <w:szCs w:val="32"/>
          <w:highlight w:val="none"/>
        </w:rPr>
        <w:t>第二部分：</w:t>
      </w:r>
      <w:r>
        <w:rPr>
          <w:rFonts w:hint="eastAsia" w:ascii="黑体" w:eastAsia="黑体"/>
          <w:szCs w:val="32"/>
          <w:highlight w:val="none"/>
          <w:lang w:eastAsia="zh-CN"/>
        </w:rPr>
        <w:t>柳州市柳江区政府采购中心</w:t>
      </w:r>
      <w:r>
        <w:rPr>
          <w:rFonts w:hint="eastAsia" w:ascii="黑体" w:hAnsi="宋体" w:eastAsia="黑体"/>
          <w:szCs w:val="32"/>
          <w:highlight w:val="none"/>
        </w:rPr>
        <w:t>单位</w:t>
      </w:r>
      <w:r>
        <w:rPr>
          <w:rFonts w:hint="eastAsia" w:ascii="黑体" w:hAnsi="宋体" w:eastAsia="黑体"/>
          <w:szCs w:val="32"/>
          <w:highlight w:val="none"/>
          <w:lang w:eastAsia="zh-CN"/>
        </w:rPr>
        <w:t>2026年</w:t>
      </w:r>
      <w:r>
        <w:rPr>
          <w:rFonts w:hint="eastAsia" w:ascii="黑体" w:eastAsia="黑体"/>
          <w:szCs w:val="32"/>
          <w:highlight w:val="none"/>
        </w:rPr>
        <w:t>单位预算情况说明</w:t>
      </w:r>
    </w:p>
    <w:p>
      <w:pPr>
        <w:tabs>
          <w:tab w:val="center" w:pos="4475"/>
        </w:tabs>
        <w:spacing w:line="560" w:lineRule="exact"/>
        <w:ind w:firstLine="645"/>
        <w:rPr>
          <w:rFonts w:hint="eastAsia" w:ascii="黑体" w:eastAsia="黑体"/>
          <w:szCs w:val="32"/>
          <w:highlight w:val="none"/>
        </w:rPr>
      </w:pPr>
      <w:r>
        <w:rPr>
          <w:rFonts w:hint="eastAsia" w:ascii="黑体" w:eastAsia="黑体"/>
          <w:szCs w:val="32"/>
          <w:highlight w:val="none"/>
        </w:rPr>
        <w:t>一、</w:t>
      </w:r>
      <w:r>
        <w:rPr>
          <w:rFonts w:hint="eastAsia" w:ascii="黑体" w:eastAsia="黑体"/>
          <w:szCs w:val="32"/>
          <w:highlight w:val="none"/>
          <w:lang w:eastAsia="zh-CN"/>
        </w:rPr>
        <w:t>单位</w:t>
      </w:r>
      <w:r>
        <w:rPr>
          <w:rFonts w:hint="eastAsia" w:ascii="黑体" w:eastAsia="黑体"/>
          <w:szCs w:val="32"/>
          <w:highlight w:val="none"/>
        </w:rPr>
        <w:t>收支总体情况说明</w:t>
      </w:r>
    </w:p>
    <w:p>
      <w:pPr>
        <w:tabs>
          <w:tab w:val="center" w:pos="4475"/>
        </w:tabs>
        <w:spacing w:line="560" w:lineRule="exact"/>
        <w:ind w:firstLine="645"/>
        <w:rPr>
          <w:rFonts w:hint="eastAsia" w:ascii="仿宋_GB2312"/>
          <w:sz w:val="32"/>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81.41</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总支出</w:t>
      </w:r>
      <w:r>
        <w:rPr>
          <w:rFonts w:hint="eastAsia" w:ascii="仿宋_GB2312"/>
          <w:sz w:val="32"/>
          <w:szCs w:val="32"/>
          <w:highlight w:val="none"/>
          <w:lang w:val="en-US" w:eastAsia="zh-CN"/>
        </w:rPr>
        <w:t>81.41</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（不含财政拨款上年未列支结转收支数）。</w:t>
      </w:r>
      <w:r>
        <w:rPr>
          <w:rFonts w:hint="eastAsia" w:ascii="仿宋_GB2312"/>
          <w:sz w:val="32"/>
          <w:szCs w:val="32"/>
          <w:highlight w:val="none"/>
          <w:lang w:eastAsia="zh-CN"/>
        </w:rPr>
        <w:t>总收入较上年增加</w:t>
      </w:r>
      <w:r>
        <w:rPr>
          <w:rFonts w:hint="eastAsia" w:ascii="仿宋_GB2312"/>
          <w:sz w:val="32"/>
          <w:szCs w:val="32"/>
          <w:highlight w:val="none"/>
          <w:lang w:val="en-US" w:eastAsia="zh-CN"/>
        </w:rPr>
        <w:t>48.34%，主要原因是</w:t>
      </w:r>
      <w:r>
        <w:rPr>
          <w:rFonts w:hint="eastAsia" w:cs="Times New Roman"/>
          <w:color w:val="auto"/>
          <w:kern w:val="0"/>
          <w:sz w:val="32"/>
          <w:szCs w:val="32"/>
          <w:highlight w:val="none"/>
          <w:lang w:eastAsia="zh-CN"/>
        </w:rPr>
        <w:t>本年度增加</w:t>
      </w:r>
      <w:r>
        <w:rPr>
          <w:rFonts w:hint="eastAsia" w:cs="Times New Roman"/>
          <w:color w:val="auto"/>
          <w:kern w:val="0"/>
          <w:sz w:val="32"/>
          <w:szCs w:val="32"/>
          <w:highlight w:val="none"/>
          <w:lang w:val="en-US" w:eastAsia="zh-CN"/>
        </w:rPr>
        <w:t>1名在职在编人员，单位总收入相应增加</w:t>
      </w:r>
      <w:r>
        <w:rPr>
          <w:rFonts w:hint="eastAsia" w:ascii="仿宋_GB2312"/>
          <w:sz w:val="32"/>
          <w:szCs w:val="32"/>
          <w:highlight w:val="none"/>
          <w:lang w:val="en-US" w:eastAsia="zh-CN"/>
        </w:rPr>
        <w:t>。总支出</w:t>
      </w:r>
      <w:r>
        <w:rPr>
          <w:rFonts w:hint="eastAsia" w:ascii="仿宋_GB2312"/>
          <w:sz w:val="32"/>
          <w:szCs w:val="32"/>
          <w:highlight w:val="none"/>
          <w:lang w:eastAsia="zh-CN"/>
        </w:rPr>
        <w:t>较上年增加</w:t>
      </w:r>
      <w:r>
        <w:rPr>
          <w:rFonts w:hint="eastAsia" w:ascii="仿宋_GB2312"/>
          <w:sz w:val="32"/>
          <w:szCs w:val="32"/>
          <w:highlight w:val="none"/>
          <w:lang w:val="en-US" w:eastAsia="zh-CN"/>
        </w:rPr>
        <w:t>48.34%，主要原因是</w:t>
      </w:r>
      <w:r>
        <w:rPr>
          <w:rFonts w:hint="eastAsia" w:cs="Times New Roman"/>
          <w:color w:val="auto"/>
          <w:kern w:val="0"/>
          <w:sz w:val="32"/>
          <w:szCs w:val="32"/>
          <w:highlight w:val="none"/>
          <w:lang w:eastAsia="zh-CN"/>
        </w:rPr>
        <w:t>本年度增加</w:t>
      </w:r>
      <w:r>
        <w:rPr>
          <w:rFonts w:hint="eastAsia" w:cs="Times New Roman"/>
          <w:color w:val="auto"/>
          <w:kern w:val="0"/>
          <w:sz w:val="32"/>
          <w:szCs w:val="32"/>
          <w:highlight w:val="none"/>
          <w:lang w:val="en-US" w:eastAsia="zh-CN"/>
        </w:rPr>
        <w:t>1名在职在编人员，单位总支出相应增加</w:t>
      </w:r>
      <w:r>
        <w:rPr>
          <w:rFonts w:hint="eastAsia" w:ascii="仿宋_GB2312"/>
          <w:sz w:val="32"/>
          <w:szCs w:val="32"/>
          <w:highlight w:val="none"/>
          <w:lang w:val="en-US" w:eastAsia="zh-CN"/>
        </w:rPr>
        <w:t>。</w:t>
      </w:r>
    </w:p>
    <w:p>
      <w:pPr>
        <w:tabs>
          <w:tab w:val="center" w:pos="4475"/>
        </w:tabs>
        <w:spacing w:line="560" w:lineRule="exact"/>
        <w:ind w:firstLine="645"/>
        <w:rPr>
          <w:rFonts w:hint="eastAsia" w:ascii="黑体" w:eastAsia="黑体"/>
          <w:szCs w:val="32"/>
          <w:highlight w:val="none"/>
        </w:rPr>
      </w:pPr>
      <w:r>
        <w:rPr>
          <w:rFonts w:hint="eastAsia" w:ascii="黑体" w:eastAsia="黑体"/>
          <w:szCs w:val="32"/>
          <w:highlight w:val="none"/>
        </w:rPr>
        <w:t>二、</w:t>
      </w:r>
      <w:r>
        <w:rPr>
          <w:rFonts w:hint="eastAsia" w:ascii="黑体" w:eastAsia="黑体"/>
          <w:szCs w:val="32"/>
          <w:highlight w:val="none"/>
          <w:lang w:eastAsia="zh-CN"/>
        </w:rPr>
        <w:t>单位</w:t>
      </w:r>
      <w:r>
        <w:rPr>
          <w:rFonts w:hint="eastAsia" w:ascii="黑体" w:eastAsia="黑体"/>
          <w:szCs w:val="32"/>
          <w:highlight w:val="none"/>
        </w:rPr>
        <w:t>收入总体情况说明</w:t>
      </w:r>
    </w:p>
    <w:p>
      <w:pPr>
        <w:tabs>
          <w:tab w:val="center" w:pos="4475"/>
        </w:tabs>
        <w:spacing w:line="560" w:lineRule="exact"/>
        <w:ind w:firstLine="645"/>
        <w:rPr>
          <w:rFonts w:hint="eastAsia" w:ascii="黑体" w:eastAsia="黑体"/>
          <w:szCs w:val="32"/>
          <w:highlight w:val="none"/>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81.41</w:t>
      </w:r>
      <w:r>
        <w:rPr>
          <w:rFonts w:hint="eastAsia" w:ascii="仿宋_GB2312" w:eastAsia="仿宋_GB2312"/>
          <w:sz w:val="32"/>
          <w:szCs w:val="32"/>
          <w:highlight w:val="none"/>
        </w:rPr>
        <w:t>万元</w:t>
      </w:r>
      <w:r>
        <w:rPr>
          <w:rFonts w:hint="eastAsia" w:ascii="仿宋_GB2312"/>
          <w:sz w:val="32"/>
          <w:szCs w:val="32"/>
          <w:highlight w:val="none"/>
          <w:lang w:eastAsia="zh-CN"/>
        </w:rPr>
        <w:t>，较上年增加</w:t>
      </w:r>
      <w:r>
        <w:rPr>
          <w:rFonts w:hint="eastAsia" w:ascii="仿宋_GB2312"/>
          <w:sz w:val="32"/>
          <w:szCs w:val="32"/>
          <w:highlight w:val="none"/>
          <w:lang w:val="en-US" w:eastAsia="zh-CN"/>
        </w:rPr>
        <w:t>48.34%，主要原因是</w:t>
      </w:r>
      <w:r>
        <w:rPr>
          <w:rFonts w:hint="eastAsia" w:cs="Times New Roman"/>
          <w:color w:val="auto"/>
          <w:kern w:val="0"/>
          <w:sz w:val="32"/>
          <w:szCs w:val="32"/>
          <w:highlight w:val="none"/>
          <w:lang w:eastAsia="zh-CN"/>
        </w:rPr>
        <w:t>本年度增加</w:t>
      </w:r>
      <w:r>
        <w:rPr>
          <w:rFonts w:hint="eastAsia" w:cs="Times New Roman"/>
          <w:color w:val="auto"/>
          <w:kern w:val="0"/>
          <w:sz w:val="32"/>
          <w:szCs w:val="32"/>
          <w:highlight w:val="none"/>
          <w:lang w:val="en-US" w:eastAsia="zh-CN"/>
        </w:rPr>
        <w:t>1名在职在编人员，单位总收入相应增加</w:t>
      </w:r>
      <w:r>
        <w:rPr>
          <w:rFonts w:hint="eastAsia" w:ascii="仿宋_GB2312"/>
          <w:sz w:val="32"/>
          <w:szCs w:val="32"/>
          <w:highlight w:val="none"/>
          <w:lang w:val="en-US" w:eastAsia="zh-CN"/>
        </w:rPr>
        <w:t>。</w:t>
      </w:r>
    </w:p>
    <w:p>
      <w:pPr>
        <w:tabs>
          <w:tab w:val="center" w:pos="4475"/>
        </w:tabs>
        <w:spacing w:line="560" w:lineRule="exact"/>
        <w:ind w:firstLine="645"/>
        <w:rPr>
          <w:rFonts w:hint="eastAsia" w:ascii="黑体" w:eastAsia="黑体"/>
          <w:szCs w:val="32"/>
          <w:highlight w:val="none"/>
        </w:rPr>
      </w:pPr>
      <w:r>
        <w:rPr>
          <w:rFonts w:hint="eastAsia" w:ascii="黑体" w:eastAsia="黑体"/>
          <w:szCs w:val="32"/>
          <w:highlight w:val="none"/>
        </w:rPr>
        <w:t>三、</w:t>
      </w:r>
      <w:r>
        <w:rPr>
          <w:rFonts w:hint="eastAsia" w:ascii="黑体" w:eastAsia="黑体"/>
          <w:szCs w:val="32"/>
          <w:highlight w:val="none"/>
          <w:lang w:eastAsia="zh-CN"/>
        </w:rPr>
        <w:t>单位</w:t>
      </w:r>
      <w:r>
        <w:rPr>
          <w:rFonts w:hint="eastAsia" w:ascii="黑体" w:eastAsia="黑体"/>
          <w:szCs w:val="32"/>
          <w:highlight w:val="none"/>
        </w:rPr>
        <w:t>支出总体情况说明</w:t>
      </w:r>
    </w:p>
    <w:p>
      <w:pPr>
        <w:tabs>
          <w:tab w:val="center" w:pos="4475"/>
        </w:tabs>
        <w:spacing w:line="560" w:lineRule="exact"/>
        <w:ind w:firstLine="645"/>
        <w:rPr>
          <w:rFonts w:hint="eastAsia" w:ascii="仿宋_GB2312"/>
          <w:sz w:val="32"/>
          <w:szCs w:val="32"/>
          <w:highlight w:val="none"/>
          <w:lang w:val="en-US"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w:t>
      </w:r>
      <w:r>
        <w:rPr>
          <w:rFonts w:hint="eastAsia" w:ascii="仿宋_GB2312"/>
          <w:sz w:val="32"/>
          <w:szCs w:val="32"/>
          <w:highlight w:val="none"/>
          <w:lang w:eastAsia="zh-CN"/>
        </w:rPr>
        <w:t>支出</w:t>
      </w:r>
      <w:r>
        <w:rPr>
          <w:rFonts w:hint="eastAsia" w:ascii="仿宋_GB2312"/>
          <w:sz w:val="32"/>
          <w:szCs w:val="32"/>
          <w:highlight w:val="none"/>
          <w:lang w:val="en-US" w:eastAsia="zh-CN"/>
        </w:rPr>
        <w:t>81.41</w:t>
      </w:r>
      <w:r>
        <w:rPr>
          <w:rFonts w:hint="eastAsia" w:ascii="仿宋_GB2312" w:eastAsia="仿宋_GB2312"/>
          <w:sz w:val="32"/>
          <w:szCs w:val="32"/>
          <w:highlight w:val="none"/>
        </w:rPr>
        <w:t>万元</w:t>
      </w:r>
      <w:r>
        <w:rPr>
          <w:rFonts w:hint="eastAsia" w:ascii="仿宋_GB2312"/>
          <w:sz w:val="32"/>
          <w:szCs w:val="32"/>
          <w:highlight w:val="none"/>
          <w:lang w:eastAsia="zh-CN"/>
        </w:rPr>
        <w:t>，较上年增加</w:t>
      </w:r>
      <w:r>
        <w:rPr>
          <w:rFonts w:hint="eastAsia" w:ascii="仿宋_GB2312"/>
          <w:sz w:val="32"/>
          <w:szCs w:val="32"/>
          <w:highlight w:val="none"/>
          <w:lang w:val="en-US" w:eastAsia="zh-CN"/>
        </w:rPr>
        <w:t>48.34%，主要原因是</w:t>
      </w:r>
      <w:r>
        <w:rPr>
          <w:rFonts w:hint="eastAsia" w:cs="Times New Roman"/>
          <w:color w:val="auto"/>
          <w:kern w:val="0"/>
          <w:sz w:val="32"/>
          <w:szCs w:val="32"/>
          <w:highlight w:val="none"/>
          <w:lang w:eastAsia="zh-CN"/>
        </w:rPr>
        <w:t>本年度增加</w:t>
      </w:r>
      <w:r>
        <w:rPr>
          <w:rFonts w:hint="eastAsia" w:cs="Times New Roman"/>
          <w:color w:val="auto"/>
          <w:kern w:val="0"/>
          <w:sz w:val="32"/>
          <w:szCs w:val="32"/>
          <w:highlight w:val="none"/>
          <w:lang w:val="en-US" w:eastAsia="zh-CN"/>
        </w:rPr>
        <w:t>1名在职在编人员，单位总支出相应增加</w:t>
      </w:r>
      <w:r>
        <w:rPr>
          <w:rFonts w:hint="eastAsia" w:ascii="仿宋_GB2312"/>
          <w:sz w:val="32"/>
          <w:szCs w:val="32"/>
          <w:highlight w:val="none"/>
          <w:lang w:val="en-US" w:eastAsia="zh-CN"/>
        </w:rPr>
        <w:t>。主要包括：1.基本支出81.41万元，占总支出的100.00%；2.项目支出0.00万元，占总支出的0.00%。</w:t>
      </w:r>
    </w:p>
    <w:p>
      <w:pPr>
        <w:numPr>
          <w:ilvl w:val="0"/>
          <w:numId w:val="1"/>
        </w:numPr>
        <w:tabs>
          <w:tab w:val="center" w:pos="4475"/>
        </w:tabs>
        <w:spacing w:line="560" w:lineRule="exact"/>
        <w:ind w:firstLine="645"/>
        <w:rPr>
          <w:rFonts w:hint="eastAsia" w:ascii="黑体" w:hAnsi="Times New Roman" w:eastAsia="黑体" w:cs="Times New Roman"/>
          <w:szCs w:val="32"/>
          <w:highlight w:val="none"/>
          <w:lang w:val="en-US" w:eastAsia="zh-CN"/>
        </w:rPr>
      </w:pPr>
      <w:r>
        <w:rPr>
          <w:rFonts w:hint="eastAsia" w:ascii="黑体" w:hAnsi="Times New Roman" w:eastAsia="黑体" w:cs="Times New Roman"/>
          <w:szCs w:val="32"/>
          <w:highlight w:val="none"/>
          <w:lang w:val="en-US" w:eastAsia="zh-CN"/>
        </w:rPr>
        <w:t>财政拨款收支总体情况说明</w:t>
      </w:r>
    </w:p>
    <w:p>
      <w:pPr>
        <w:tabs>
          <w:tab w:val="center" w:pos="4475"/>
        </w:tabs>
        <w:spacing w:line="560" w:lineRule="exact"/>
        <w:ind w:firstLine="645"/>
        <w:rPr>
          <w:rFonts w:hint="eastAsia" w:ascii="仿宋_GB2312" w:eastAsia="仿宋_GB2312"/>
          <w:sz w:val="32"/>
          <w:szCs w:val="32"/>
          <w:highlight w:val="none"/>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财政拨款</w:t>
      </w:r>
      <w:r>
        <w:rPr>
          <w:rFonts w:hint="eastAsia" w:ascii="仿宋_GB2312" w:eastAsia="仿宋_GB2312"/>
          <w:sz w:val="32"/>
          <w:szCs w:val="32"/>
          <w:highlight w:val="none"/>
          <w:lang w:eastAsia="zh-CN"/>
        </w:rPr>
        <w:t>总收入</w:t>
      </w:r>
      <w:r>
        <w:rPr>
          <w:rFonts w:hint="eastAsia" w:ascii="仿宋_GB2312"/>
          <w:sz w:val="32"/>
          <w:szCs w:val="32"/>
          <w:highlight w:val="none"/>
          <w:lang w:val="en-US" w:eastAsia="zh-CN"/>
        </w:rPr>
        <w:t>81.41</w:t>
      </w:r>
      <w:r>
        <w:rPr>
          <w:rFonts w:hint="eastAsia" w:ascii="仿宋_GB2312" w:eastAsia="仿宋_GB2312"/>
          <w:sz w:val="32"/>
          <w:szCs w:val="32"/>
          <w:highlight w:val="none"/>
        </w:rPr>
        <w:t>万元</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总支出</w:t>
      </w:r>
      <w:r>
        <w:rPr>
          <w:rFonts w:hint="eastAsia" w:ascii="仿宋_GB2312"/>
          <w:sz w:val="32"/>
          <w:szCs w:val="32"/>
          <w:highlight w:val="none"/>
          <w:lang w:val="en-US" w:eastAsia="zh-CN"/>
        </w:rPr>
        <w:t>81.41</w:t>
      </w:r>
      <w:r>
        <w:rPr>
          <w:rFonts w:hint="eastAsia" w:ascii="仿宋_GB2312" w:eastAsia="仿宋_GB2312"/>
          <w:sz w:val="32"/>
          <w:szCs w:val="32"/>
          <w:highlight w:val="none"/>
          <w:lang w:val="en-US" w:eastAsia="zh-CN"/>
        </w:rPr>
        <w:t>万元</w:t>
      </w:r>
      <w:r>
        <w:rPr>
          <w:rFonts w:hint="eastAsia" w:ascii="仿宋_GB2312" w:eastAsia="仿宋_GB2312"/>
          <w:sz w:val="32"/>
          <w:szCs w:val="32"/>
          <w:highlight w:val="none"/>
          <w:lang w:eastAsia="zh-CN"/>
        </w:rPr>
        <w:t>（不含财政拨款上年未列支结转收支数）</w:t>
      </w:r>
      <w:r>
        <w:rPr>
          <w:rFonts w:hint="eastAsia" w:ascii="仿宋_GB2312"/>
          <w:sz w:val="32"/>
          <w:szCs w:val="32"/>
          <w:highlight w:val="none"/>
          <w:lang w:eastAsia="zh-CN"/>
        </w:rPr>
        <w:t>。</w:t>
      </w:r>
      <w:r>
        <w:rPr>
          <w:rFonts w:hint="eastAsia" w:ascii="仿宋_GB2312" w:eastAsia="仿宋_GB2312"/>
          <w:sz w:val="32"/>
          <w:szCs w:val="32"/>
          <w:highlight w:val="none"/>
        </w:rPr>
        <w:t>财政拨款</w:t>
      </w:r>
      <w:r>
        <w:rPr>
          <w:rFonts w:hint="eastAsia" w:ascii="仿宋_GB2312" w:eastAsia="仿宋_GB2312"/>
          <w:sz w:val="32"/>
          <w:szCs w:val="32"/>
          <w:highlight w:val="none"/>
          <w:lang w:eastAsia="zh-CN"/>
        </w:rPr>
        <w:t>总收入</w:t>
      </w:r>
      <w:r>
        <w:rPr>
          <w:rFonts w:hint="eastAsia" w:ascii="仿宋_GB2312"/>
          <w:sz w:val="32"/>
          <w:szCs w:val="32"/>
          <w:highlight w:val="none"/>
          <w:lang w:eastAsia="zh-CN"/>
        </w:rPr>
        <w:t>较上年增加</w:t>
      </w:r>
      <w:r>
        <w:rPr>
          <w:rFonts w:hint="eastAsia" w:ascii="仿宋_GB2312"/>
          <w:sz w:val="32"/>
          <w:szCs w:val="32"/>
          <w:highlight w:val="none"/>
          <w:lang w:val="en-US" w:eastAsia="zh-CN"/>
        </w:rPr>
        <w:t>48.34%，主要原因是</w:t>
      </w:r>
      <w:r>
        <w:rPr>
          <w:rFonts w:hint="eastAsia" w:cs="Times New Roman"/>
          <w:color w:val="auto"/>
          <w:kern w:val="0"/>
          <w:sz w:val="32"/>
          <w:szCs w:val="32"/>
          <w:highlight w:val="none"/>
          <w:lang w:eastAsia="zh-CN"/>
        </w:rPr>
        <w:t>本年度增加</w:t>
      </w:r>
      <w:r>
        <w:rPr>
          <w:rFonts w:hint="eastAsia" w:cs="Times New Roman"/>
          <w:color w:val="auto"/>
          <w:kern w:val="0"/>
          <w:sz w:val="32"/>
          <w:szCs w:val="32"/>
          <w:highlight w:val="none"/>
          <w:lang w:val="en-US" w:eastAsia="zh-CN"/>
        </w:rPr>
        <w:t>1名在职在编人员，单位总收入相应增加</w:t>
      </w:r>
      <w:r>
        <w:rPr>
          <w:rFonts w:hint="eastAsia" w:ascii="仿宋_GB2312"/>
          <w:sz w:val="32"/>
          <w:szCs w:val="32"/>
          <w:highlight w:val="none"/>
          <w:lang w:val="en-US" w:eastAsia="zh-CN"/>
        </w:rPr>
        <w:t>。</w:t>
      </w:r>
      <w:r>
        <w:rPr>
          <w:rFonts w:hint="eastAsia" w:ascii="仿宋_GB2312" w:eastAsia="仿宋_GB2312"/>
          <w:sz w:val="32"/>
          <w:szCs w:val="32"/>
          <w:highlight w:val="none"/>
        </w:rPr>
        <w:t>财政拨款</w:t>
      </w:r>
      <w:r>
        <w:rPr>
          <w:rFonts w:hint="eastAsia" w:ascii="仿宋_GB2312"/>
          <w:sz w:val="32"/>
          <w:szCs w:val="32"/>
          <w:highlight w:val="none"/>
          <w:lang w:val="en-US" w:eastAsia="zh-CN"/>
        </w:rPr>
        <w:t>总支出</w:t>
      </w:r>
      <w:r>
        <w:rPr>
          <w:rFonts w:hint="eastAsia" w:ascii="仿宋_GB2312"/>
          <w:sz w:val="32"/>
          <w:szCs w:val="32"/>
          <w:highlight w:val="none"/>
          <w:lang w:eastAsia="zh-CN"/>
        </w:rPr>
        <w:t>较上年下降</w:t>
      </w:r>
      <w:r>
        <w:rPr>
          <w:rFonts w:hint="eastAsia" w:ascii="仿宋_GB2312"/>
          <w:sz w:val="32"/>
          <w:szCs w:val="32"/>
          <w:highlight w:val="none"/>
          <w:lang w:val="en-US" w:eastAsia="zh-CN"/>
        </w:rPr>
        <w:t>5.05%，主要原因是</w:t>
      </w:r>
      <w:r>
        <w:rPr>
          <w:rFonts w:hint="eastAsia" w:cs="Times New Roman"/>
          <w:color w:val="auto"/>
          <w:kern w:val="0"/>
          <w:sz w:val="32"/>
          <w:szCs w:val="32"/>
          <w:highlight w:val="none"/>
          <w:lang w:eastAsia="zh-CN"/>
        </w:rPr>
        <w:t>本年度增加</w:t>
      </w:r>
      <w:r>
        <w:rPr>
          <w:rFonts w:hint="eastAsia" w:cs="Times New Roman"/>
          <w:color w:val="auto"/>
          <w:kern w:val="0"/>
          <w:sz w:val="32"/>
          <w:szCs w:val="32"/>
          <w:highlight w:val="none"/>
          <w:lang w:val="en-US" w:eastAsia="zh-CN"/>
        </w:rPr>
        <w:t>1名在职在编人员，单位总支出相应增加</w:t>
      </w:r>
      <w:r>
        <w:rPr>
          <w:rFonts w:hint="eastAsia" w:ascii="仿宋_GB2312"/>
          <w:sz w:val="32"/>
          <w:szCs w:val="32"/>
          <w:highlight w:val="none"/>
          <w:lang w:val="en-US" w:eastAsia="zh-CN"/>
        </w:rPr>
        <w:t>。</w:t>
      </w:r>
    </w:p>
    <w:p>
      <w:pPr>
        <w:numPr>
          <w:ilvl w:val="0"/>
          <w:numId w:val="1"/>
        </w:numPr>
        <w:tabs>
          <w:tab w:val="center" w:pos="4475"/>
        </w:tabs>
        <w:spacing w:line="560" w:lineRule="exact"/>
        <w:ind w:left="0" w:leftChars="0" w:firstLine="645" w:firstLineChars="0"/>
        <w:rPr>
          <w:rFonts w:hint="eastAsia" w:ascii="黑体" w:hAnsi="Times New Roman" w:eastAsia="黑体" w:cs="Times New Roman"/>
          <w:szCs w:val="32"/>
          <w:highlight w:val="none"/>
          <w:lang w:eastAsia="zh-CN"/>
        </w:rPr>
      </w:pPr>
      <w:r>
        <w:rPr>
          <w:rFonts w:hint="eastAsia" w:ascii="黑体" w:hAnsi="Times New Roman" w:eastAsia="黑体" w:cs="Times New Roman"/>
          <w:szCs w:val="32"/>
          <w:highlight w:val="none"/>
          <w:lang w:eastAsia="zh-CN"/>
        </w:rPr>
        <w:t>一般公共预算支出情况说明</w:t>
      </w:r>
    </w:p>
    <w:p>
      <w:pPr>
        <w:tabs>
          <w:tab w:val="center" w:pos="4475"/>
        </w:tabs>
        <w:spacing w:line="560" w:lineRule="exact"/>
        <w:ind w:firstLine="645"/>
        <w:rPr>
          <w:rFonts w:hint="eastAsia" w:ascii="仿宋_GB2312"/>
          <w:sz w:val="32"/>
          <w:szCs w:val="32"/>
          <w:highlight w:val="none"/>
          <w:lang w:eastAsia="zh-CN"/>
        </w:rPr>
      </w:pPr>
      <w:r>
        <w:rPr>
          <w:rFonts w:hint="eastAsia" w:ascii="仿宋_GB2312"/>
          <w:sz w:val="32"/>
          <w:szCs w:val="32"/>
          <w:highlight w:val="none"/>
          <w:lang w:eastAsia="zh-CN"/>
        </w:rPr>
        <w:t>我单位</w:t>
      </w:r>
      <w:r>
        <w:rPr>
          <w:rFonts w:hint="eastAsia" w:ascii="仿宋_GB2312" w:eastAsia="仿宋_GB2312"/>
          <w:sz w:val="32"/>
          <w:szCs w:val="32"/>
          <w:highlight w:val="none"/>
        </w:rPr>
        <w:t>一般公共预算支出</w:t>
      </w:r>
      <w:r>
        <w:rPr>
          <w:rFonts w:hint="eastAsia" w:ascii="仿宋_GB2312" w:eastAsia="仿宋_GB2312"/>
          <w:sz w:val="32"/>
          <w:szCs w:val="32"/>
          <w:highlight w:val="none"/>
          <w:lang w:eastAsia="zh-CN"/>
        </w:rPr>
        <w:t>共</w:t>
      </w:r>
      <w:r>
        <w:rPr>
          <w:rFonts w:hint="eastAsia" w:ascii="仿宋_GB2312"/>
          <w:sz w:val="32"/>
          <w:szCs w:val="32"/>
          <w:highlight w:val="none"/>
          <w:lang w:val="en-US" w:eastAsia="zh-CN"/>
        </w:rPr>
        <w:t>81.41</w:t>
      </w:r>
      <w:r>
        <w:rPr>
          <w:rFonts w:hint="eastAsia" w:ascii="仿宋_GB2312" w:eastAsia="仿宋_GB2312"/>
          <w:sz w:val="32"/>
          <w:szCs w:val="32"/>
          <w:highlight w:val="none"/>
        </w:rPr>
        <w:t>万元，</w:t>
      </w:r>
      <w:r>
        <w:rPr>
          <w:rFonts w:hint="eastAsia" w:ascii="仿宋_GB2312"/>
          <w:sz w:val="32"/>
          <w:szCs w:val="32"/>
          <w:highlight w:val="none"/>
          <w:lang w:eastAsia="zh-CN"/>
        </w:rPr>
        <w:t>较上年增加</w:t>
      </w:r>
      <w:r>
        <w:rPr>
          <w:rFonts w:hint="eastAsia" w:ascii="仿宋_GB2312"/>
          <w:sz w:val="32"/>
          <w:szCs w:val="32"/>
          <w:highlight w:val="none"/>
          <w:lang w:val="en-US" w:eastAsia="zh-CN"/>
        </w:rPr>
        <w:t>48.34%，主要原因是</w:t>
      </w:r>
      <w:r>
        <w:rPr>
          <w:rFonts w:hint="eastAsia" w:cs="Times New Roman"/>
          <w:color w:val="auto"/>
          <w:kern w:val="0"/>
          <w:sz w:val="32"/>
          <w:szCs w:val="32"/>
          <w:highlight w:val="none"/>
          <w:lang w:eastAsia="zh-CN"/>
        </w:rPr>
        <w:t>本年度增加</w:t>
      </w:r>
      <w:r>
        <w:rPr>
          <w:rFonts w:hint="eastAsia" w:cs="Times New Roman"/>
          <w:color w:val="auto"/>
          <w:kern w:val="0"/>
          <w:sz w:val="32"/>
          <w:szCs w:val="32"/>
          <w:highlight w:val="none"/>
          <w:lang w:val="en-US" w:eastAsia="zh-CN"/>
        </w:rPr>
        <w:t>1名在职在编人员，单位支出相应增加</w:t>
      </w:r>
      <w:r>
        <w:rPr>
          <w:rFonts w:hint="eastAsia" w:ascii="仿宋_GB2312"/>
          <w:szCs w:val="32"/>
          <w:highlight w:val="none"/>
          <w:lang w:eastAsia="zh-CN"/>
        </w:rPr>
        <w:t>。</w:t>
      </w:r>
      <w:r>
        <w:rPr>
          <w:rFonts w:hint="eastAsia" w:ascii="仿宋_GB2312"/>
          <w:sz w:val="32"/>
          <w:szCs w:val="32"/>
          <w:highlight w:val="none"/>
          <w:lang w:eastAsia="zh-CN"/>
        </w:rPr>
        <w:t>具体情况为：</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（1）一般公共服务类科目支出预算</w:t>
      </w:r>
      <w:r>
        <w:rPr>
          <w:rFonts w:hint="eastAsia" w:ascii="仿宋_GB2312" w:hAnsi="Times New Roman" w:cs="Times New Roman"/>
          <w:kern w:val="2"/>
          <w:sz w:val="32"/>
          <w:szCs w:val="32"/>
          <w:highlight w:val="none"/>
          <w:lang w:val="en-US" w:eastAsia="zh-CN"/>
        </w:rPr>
        <w:t>58.38</w:t>
      </w:r>
      <w:r>
        <w:rPr>
          <w:rFonts w:hint="eastAsia" w:ascii="仿宋_GB2312" w:hAnsi="Times New Roman" w:eastAsia="仿宋_GB2312" w:cs="Times New Roman"/>
          <w:kern w:val="2"/>
          <w:sz w:val="32"/>
          <w:szCs w:val="32"/>
          <w:highlight w:val="none"/>
        </w:rPr>
        <w:t>万元，占支出总预算</w:t>
      </w:r>
      <w:r>
        <w:rPr>
          <w:rFonts w:hint="eastAsia" w:ascii="仿宋_GB2312" w:hAnsi="Times New Roman" w:cs="Times New Roman"/>
          <w:kern w:val="2"/>
          <w:sz w:val="32"/>
          <w:szCs w:val="32"/>
          <w:highlight w:val="none"/>
          <w:lang w:val="en-US" w:eastAsia="zh-CN"/>
        </w:rPr>
        <w:t>71.71</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val="en-US" w:eastAsia="zh-CN"/>
        </w:rPr>
        <w:t>增加18.85</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47.69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本年度增加</w:t>
      </w:r>
      <w:r>
        <w:rPr>
          <w:rFonts w:hint="eastAsia" w:cs="Times New Roman"/>
          <w:color w:val="auto"/>
          <w:kern w:val="0"/>
          <w:sz w:val="32"/>
          <w:szCs w:val="32"/>
          <w:highlight w:val="none"/>
          <w:lang w:val="en-US" w:eastAsia="zh-CN"/>
        </w:rPr>
        <w:t>1名在职在编人员，相关预算相应增长</w:t>
      </w:r>
      <w:r>
        <w:rPr>
          <w:rFonts w:hint="eastAsia" w:ascii="仿宋_GB2312" w:hAnsi="Times New Roman" w:eastAsia="仿宋_GB2312" w:cs="Times New Roman"/>
          <w:kern w:val="2"/>
          <w:sz w:val="32"/>
          <w:szCs w:val="32"/>
          <w:highlight w:val="none"/>
        </w:rPr>
        <w:t>；</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（2）社会保障和就业支出预算</w:t>
      </w:r>
      <w:r>
        <w:rPr>
          <w:rFonts w:hint="eastAsia" w:ascii="仿宋_GB2312" w:hAnsi="Times New Roman" w:cs="Times New Roman"/>
          <w:kern w:val="2"/>
          <w:sz w:val="32"/>
          <w:szCs w:val="32"/>
          <w:highlight w:val="none"/>
          <w:lang w:val="en-US" w:eastAsia="zh-CN"/>
        </w:rPr>
        <w:t>13.02</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16.00</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val="en-US" w:eastAsia="zh-CN"/>
        </w:rPr>
        <w:t>增加4.03</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44.75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本年度增加</w:t>
      </w:r>
      <w:r>
        <w:rPr>
          <w:rFonts w:hint="eastAsia" w:cs="Times New Roman"/>
          <w:color w:val="auto"/>
          <w:kern w:val="0"/>
          <w:sz w:val="32"/>
          <w:szCs w:val="32"/>
          <w:highlight w:val="none"/>
          <w:lang w:val="en-US" w:eastAsia="zh-CN"/>
        </w:rPr>
        <w:t>1名在职在编人员，相关预算相应增长</w:t>
      </w:r>
      <w:r>
        <w:rPr>
          <w:rFonts w:hint="eastAsia" w:ascii="仿宋_GB2312" w:hAnsi="Times New Roman" w:eastAsia="仿宋_GB2312" w:cs="Times New Roman"/>
          <w:kern w:val="2"/>
          <w:sz w:val="32"/>
          <w:szCs w:val="32"/>
          <w:highlight w:val="none"/>
        </w:rPr>
        <w:t>；</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hAnsi="Times New Roman" w:eastAsia="仿宋_GB2312" w:cs="Times New Roman"/>
          <w:kern w:val="2"/>
          <w:sz w:val="32"/>
          <w:szCs w:val="32"/>
          <w:highlight w:val="none"/>
        </w:rPr>
        <w:t>（</w:t>
      </w:r>
      <w:r>
        <w:rPr>
          <w:rFonts w:hint="eastAsia" w:ascii="仿宋_GB2312" w:hAnsi="Times New Roman" w:cs="Times New Roman"/>
          <w:kern w:val="2"/>
          <w:sz w:val="32"/>
          <w:szCs w:val="32"/>
          <w:highlight w:val="none"/>
          <w:lang w:val="en-US" w:eastAsia="zh-CN"/>
        </w:rPr>
        <w:t>3</w:t>
      </w:r>
      <w:r>
        <w:rPr>
          <w:rFonts w:hint="eastAsia" w:ascii="仿宋_GB2312" w:hAnsi="Times New Roman" w:eastAsia="仿宋_GB2312" w:cs="Times New Roman"/>
          <w:kern w:val="2"/>
          <w:sz w:val="32"/>
          <w:szCs w:val="32"/>
          <w:highlight w:val="none"/>
        </w:rPr>
        <w:t>）卫生健康支出预算</w:t>
      </w:r>
      <w:r>
        <w:rPr>
          <w:rFonts w:hint="eastAsia" w:ascii="仿宋_GB2312" w:hAnsi="Times New Roman" w:cs="Times New Roman"/>
          <w:kern w:val="2"/>
          <w:sz w:val="32"/>
          <w:szCs w:val="32"/>
          <w:highlight w:val="none"/>
          <w:lang w:val="en-US" w:eastAsia="zh-CN"/>
        </w:rPr>
        <w:t>3.73</w:t>
      </w:r>
      <w:r>
        <w:rPr>
          <w:rFonts w:hint="eastAsia" w:ascii="仿宋_GB2312" w:hAnsi="Times New Roman" w:eastAsia="仿宋_GB2312" w:cs="Times New Roman"/>
          <w:kern w:val="2"/>
          <w:sz w:val="32"/>
          <w:szCs w:val="32"/>
          <w:highlight w:val="none"/>
        </w:rPr>
        <w:t>万元, 占支出总预算</w:t>
      </w:r>
      <w:r>
        <w:rPr>
          <w:rFonts w:hint="eastAsia" w:ascii="仿宋_GB2312" w:hAnsi="Times New Roman" w:cs="Times New Roman"/>
          <w:kern w:val="2"/>
          <w:sz w:val="32"/>
          <w:szCs w:val="32"/>
          <w:highlight w:val="none"/>
          <w:lang w:val="en-US" w:eastAsia="zh-CN"/>
        </w:rPr>
        <w:t>4.58</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w:t>
      </w:r>
      <w:r>
        <w:rPr>
          <w:rFonts w:hint="eastAsia" w:ascii="仿宋_GB2312"/>
          <w:sz w:val="32"/>
          <w:szCs w:val="32"/>
          <w:highlight w:val="none"/>
          <w:lang w:val="en-US" w:eastAsia="zh-CN"/>
        </w:rPr>
        <w:t>增加1.36</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57.05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本年度增加</w:t>
      </w:r>
      <w:r>
        <w:rPr>
          <w:rFonts w:hint="eastAsia" w:cs="Times New Roman"/>
          <w:color w:val="auto"/>
          <w:kern w:val="0"/>
          <w:sz w:val="32"/>
          <w:szCs w:val="32"/>
          <w:highlight w:val="none"/>
          <w:lang w:val="en-US" w:eastAsia="zh-CN"/>
        </w:rPr>
        <w:t>1名在职在编人员，相关预算相应增长；</w:t>
      </w:r>
    </w:p>
    <w:p>
      <w:pPr>
        <w:tabs>
          <w:tab w:val="center" w:pos="4475"/>
        </w:tabs>
        <w:spacing w:line="560" w:lineRule="exact"/>
        <w:ind w:firstLine="645"/>
        <w:rPr>
          <w:rFonts w:hint="eastAsia" w:ascii="仿宋_GB2312" w:hAnsi="宋体" w:eastAsia="仿宋_GB2312" w:cs="Times New Roman"/>
          <w:sz w:val="32"/>
          <w:szCs w:val="32"/>
          <w:highlight w:val="none"/>
          <w:u w:val="single"/>
          <w:lang w:eastAsia="zh-CN"/>
        </w:rPr>
      </w:pPr>
      <w:r>
        <w:rPr>
          <w:rFonts w:hint="eastAsia" w:ascii="仿宋_GB2312" w:hAnsi="Times New Roman" w:eastAsia="仿宋_GB2312" w:cs="Times New Roman"/>
          <w:kern w:val="2"/>
          <w:sz w:val="32"/>
          <w:szCs w:val="32"/>
          <w:highlight w:val="none"/>
        </w:rPr>
        <w:t>（</w:t>
      </w:r>
      <w:r>
        <w:rPr>
          <w:rFonts w:hint="eastAsia" w:ascii="仿宋_GB2312" w:hAnsi="Times New Roman" w:cs="Times New Roman"/>
          <w:kern w:val="2"/>
          <w:sz w:val="32"/>
          <w:szCs w:val="32"/>
          <w:highlight w:val="none"/>
          <w:lang w:val="en-US" w:eastAsia="zh-CN"/>
        </w:rPr>
        <w:t>4</w:t>
      </w:r>
      <w:r>
        <w:rPr>
          <w:rFonts w:hint="eastAsia" w:ascii="仿宋_GB2312" w:hAnsi="Times New Roman" w:eastAsia="仿宋_GB2312" w:cs="Times New Roman"/>
          <w:kern w:val="2"/>
          <w:sz w:val="32"/>
          <w:szCs w:val="32"/>
          <w:highlight w:val="none"/>
        </w:rPr>
        <w:t>）住房保障支出预算</w:t>
      </w:r>
      <w:r>
        <w:rPr>
          <w:rFonts w:hint="eastAsia" w:ascii="仿宋_GB2312" w:cs="Times New Roman"/>
          <w:kern w:val="2"/>
          <w:sz w:val="32"/>
          <w:szCs w:val="32"/>
          <w:highlight w:val="none"/>
          <w:lang w:val="en-US" w:eastAsia="zh-CN"/>
        </w:rPr>
        <w:t>6.28</w:t>
      </w:r>
      <w:r>
        <w:rPr>
          <w:rFonts w:hint="eastAsia" w:ascii="仿宋_GB2312" w:hAnsi="Times New Roman" w:eastAsia="仿宋_GB2312" w:cs="Times New Roman"/>
          <w:kern w:val="2"/>
          <w:sz w:val="32"/>
          <w:szCs w:val="32"/>
          <w:highlight w:val="none"/>
        </w:rPr>
        <w:t>万元, 占支出总预算</w:t>
      </w:r>
      <w:r>
        <w:rPr>
          <w:rFonts w:hint="eastAsia" w:ascii="仿宋_GB2312" w:cs="Times New Roman"/>
          <w:kern w:val="2"/>
          <w:sz w:val="32"/>
          <w:szCs w:val="32"/>
          <w:highlight w:val="none"/>
          <w:lang w:val="en-US" w:eastAsia="zh-CN"/>
        </w:rPr>
        <w:t>7.71</w:t>
      </w:r>
      <w:r>
        <w:rPr>
          <w:rFonts w:hint="eastAsia" w:ascii="仿宋_GB2312" w:hAnsi="Times New Roman" w:eastAsia="仿宋_GB2312" w:cs="Times New Roman"/>
          <w:kern w:val="2"/>
          <w:sz w:val="32"/>
          <w:szCs w:val="32"/>
          <w:highlight w:val="none"/>
        </w:rPr>
        <w:t>%，</w:t>
      </w:r>
      <w:r>
        <w:rPr>
          <w:rFonts w:hint="eastAsia" w:ascii="仿宋_GB2312" w:eastAsia="仿宋_GB2312"/>
          <w:sz w:val="32"/>
          <w:szCs w:val="32"/>
          <w:highlight w:val="none"/>
        </w:rPr>
        <w:t>同比增</w:t>
      </w:r>
      <w:r>
        <w:rPr>
          <w:rFonts w:hint="eastAsia" w:ascii="仿宋_GB2312"/>
          <w:sz w:val="32"/>
          <w:szCs w:val="32"/>
          <w:highlight w:val="none"/>
          <w:lang w:eastAsia="zh-CN"/>
        </w:rPr>
        <w:t>加</w:t>
      </w:r>
      <w:r>
        <w:rPr>
          <w:rFonts w:hint="eastAsia" w:ascii="仿宋_GB2312"/>
          <w:sz w:val="32"/>
          <w:szCs w:val="32"/>
          <w:highlight w:val="none"/>
          <w:lang w:val="en-US" w:eastAsia="zh-CN"/>
        </w:rPr>
        <w:t>2.30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57.95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主要原因一是</w:t>
      </w:r>
      <w:r>
        <w:rPr>
          <w:rFonts w:hint="default" w:ascii="Times New Roman" w:hAnsi="Times New Roman" w:eastAsia="仿宋_GB2312" w:cs="Times New Roman"/>
          <w:color w:val="auto"/>
          <w:kern w:val="0"/>
          <w:sz w:val="32"/>
          <w:szCs w:val="32"/>
          <w:highlight w:val="none"/>
        </w:rPr>
        <w:t>职工工资收入总额增加，本年度住房公积金缴存基数相应上调，导致</w:t>
      </w:r>
      <w:r>
        <w:rPr>
          <w:rFonts w:hint="eastAsia" w:cs="Times New Roman"/>
          <w:color w:val="auto"/>
          <w:kern w:val="0"/>
          <w:sz w:val="32"/>
          <w:szCs w:val="32"/>
          <w:highlight w:val="none"/>
          <w:lang w:val="en-US" w:eastAsia="zh-CN"/>
        </w:rPr>
        <w:t>住房</w:t>
      </w:r>
      <w:r>
        <w:rPr>
          <w:rFonts w:hint="default" w:ascii="Times New Roman" w:hAnsi="Times New Roman" w:eastAsia="仿宋_GB2312" w:cs="Times New Roman"/>
          <w:color w:val="auto"/>
          <w:kern w:val="0"/>
          <w:sz w:val="32"/>
          <w:szCs w:val="32"/>
          <w:highlight w:val="none"/>
        </w:rPr>
        <w:t>公积金支出较上年有所增长，故相应调增本年度相关经费预算</w:t>
      </w:r>
      <w:r>
        <w:rPr>
          <w:rFonts w:hint="eastAsia" w:ascii="Times New Roman" w:hAnsi="Times New Roman" w:cs="Times New Roman"/>
          <w:color w:val="auto"/>
          <w:kern w:val="0"/>
          <w:sz w:val="32"/>
          <w:szCs w:val="32"/>
          <w:highlight w:val="none"/>
          <w:lang w:eastAsia="zh-CN"/>
        </w:rPr>
        <w:t>；二</w:t>
      </w:r>
      <w:r>
        <w:rPr>
          <w:rFonts w:hint="eastAsia" w:ascii="仿宋_GB2312"/>
          <w:sz w:val="32"/>
          <w:szCs w:val="32"/>
          <w:highlight w:val="none"/>
          <w:lang w:val="en-US" w:eastAsia="zh-CN"/>
        </w:rPr>
        <w:t>是</w:t>
      </w:r>
      <w:r>
        <w:rPr>
          <w:rFonts w:hint="eastAsia" w:cs="Times New Roman"/>
          <w:color w:val="auto"/>
          <w:kern w:val="0"/>
          <w:sz w:val="32"/>
          <w:szCs w:val="32"/>
          <w:highlight w:val="none"/>
          <w:lang w:eastAsia="zh-CN"/>
        </w:rPr>
        <w:t>本年度增加</w:t>
      </w:r>
      <w:r>
        <w:rPr>
          <w:rFonts w:hint="eastAsia" w:cs="Times New Roman"/>
          <w:color w:val="auto"/>
          <w:kern w:val="0"/>
          <w:sz w:val="32"/>
          <w:szCs w:val="32"/>
          <w:highlight w:val="none"/>
          <w:lang w:val="en-US" w:eastAsia="zh-CN"/>
        </w:rPr>
        <w:t>1名在职在编人员，相关预算相应增长</w:t>
      </w:r>
      <w:r>
        <w:rPr>
          <w:rFonts w:hint="eastAsia" w:ascii="仿宋_GB2312"/>
          <w:szCs w:val="32"/>
          <w:highlight w:val="none"/>
          <w:lang w:eastAsia="zh-CN"/>
        </w:rPr>
        <w:t>。</w:t>
      </w:r>
    </w:p>
    <w:p>
      <w:pPr>
        <w:tabs>
          <w:tab w:val="center" w:pos="4475"/>
        </w:tabs>
        <w:spacing w:line="560" w:lineRule="exact"/>
        <w:ind w:firstLine="645"/>
        <w:rPr>
          <w:rFonts w:hint="eastAsia" w:ascii="黑体" w:eastAsia="黑体"/>
          <w:szCs w:val="32"/>
          <w:highlight w:val="none"/>
        </w:rPr>
      </w:pPr>
      <w:r>
        <w:rPr>
          <w:rFonts w:hint="eastAsia" w:ascii="黑体" w:eastAsia="黑体"/>
          <w:szCs w:val="32"/>
          <w:highlight w:val="none"/>
        </w:rPr>
        <w:t>六、一般公共预算基本支出情况说明</w:t>
      </w:r>
    </w:p>
    <w:p>
      <w:pPr>
        <w:tabs>
          <w:tab w:val="center" w:pos="4475"/>
        </w:tabs>
        <w:spacing w:line="560" w:lineRule="exact"/>
        <w:ind w:firstLine="645"/>
        <w:rPr>
          <w:rFonts w:hint="eastAsia" w:ascii="仿宋_GB2312"/>
          <w:sz w:val="32"/>
          <w:szCs w:val="32"/>
          <w:highlight w:val="none"/>
          <w:lang w:eastAsia="zh-CN"/>
        </w:rPr>
      </w:pPr>
      <w:r>
        <w:rPr>
          <w:rFonts w:hint="eastAsia" w:ascii="仿宋_GB2312"/>
          <w:sz w:val="32"/>
          <w:szCs w:val="32"/>
          <w:highlight w:val="none"/>
          <w:lang w:eastAsia="zh-CN"/>
        </w:rPr>
        <w:t>我单位</w:t>
      </w:r>
      <w:r>
        <w:rPr>
          <w:rFonts w:hint="eastAsia" w:ascii="仿宋_GB2312"/>
          <w:szCs w:val="32"/>
          <w:highlight w:val="none"/>
        </w:rPr>
        <w:t>一般公共预算基本支出</w:t>
      </w:r>
      <w:r>
        <w:rPr>
          <w:rFonts w:hint="eastAsia" w:ascii="仿宋_GB2312" w:eastAsia="仿宋_GB2312"/>
          <w:sz w:val="32"/>
          <w:szCs w:val="32"/>
          <w:highlight w:val="none"/>
          <w:lang w:eastAsia="zh-CN"/>
        </w:rPr>
        <w:t>共</w:t>
      </w:r>
      <w:r>
        <w:rPr>
          <w:rFonts w:hint="eastAsia" w:ascii="仿宋_GB2312"/>
          <w:sz w:val="32"/>
          <w:szCs w:val="32"/>
          <w:highlight w:val="none"/>
          <w:lang w:val="en-US" w:eastAsia="zh-CN"/>
        </w:rPr>
        <w:t>81.41</w:t>
      </w:r>
      <w:r>
        <w:rPr>
          <w:rFonts w:hint="eastAsia" w:ascii="仿宋_GB2312" w:eastAsia="仿宋_GB2312"/>
          <w:sz w:val="32"/>
          <w:szCs w:val="32"/>
          <w:highlight w:val="none"/>
        </w:rPr>
        <w:t>万元，</w:t>
      </w:r>
      <w:r>
        <w:rPr>
          <w:rFonts w:hint="eastAsia" w:ascii="仿宋_GB2312"/>
          <w:sz w:val="32"/>
          <w:szCs w:val="32"/>
          <w:highlight w:val="none"/>
          <w:lang w:eastAsia="zh-CN"/>
        </w:rPr>
        <w:t>较上年增加</w:t>
      </w:r>
      <w:r>
        <w:rPr>
          <w:rFonts w:hint="eastAsia" w:ascii="仿宋_GB2312"/>
          <w:sz w:val="32"/>
          <w:szCs w:val="32"/>
          <w:highlight w:val="none"/>
          <w:lang w:val="en-US" w:eastAsia="zh-CN"/>
        </w:rPr>
        <w:t>48.34%，主要原因一是相较上年，本年度发放奖金等增加，职工总收入相应增加，</w:t>
      </w:r>
      <w:r>
        <w:rPr>
          <w:rFonts w:hint="default" w:ascii="Times New Roman" w:hAnsi="Times New Roman" w:eastAsia="仿宋_GB2312" w:cs="Times New Roman"/>
          <w:color w:val="auto"/>
          <w:kern w:val="0"/>
          <w:sz w:val="32"/>
          <w:szCs w:val="32"/>
          <w:highlight w:val="none"/>
        </w:rPr>
        <w:t>社会保险缴费基数、住房公积金缴存基数相应</w:t>
      </w:r>
      <w:r>
        <w:rPr>
          <w:rFonts w:hint="eastAsia" w:cs="Times New Roman"/>
          <w:color w:val="auto"/>
          <w:kern w:val="0"/>
          <w:sz w:val="32"/>
          <w:szCs w:val="32"/>
          <w:highlight w:val="none"/>
          <w:lang w:eastAsia="zh-CN"/>
        </w:rPr>
        <w:t>上调，</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eastAsia="zh-CN"/>
        </w:rPr>
        <w:t>增</w:t>
      </w:r>
      <w:r>
        <w:rPr>
          <w:rFonts w:hint="default" w:ascii="Times New Roman" w:hAnsi="Times New Roman" w:eastAsia="仿宋_GB2312" w:cs="Times New Roman"/>
          <w:color w:val="auto"/>
          <w:kern w:val="0"/>
          <w:sz w:val="32"/>
          <w:szCs w:val="32"/>
          <w:highlight w:val="none"/>
        </w:rPr>
        <w:t>本年度相关经费预算</w:t>
      </w:r>
      <w:r>
        <w:rPr>
          <w:rFonts w:hint="eastAsia" w:ascii="Times New Roman" w:hAnsi="Times New Roman" w:cs="Times New Roman"/>
          <w:color w:val="auto"/>
          <w:kern w:val="0"/>
          <w:sz w:val="32"/>
          <w:szCs w:val="32"/>
          <w:highlight w:val="none"/>
          <w:lang w:eastAsia="zh-CN"/>
        </w:rPr>
        <w:t>；二</w:t>
      </w:r>
      <w:r>
        <w:rPr>
          <w:rFonts w:hint="eastAsia" w:ascii="仿宋_GB2312"/>
          <w:sz w:val="32"/>
          <w:szCs w:val="32"/>
          <w:highlight w:val="none"/>
          <w:lang w:val="en-US" w:eastAsia="zh-CN"/>
        </w:rPr>
        <w:t>是</w:t>
      </w:r>
      <w:r>
        <w:rPr>
          <w:rFonts w:hint="eastAsia" w:cs="Times New Roman"/>
          <w:color w:val="auto"/>
          <w:kern w:val="0"/>
          <w:sz w:val="32"/>
          <w:szCs w:val="32"/>
          <w:highlight w:val="none"/>
          <w:lang w:eastAsia="zh-CN"/>
        </w:rPr>
        <w:t>本年度增加</w:t>
      </w:r>
      <w:r>
        <w:rPr>
          <w:rFonts w:hint="eastAsia" w:cs="Times New Roman"/>
          <w:color w:val="auto"/>
          <w:kern w:val="0"/>
          <w:sz w:val="32"/>
          <w:szCs w:val="32"/>
          <w:highlight w:val="none"/>
          <w:lang w:val="en-US" w:eastAsia="zh-CN"/>
        </w:rPr>
        <w:t>1名在职在编人员，相关预算相应增长</w:t>
      </w:r>
      <w:r>
        <w:rPr>
          <w:rFonts w:hint="eastAsia" w:ascii="仿宋_GB2312"/>
          <w:szCs w:val="32"/>
          <w:highlight w:val="none"/>
          <w:lang w:eastAsia="zh-CN"/>
        </w:rPr>
        <w:t>。</w:t>
      </w:r>
      <w:r>
        <w:rPr>
          <w:rFonts w:hint="eastAsia" w:ascii="仿宋_GB2312"/>
          <w:sz w:val="32"/>
          <w:szCs w:val="32"/>
          <w:highlight w:val="none"/>
          <w:lang w:eastAsia="zh-CN"/>
        </w:rPr>
        <w:t>具体情况为：</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sz w:val="32"/>
          <w:szCs w:val="32"/>
          <w:highlight w:val="none"/>
          <w:lang w:eastAsia="zh-CN"/>
        </w:rPr>
        <w:t>工资福利支出</w:t>
      </w:r>
      <w:r>
        <w:rPr>
          <w:rFonts w:hint="eastAsia" w:ascii="仿宋_GB2312"/>
          <w:sz w:val="32"/>
          <w:szCs w:val="32"/>
          <w:highlight w:val="none"/>
          <w:lang w:val="en-US" w:eastAsia="zh-CN"/>
        </w:rPr>
        <w:t xml:space="preserve"> -基本工资20.21万元，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7.64</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60.76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主要原因一是职工正常增资</w:t>
      </w:r>
      <w:r>
        <w:rPr>
          <w:rFonts w:hint="eastAsia" w:ascii="仿宋_GB2312" w:hAnsi="Times New Roman" w:eastAsia="仿宋_GB2312" w:cs="Times New Roman"/>
          <w:kern w:val="2"/>
          <w:sz w:val="32"/>
          <w:szCs w:val="32"/>
          <w:highlight w:val="none"/>
        </w:rPr>
        <w:t>；</w:t>
      </w:r>
      <w:r>
        <w:rPr>
          <w:rFonts w:hint="eastAsia" w:ascii="仿宋_GB2312"/>
          <w:sz w:val="32"/>
          <w:szCs w:val="32"/>
          <w:highlight w:val="none"/>
          <w:lang w:val="en-US" w:eastAsia="zh-CN"/>
        </w:rPr>
        <w:t>二是</w:t>
      </w:r>
      <w:r>
        <w:rPr>
          <w:rFonts w:hint="eastAsia" w:cs="Times New Roman"/>
          <w:color w:val="auto"/>
          <w:kern w:val="0"/>
          <w:sz w:val="32"/>
          <w:szCs w:val="32"/>
          <w:highlight w:val="none"/>
          <w:lang w:eastAsia="zh-CN"/>
        </w:rPr>
        <w:t>本年度我单位调入</w:t>
      </w:r>
      <w:r>
        <w:rPr>
          <w:rFonts w:hint="eastAsia" w:cs="Times New Roman"/>
          <w:color w:val="auto"/>
          <w:kern w:val="0"/>
          <w:sz w:val="32"/>
          <w:szCs w:val="32"/>
          <w:highlight w:val="none"/>
          <w:lang w:val="en-US" w:eastAsia="zh-CN"/>
        </w:rPr>
        <w:t>1名在职在编人员；</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sz w:val="32"/>
          <w:szCs w:val="32"/>
          <w:highlight w:val="none"/>
          <w:lang w:eastAsia="zh-CN"/>
        </w:rPr>
        <w:t>工资福利支出</w:t>
      </w:r>
      <w:r>
        <w:rPr>
          <w:rFonts w:hint="eastAsia" w:ascii="仿宋_GB2312"/>
          <w:sz w:val="32"/>
          <w:szCs w:val="32"/>
          <w:highlight w:val="none"/>
          <w:lang w:val="en-US" w:eastAsia="zh-CN"/>
        </w:rPr>
        <w:t xml:space="preserve"> -津贴补贴12.83万元，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3.98</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44.90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主要原因一是职工津贴补贴增幅增长</w:t>
      </w:r>
      <w:r>
        <w:rPr>
          <w:rFonts w:hint="eastAsia" w:ascii="仿宋_GB2312" w:hAnsi="Times New Roman" w:eastAsia="仿宋_GB2312" w:cs="Times New Roman"/>
          <w:kern w:val="2"/>
          <w:sz w:val="32"/>
          <w:szCs w:val="32"/>
          <w:highlight w:val="none"/>
        </w:rPr>
        <w:t>；</w:t>
      </w:r>
      <w:r>
        <w:rPr>
          <w:rFonts w:hint="eastAsia" w:ascii="仿宋_GB2312"/>
          <w:sz w:val="32"/>
          <w:szCs w:val="32"/>
          <w:highlight w:val="none"/>
          <w:lang w:val="en-US" w:eastAsia="zh-CN"/>
        </w:rPr>
        <w:t>二是</w:t>
      </w:r>
      <w:r>
        <w:rPr>
          <w:rFonts w:hint="eastAsia" w:cs="Times New Roman"/>
          <w:color w:val="auto"/>
          <w:kern w:val="0"/>
          <w:sz w:val="32"/>
          <w:szCs w:val="32"/>
          <w:highlight w:val="none"/>
          <w:lang w:eastAsia="zh-CN"/>
        </w:rPr>
        <w:t>本年度我单位调入</w:t>
      </w:r>
      <w:r>
        <w:rPr>
          <w:rFonts w:hint="eastAsia" w:cs="Times New Roman"/>
          <w:color w:val="auto"/>
          <w:kern w:val="0"/>
          <w:sz w:val="32"/>
          <w:szCs w:val="32"/>
          <w:highlight w:val="none"/>
          <w:lang w:val="en-US" w:eastAsia="zh-CN"/>
        </w:rPr>
        <w:t>1名在职在编人员；</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sz w:val="32"/>
          <w:szCs w:val="32"/>
          <w:highlight w:val="none"/>
          <w:lang w:eastAsia="zh-CN"/>
        </w:rPr>
        <w:t>工资福利支出</w:t>
      </w:r>
      <w:r>
        <w:rPr>
          <w:rFonts w:hint="eastAsia" w:ascii="仿宋_GB2312"/>
          <w:sz w:val="32"/>
          <w:szCs w:val="32"/>
          <w:highlight w:val="none"/>
          <w:lang w:val="en-US" w:eastAsia="zh-CN"/>
        </w:rPr>
        <w:t xml:space="preserve"> -奖金13.79万元，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4.17</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43.35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主要原因一是职工奖金增幅增加</w:t>
      </w:r>
      <w:r>
        <w:rPr>
          <w:rFonts w:hint="eastAsia" w:ascii="仿宋_GB2312" w:hAnsi="Times New Roman" w:eastAsia="仿宋_GB2312" w:cs="Times New Roman"/>
          <w:kern w:val="2"/>
          <w:sz w:val="32"/>
          <w:szCs w:val="32"/>
          <w:highlight w:val="none"/>
        </w:rPr>
        <w:t>；</w:t>
      </w:r>
      <w:r>
        <w:rPr>
          <w:rFonts w:hint="eastAsia" w:ascii="仿宋_GB2312"/>
          <w:sz w:val="32"/>
          <w:szCs w:val="32"/>
          <w:highlight w:val="none"/>
          <w:lang w:val="en-US" w:eastAsia="zh-CN"/>
        </w:rPr>
        <w:t>二是</w:t>
      </w:r>
      <w:r>
        <w:rPr>
          <w:rFonts w:hint="eastAsia" w:cs="Times New Roman"/>
          <w:color w:val="auto"/>
          <w:kern w:val="0"/>
          <w:sz w:val="32"/>
          <w:szCs w:val="32"/>
          <w:highlight w:val="none"/>
          <w:lang w:eastAsia="zh-CN"/>
        </w:rPr>
        <w:t>本年度我单位调入</w:t>
      </w:r>
      <w:r>
        <w:rPr>
          <w:rFonts w:hint="eastAsia" w:cs="Times New Roman"/>
          <w:color w:val="auto"/>
          <w:kern w:val="0"/>
          <w:sz w:val="32"/>
          <w:szCs w:val="32"/>
          <w:highlight w:val="none"/>
          <w:lang w:val="en-US" w:eastAsia="zh-CN"/>
        </w:rPr>
        <w:t>1名在职在编人员；</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sz w:val="32"/>
          <w:szCs w:val="32"/>
          <w:highlight w:val="none"/>
          <w:lang w:eastAsia="zh-CN"/>
        </w:rPr>
        <w:t>工资福利支出</w:t>
      </w:r>
      <w:r>
        <w:rPr>
          <w:rFonts w:hint="eastAsia" w:ascii="仿宋_GB2312"/>
          <w:sz w:val="32"/>
          <w:szCs w:val="32"/>
          <w:highlight w:val="none"/>
          <w:lang w:val="en-US" w:eastAsia="zh-CN"/>
        </w:rPr>
        <w:t xml:space="preserve"> -机关事业单位基本养老保险缴费7.56万元，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2.68</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55.06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主要原因一是</w:t>
      </w:r>
      <w:r>
        <w:rPr>
          <w:rFonts w:hint="default" w:ascii="Times New Roman" w:hAnsi="Times New Roman" w:eastAsia="仿宋_GB2312" w:cs="Times New Roman"/>
          <w:color w:val="auto"/>
          <w:kern w:val="0"/>
          <w:sz w:val="32"/>
          <w:szCs w:val="32"/>
          <w:highlight w:val="none"/>
        </w:rPr>
        <w:t>职工工资收入总额</w:t>
      </w:r>
      <w:r>
        <w:rPr>
          <w:rFonts w:hint="eastAsia" w:cs="Times New Roman"/>
          <w:color w:val="auto"/>
          <w:kern w:val="0"/>
          <w:sz w:val="32"/>
          <w:szCs w:val="32"/>
          <w:highlight w:val="none"/>
          <w:lang w:eastAsia="zh-CN"/>
        </w:rPr>
        <w:t>增加</w:t>
      </w:r>
      <w:r>
        <w:rPr>
          <w:rFonts w:hint="default" w:ascii="Times New Roman" w:hAnsi="Times New Roman" w:eastAsia="仿宋_GB2312" w:cs="Times New Roman"/>
          <w:color w:val="auto"/>
          <w:kern w:val="0"/>
          <w:sz w:val="32"/>
          <w:szCs w:val="32"/>
          <w:highlight w:val="none"/>
        </w:rPr>
        <w:t>，本年度社会保险缴费基数相应</w:t>
      </w:r>
      <w:r>
        <w:rPr>
          <w:rFonts w:hint="eastAsia" w:cs="Times New Roman"/>
          <w:color w:val="auto"/>
          <w:kern w:val="0"/>
          <w:sz w:val="32"/>
          <w:szCs w:val="32"/>
          <w:highlight w:val="none"/>
          <w:lang w:eastAsia="zh-CN"/>
        </w:rPr>
        <w:t>上</w:t>
      </w:r>
      <w:r>
        <w:rPr>
          <w:rFonts w:hint="default" w:ascii="Times New Roman" w:hAnsi="Times New Roman" w:eastAsia="仿宋_GB2312" w:cs="Times New Roman"/>
          <w:color w:val="auto"/>
          <w:kern w:val="0"/>
          <w:sz w:val="32"/>
          <w:szCs w:val="32"/>
          <w:highlight w:val="none"/>
        </w:rPr>
        <w:t>调，导致社保支出较上年有所</w:t>
      </w:r>
      <w:r>
        <w:rPr>
          <w:rFonts w:hint="eastAsia" w:cs="Times New Roman"/>
          <w:color w:val="auto"/>
          <w:kern w:val="0"/>
          <w:sz w:val="32"/>
          <w:szCs w:val="32"/>
          <w:highlight w:val="none"/>
          <w:lang w:eastAsia="zh-CN"/>
        </w:rPr>
        <w:t>增加</w:t>
      </w:r>
      <w:r>
        <w:rPr>
          <w:rFonts w:hint="default" w:ascii="Times New Roman" w:hAnsi="Times New Roman" w:eastAsia="仿宋_GB2312" w:cs="Times New Roman"/>
          <w:color w:val="auto"/>
          <w:kern w:val="0"/>
          <w:sz w:val="32"/>
          <w:szCs w:val="32"/>
          <w:highlight w:val="none"/>
        </w:rPr>
        <w:t>，故相应调</w:t>
      </w:r>
      <w:r>
        <w:rPr>
          <w:rFonts w:hint="eastAsia" w:ascii="Times New Roman" w:hAnsi="Times New Roman" w:cs="Times New Roman"/>
          <w:color w:val="auto"/>
          <w:kern w:val="0"/>
          <w:sz w:val="32"/>
          <w:szCs w:val="32"/>
          <w:highlight w:val="none"/>
          <w:lang w:val="en-US" w:eastAsia="zh-CN"/>
        </w:rPr>
        <w:t>增</w:t>
      </w:r>
      <w:r>
        <w:rPr>
          <w:rFonts w:hint="default" w:ascii="Times New Roman" w:hAnsi="Times New Roman" w:eastAsia="仿宋_GB2312" w:cs="Times New Roman"/>
          <w:color w:val="auto"/>
          <w:kern w:val="0"/>
          <w:sz w:val="32"/>
          <w:szCs w:val="32"/>
          <w:highlight w:val="none"/>
        </w:rPr>
        <w:t>本年度相关经费预算</w:t>
      </w:r>
      <w:r>
        <w:rPr>
          <w:rFonts w:hint="eastAsia" w:ascii="仿宋_GB2312" w:hAnsi="Times New Roman" w:eastAsia="仿宋_GB2312" w:cs="Times New Roman"/>
          <w:kern w:val="2"/>
          <w:sz w:val="32"/>
          <w:szCs w:val="32"/>
          <w:highlight w:val="none"/>
        </w:rPr>
        <w:t>；</w:t>
      </w:r>
      <w:r>
        <w:rPr>
          <w:rFonts w:hint="eastAsia" w:ascii="仿宋_GB2312"/>
          <w:sz w:val="32"/>
          <w:szCs w:val="32"/>
          <w:highlight w:val="none"/>
          <w:lang w:val="en-US" w:eastAsia="zh-CN"/>
        </w:rPr>
        <w:t>二是</w:t>
      </w:r>
      <w:r>
        <w:rPr>
          <w:rFonts w:hint="eastAsia" w:cs="Times New Roman"/>
          <w:color w:val="auto"/>
          <w:kern w:val="0"/>
          <w:sz w:val="32"/>
          <w:szCs w:val="32"/>
          <w:highlight w:val="none"/>
          <w:lang w:eastAsia="zh-CN"/>
        </w:rPr>
        <w:t>本年度我单位调入</w:t>
      </w:r>
      <w:r>
        <w:rPr>
          <w:rFonts w:hint="eastAsia" w:cs="Times New Roman"/>
          <w:color w:val="auto"/>
          <w:kern w:val="0"/>
          <w:sz w:val="32"/>
          <w:szCs w:val="32"/>
          <w:highlight w:val="none"/>
          <w:lang w:val="en-US" w:eastAsia="zh-CN"/>
        </w:rPr>
        <w:t>1名在职在编人员；</w:t>
      </w:r>
    </w:p>
    <w:p>
      <w:pPr>
        <w:pStyle w:val="4"/>
        <w:spacing w:before="0" w:beforeAutospacing="0" w:after="0" w:afterAutospacing="0" w:line="540" w:lineRule="exact"/>
        <w:ind w:firstLine="640" w:firstLineChars="200"/>
        <w:rPr>
          <w:rFonts w:hint="eastAsia" w:ascii="仿宋_GB2312" w:hAnsi="Times New Roman" w:eastAsia="仿宋_GB2312" w:cs="Times New Roman"/>
          <w:kern w:val="2"/>
          <w:sz w:val="32"/>
          <w:szCs w:val="32"/>
          <w:highlight w:val="none"/>
        </w:rPr>
      </w:pPr>
      <w:r>
        <w:rPr>
          <w:rFonts w:hint="eastAsia" w:ascii="仿宋_GB2312"/>
          <w:sz w:val="32"/>
          <w:szCs w:val="32"/>
          <w:highlight w:val="none"/>
          <w:lang w:eastAsia="zh-CN"/>
        </w:rPr>
        <w:t>工资福利支出</w:t>
      </w:r>
      <w:r>
        <w:rPr>
          <w:rFonts w:hint="eastAsia" w:ascii="仿宋_GB2312"/>
          <w:sz w:val="32"/>
          <w:szCs w:val="32"/>
          <w:highlight w:val="none"/>
          <w:lang w:val="en-US" w:eastAsia="zh-CN"/>
        </w:rPr>
        <w:t xml:space="preserve"> -职业年金缴费3.78万元，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1.34</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55.06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主要原因一是</w:t>
      </w:r>
      <w:r>
        <w:rPr>
          <w:rFonts w:hint="default" w:ascii="Times New Roman" w:hAnsi="Times New Roman" w:eastAsia="仿宋_GB2312" w:cs="Times New Roman"/>
          <w:color w:val="auto"/>
          <w:kern w:val="0"/>
          <w:sz w:val="32"/>
          <w:szCs w:val="32"/>
          <w:highlight w:val="none"/>
        </w:rPr>
        <w:t>职工工资收入总额</w:t>
      </w:r>
      <w:r>
        <w:rPr>
          <w:rFonts w:hint="eastAsia" w:cs="Times New Roman"/>
          <w:color w:val="auto"/>
          <w:kern w:val="0"/>
          <w:sz w:val="32"/>
          <w:szCs w:val="32"/>
          <w:highlight w:val="none"/>
          <w:lang w:eastAsia="zh-CN"/>
        </w:rPr>
        <w:t>增加</w:t>
      </w:r>
      <w:r>
        <w:rPr>
          <w:rFonts w:hint="default" w:ascii="Times New Roman" w:hAnsi="Times New Roman" w:eastAsia="仿宋_GB2312" w:cs="Times New Roman"/>
          <w:color w:val="auto"/>
          <w:kern w:val="0"/>
          <w:sz w:val="32"/>
          <w:szCs w:val="32"/>
          <w:highlight w:val="none"/>
        </w:rPr>
        <w:t>，本年度社会保险缴费基数相应</w:t>
      </w:r>
      <w:r>
        <w:rPr>
          <w:rFonts w:hint="eastAsia" w:cs="Times New Roman"/>
          <w:color w:val="auto"/>
          <w:kern w:val="0"/>
          <w:sz w:val="32"/>
          <w:szCs w:val="32"/>
          <w:highlight w:val="none"/>
          <w:lang w:eastAsia="zh-CN"/>
        </w:rPr>
        <w:t>上</w:t>
      </w:r>
      <w:r>
        <w:rPr>
          <w:rFonts w:hint="default" w:ascii="Times New Roman" w:hAnsi="Times New Roman" w:eastAsia="仿宋_GB2312" w:cs="Times New Roman"/>
          <w:color w:val="auto"/>
          <w:kern w:val="0"/>
          <w:sz w:val="32"/>
          <w:szCs w:val="32"/>
          <w:highlight w:val="none"/>
        </w:rPr>
        <w:t>调，导致社保支出较上年有所</w:t>
      </w:r>
      <w:r>
        <w:rPr>
          <w:rFonts w:hint="eastAsia" w:cs="Times New Roman"/>
          <w:color w:val="auto"/>
          <w:kern w:val="0"/>
          <w:sz w:val="32"/>
          <w:szCs w:val="32"/>
          <w:highlight w:val="none"/>
          <w:lang w:eastAsia="zh-CN"/>
        </w:rPr>
        <w:t>增加</w:t>
      </w:r>
      <w:r>
        <w:rPr>
          <w:rFonts w:hint="default" w:ascii="Times New Roman" w:hAnsi="Times New Roman" w:eastAsia="仿宋_GB2312" w:cs="Times New Roman"/>
          <w:color w:val="auto"/>
          <w:kern w:val="0"/>
          <w:sz w:val="32"/>
          <w:szCs w:val="32"/>
          <w:highlight w:val="none"/>
        </w:rPr>
        <w:t>，故相应调</w:t>
      </w:r>
      <w:r>
        <w:rPr>
          <w:rFonts w:hint="eastAsia" w:ascii="Times New Roman" w:hAnsi="Times New Roman" w:cs="Times New Roman"/>
          <w:color w:val="auto"/>
          <w:kern w:val="0"/>
          <w:sz w:val="32"/>
          <w:szCs w:val="32"/>
          <w:highlight w:val="none"/>
          <w:lang w:val="en-US" w:eastAsia="zh-CN"/>
        </w:rPr>
        <w:t>增</w:t>
      </w:r>
      <w:r>
        <w:rPr>
          <w:rFonts w:hint="default" w:ascii="Times New Roman" w:hAnsi="Times New Roman" w:eastAsia="仿宋_GB2312" w:cs="Times New Roman"/>
          <w:color w:val="auto"/>
          <w:kern w:val="0"/>
          <w:sz w:val="32"/>
          <w:szCs w:val="32"/>
          <w:highlight w:val="none"/>
        </w:rPr>
        <w:t>本年度相关经费预算</w:t>
      </w:r>
      <w:r>
        <w:rPr>
          <w:rFonts w:hint="eastAsia" w:ascii="仿宋_GB2312" w:hAnsi="Times New Roman" w:eastAsia="仿宋_GB2312" w:cs="Times New Roman"/>
          <w:kern w:val="2"/>
          <w:sz w:val="32"/>
          <w:szCs w:val="32"/>
          <w:highlight w:val="none"/>
        </w:rPr>
        <w:t>；</w:t>
      </w:r>
      <w:r>
        <w:rPr>
          <w:rFonts w:hint="eastAsia" w:ascii="仿宋_GB2312"/>
          <w:sz w:val="32"/>
          <w:szCs w:val="32"/>
          <w:highlight w:val="none"/>
          <w:lang w:val="en-US" w:eastAsia="zh-CN"/>
        </w:rPr>
        <w:t>二是</w:t>
      </w:r>
      <w:r>
        <w:rPr>
          <w:rFonts w:hint="eastAsia" w:cs="Times New Roman"/>
          <w:color w:val="auto"/>
          <w:kern w:val="0"/>
          <w:sz w:val="32"/>
          <w:szCs w:val="32"/>
          <w:highlight w:val="none"/>
          <w:lang w:eastAsia="zh-CN"/>
        </w:rPr>
        <w:t>本年度我单位调入</w:t>
      </w:r>
      <w:r>
        <w:rPr>
          <w:rFonts w:hint="eastAsia" w:cs="Times New Roman"/>
          <w:color w:val="auto"/>
          <w:kern w:val="0"/>
          <w:sz w:val="32"/>
          <w:szCs w:val="32"/>
          <w:highlight w:val="none"/>
          <w:lang w:val="en-US" w:eastAsia="zh-CN"/>
        </w:rPr>
        <w:t>1名在职在编人员；</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工资福利支出</w:t>
      </w:r>
      <w:r>
        <w:rPr>
          <w:rFonts w:hint="eastAsia" w:ascii="仿宋_GB2312"/>
          <w:sz w:val="32"/>
          <w:szCs w:val="32"/>
          <w:highlight w:val="none"/>
          <w:lang w:val="en-US" w:eastAsia="zh-CN"/>
        </w:rPr>
        <w:t xml:space="preserve"> -职工基本医疗保险缴费3.73万元，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1.36</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57.05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主要原因一是</w:t>
      </w:r>
      <w:r>
        <w:rPr>
          <w:rFonts w:hint="default" w:ascii="Times New Roman" w:hAnsi="Times New Roman" w:eastAsia="仿宋_GB2312" w:cs="Times New Roman"/>
          <w:color w:val="auto"/>
          <w:kern w:val="0"/>
          <w:sz w:val="32"/>
          <w:szCs w:val="32"/>
          <w:highlight w:val="none"/>
        </w:rPr>
        <w:t>职工工资收入总额</w:t>
      </w:r>
      <w:r>
        <w:rPr>
          <w:rFonts w:hint="eastAsia" w:cs="Times New Roman"/>
          <w:color w:val="auto"/>
          <w:kern w:val="0"/>
          <w:sz w:val="32"/>
          <w:szCs w:val="32"/>
          <w:highlight w:val="none"/>
          <w:lang w:eastAsia="zh-CN"/>
        </w:rPr>
        <w:t>增加</w:t>
      </w:r>
      <w:r>
        <w:rPr>
          <w:rFonts w:hint="default" w:ascii="Times New Roman" w:hAnsi="Times New Roman" w:eastAsia="仿宋_GB2312" w:cs="Times New Roman"/>
          <w:color w:val="auto"/>
          <w:kern w:val="0"/>
          <w:sz w:val="32"/>
          <w:szCs w:val="32"/>
          <w:highlight w:val="none"/>
        </w:rPr>
        <w:t>，本年度社会保险缴费基数相应</w:t>
      </w:r>
      <w:r>
        <w:rPr>
          <w:rFonts w:hint="eastAsia" w:cs="Times New Roman"/>
          <w:color w:val="auto"/>
          <w:kern w:val="0"/>
          <w:sz w:val="32"/>
          <w:szCs w:val="32"/>
          <w:highlight w:val="none"/>
          <w:lang w:eastAsia="zh-CN"/>
        </w:rPr>
        <w:t>上</w:t>
      </w:r>
      <w:r>
        <w:rPr>
          <w:rFonts w:hint="default" w:ascii="Times New Roman" w:hAnsi="Times New Roman" w:eastAsia="仿宋_GB2312" w:cs="Times New Roman"/>
          <w:color w:val="auto"/>
          <w:kern w:val="0"/>
          <w:sz w:val="32"/>
          <w:szCs w:val="32"/>
          <w:highlight w:val="none"/>
        </w:rPr>
        <w:t>调，导致社保支出较上年有所</w:t>
      </w:r>
      <w:r>
        <w:rPr>
          <w:rFonts w:hint="eastAsia" w:cs="Times New Roman"/>
          <w:color w:val="auto"/>
          <w:kern w:val="0"/>
          <w:sz w:val="32"/>
          <w:szCs w:val="32"/>
          <w:highlight w:val="none"/>
          <w:lang w:eastAsia="zh-CN"/>
        </w:rPr>
        <w:t>增加</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val="en-US" w:eastAsia="zh-CN"/>
        </w:rPr>
        <w:t>增</w:t>
      </w:r>
      <w:r>
        <w:rPr>
          <w:rFonts w:hint="default" w:ascii="Times New Roman" w:hAnsi="Times New Roman" w:eastAsia="仿宋_GB2312" w:cs="Times New Roman"/>
          <w:color w:val="auto"/>
          <w:kern w:val="0"/>
          <w:sz w:val="32"/>
          <w:szCs w:val="32"/>
          <w:highlight w:val="none"/>
        </w:rPr>
        <w:t>本年度相关经费预算</w:t>
      </w:r>
      <w:r>
        <w:rPr>
          <w:rFonts w:hint="eastAsia" w:ascii="仿宋_GB2312" w:hAnsi="Times New Roman" w:eastAsia="仿宋_GB2312" w:cs="Times New Roman"/>
          <w:kern w:val="2"/>
          <w:sz w:val="32"/>
          <w:szCs w:val="32"/>
          <w:highlight w:val="none"/>
        </w:rPr>
        <w:t>；</w:t>
      </w:r>
      <w:r>
        <w:rPr>
          <w:rFonts w:hint="eastAsia" w:ascii="仿宋_GB2312"/>
          <w:sz w:val="32"/>
          <w:szCs w:val="32"/>
          <w:highlight w:val="none"/>
          <w:lang w:val="en-US" w:eastAsia="zh-CN"/>
        </w:rPr>
        <w:t>二是</w:t>
      </w:r>
      <w:r>
        <w:rPr>
          <w:rFonts w:hint="eastAsia" w:cs="Times New Roman"/>
          <w:color w:val="auto"/>
          <w:kern w:val="0"/>
          <w:sz w:val="32"/>
          <w:szCs w:val="32"/>
          <w:highlight w:val="none"/>
          <w:lang w:eastAsia="zh-CN"/>
        </w:rPr>
        <w:t>本年度我单位调入</w:t>
      </w:r>
      <w:r>
        <w:rPr>
          <w:rFonts w:hint="eastAsia" w:cs="Times New Roman"/>
          <w:color w:val="auto"/>
          <w:kern w:val="0"/>
          <w:sz w:val="32"/>
          <w:szCs w:val="32"/>
          <w:highlight w:val="none"/>
          <w:lang w:val="en-US" w:eastAsia="zh-CN"/>
        </w:rPr>
        <w:t>1名在职在编人员；</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工资福利支出</w:t>
      </w:r>
      <w:r>
        <w:rPr>
          <w:rFonts w:hint="eastAsia" w:ascii="仿宋_GB2312"/>
          <w:sz w:val="32"/>
          <w:szCs w:val="32"/>
          <w:highlight w:val="none"/>
          <w:lang w:val="en-US" w:eastAsia="zh-CN"/>
        </w:rPr>
        <w:t xml:space="preserve"> -其他社会保障缴费0.33万元，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0.12</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55.06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主要原因一是</w:t>
      </w:r>
      <w:r>
        <w:rPr>
          <w:rFonts w:hint="default" w:ascii="Times New Roman" w:hAnsi="Times New Roman" w:eastAsia="仿宋_GB2312" w:cs="Times New Roman"/>
          <w:color w:val="auto"/>
          <w:kern w:val="0"/>
          <w:sz w:val="32"/>
          <w:szCs w:val="32"/>
          <w:highlight w:val="none"/>
        </w:rPr>
        <w:t>职工工资收入总额</w:t>
      </w:r>
      <w:r>
        <w:rPr>
          <w:rFonts w:hint="eastAsia" w:cs="Times New Roman"/>
          <w:color w:val="auto"/>
          <w:kern w:val="0"/>
          <w:sz w:val="32"/>
          <w:szCs w:val="32"/>
          <w:highlight w:val="none"/>
          <w:lang w:eastAsia="zh-CN"/>
        </w:rPr>
        <w:t>增加</w:t>
      </w:r>
      <w:r>
        <w:rPr>
          <w:rFonts w:hint="default" w:ascii="Times New Roman" w:hAnsi="Times New Roman" w:eastAsia="仿宋_GB2312" w:cs="Times New Roman"/>
          <w:color w:val="auto"/>
          <w:kern w:val="0"/>
          <w:sz w:val="32"/>
          <w:szCs w:val="32"/>
          <w:highlight w:val="none"/>
        </w:rPr>
        <w:t>，本年度社会保险缴费基数相应</w:t>
      </w:r>
      <w:r>
        <w:rPr>
          <w:rFonts w:hint="eastAsia" w:cs="Times New Roman"/>
          <w:color w:val="auto"/>
          <w:kern w:val="0"/>
          <w:sz w:val="32"/>
          <w:szCs w:val="32"/>
          <w:highlight w:val="none"/>
          <w:lang w:eastAsia="zh-CN"/>
        </w:rPr>
        <w:t>上</w:t>
      </w:r>
      <w:r>
        <w:rPr>
          <w:rFonts w:hint="default" w:ascii="Times New Roman" w:hAnsi="Times New Roman" w:eastAsia="仿宋_GB2312" w:cs="Times New Roman"/>
          <w:color w:val="auto"/>
          <w:kern w:val="0"/>
          <w:sz w:val="32"/>
          <w:szCs w:val="32"/>
          <w:highlight w:val="none"/>
        </w:rPr>
        <w:t>调，导致社保支出较上年有所</w:t>
      </w:r>
      <w:r>
        <w:rPr>
          <w:rFonts w:hint="eastAsia" w:cs="Times New Roman"/>
          <w:color w:val="auto"/>
          <w:kern w:val="0"/>
          <w:sz w:val="32"/>
          <w:szCs w:val="32"/>
          <w:highlight w:val="none"/>
          <w:lang w:eastAsia="zh-CN"/>
        </w:rPr>
        <w:t>增加</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val="en-US" w:eastAsia="zh-CN"/>
        </w:rPr>
        <w:t>增</w:t>
      </w:r>
      <w:r>
        <w:rPr>
          <w:rFonts w:hint="default" w:ascii="Times New Roman" w:hAnsi="Times New Roman" w:eastAsia="仿宋_GB2312" w:cs="Times New Roman"/>
          <w:color w:val="auto"/>
          <w:kern w:val="0"/>
          <w:sz w:val="32"/>
          <w:szCs w:val="32"/>
          <w:highlight w:val="none"/>
        </w:rPr>
        <w:t>本年度相关经费预算</w:t>
      </w:r>
      <w:r>
        <w:rPr>
          <w:rFonts w:hint="eastAsia" w:ascii="仿宋_GB2312" w:hAnsi="Times New Roman" w:eastAsia="仿宋_GB2312" w:cs="Times New Roman"/>
          <w:kern w:val="2"/>
          <w:sz w:val="32"/>
          <w:szCs w:val="32"/>
          <w:highlight w:val="none"/>
        </w:rPr>
        <w:t>；</w:t>
      </w:r>
      <w:r>
        <w:rPr>
          <w:rFonts w:hint="eastAsia" w:ascii="仿宋_GB2312"/>
          <w:sz w:val="32"/>
          <w:szCs w:val="32"/>
          <w:highlight w:val="none"/>
          <w:lang w:val="en-US" w:eastAsia="zh-CN"/>
        </w:rPr>
        <w:t>二是</w:t>
      </w:r>
      <w:r>
        <w:rPr>
          <w:rFonts w:hint="eastAsia" w:cs="Times New Roman"/>
          <w:color w:val="auto"/>
          <w:kern w:val="0"/>
          <w:sz w:val="32"/>
          <w:szCs w:val="32"/>
          <w:highlight w:val="none"/>
          <w:lang w:eastAsia="zh-CN"/>
        </w:rPr>
        <w:t>本年度我单位调入</w:t>
      </w:r>
      <w:r>
        <w:rPr>
          <w:rFonts w:hint="eastAsia" w:cs="Times New Roman"/>
          <w:color w:val="auto"/>
          <w:kern w:val="0"/>
          <w:sz w:val="32"/>
          <w:szCs w:val="32"/>
          <w:highlight w:val="none"/>
          <w:lang w:val="en-US" w:eastAsia="zh-CN"/>
        </w:rPr>
        <w:t>1名在职在编人员；</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工资福利支出</w:t>
      </w:r>
      <w:r>
        <w:rPr>
          <w:rFonts w:hint="eastAsia" w:ascii="仿宋_GB2312"/>
          <w:sz w:val="32"/>
          <w:szCs w:val="32"/>
          <w:highlight w:val="none"/>
          <w:lang w:val="en-US" w:eastAsia="zh-CN"/>
        </w:rPr>
        <w:t xml:space="preserve"> -住房公积金6.28万元，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2.30</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57.95</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主要原因一是</w:t>
      </w:r>
      <w:r>
        <w:rPr>
          <w:rFonts w:hint="default" w:ascii="Times New Roman" w:hAnsi="Times New Roman" w:eastAsia="仿宋_GB2312" w:cs="Times New Roman"/>
          <w:color w:val="auto"/>
          <w:kern w:val="0"/>
          <w:sz w:val="32"/>
          <w:szCs w:val="32"/>
          <w:highlight w:val="none"/>
        </w:rPr>
        <w:t>职工工资收入总额</w:t>
      </w:r>
      <w:r>
        <w:rPr>
          <w:rFonts w:hint="eastAsia" w:cs="Times New Roman"/>
          <w:color w:val="auto"/>
          <w:kern w:val="0"/>
          <w:sz w:val="32"/>
          <w:szCs w:val="32"/>
          <w:highlight w:val="none"/>
          <w:lang w:eastAsia="zh-CN"/>
        </w:rPr>
        <w:t>增加</w:t>
      </w:r>
      <w:r>
        <w:rPr>
          <w:rFonts w:hint="default" w:ascii="Times New Roman" w:hAnsi="Times New Roman" w:eastAsia="仿宋_GB2312" w:cs="Times New Roman"/>
          <w:color w:val="auto"/>
          <w:kern w:val="0"/>
          <w:sz w:val="32"/>
          <w:szCs w:val="32"/>
          <w:highlight w:val="none"/>
        </w:rPr>
        <w:t>，本年度社会保险缴费基数相应</w:t>
      </w:r>
      <w:r>
        <w:rPr>
          <w:rFonts w:hint="eastAsia" w:cs="Times New Roman"/>
          <w:color w:val="auto"/>
          <w:kern w:val="0"/>
          <w:sz w:val="32"/>
          <w:szCs w:val="32"/>
          <w:highlight w:val="none"/>
          <w:lang w:eastAsia="zh-CN"/>
        </w:rPr>
        <w:t>上</w:t>
      </w:r>
      <w:r>
        <w:rPr>
          <w:rFonts w:hint="default" w:ascii="Times New Roman" w:hAnsi="Times New Roman" w:eastAsia="仿宋_GB2312" w:cs="Times New Roman"/>
          <w:color w:val="auto"/>
          <w:kern w:val="0"/>
          <w:sz w:val="32"/>
          <w:szCs w:val="32"/>
          <w:highlight w:val="none"/>
        </w:rPr>
        <w:t>调，导致社保支出较上年有所</w:t>
      </w:r>
      <w:r>
        <w:rPr>
          <w:rFonts w:hint="eastAsia" w:cs="Times New Roman"/>
          <w:color w:val="auto"/>
          <w:kern w:val="0"/>
          <w:sz w:val="32"/>
          <w:szCs w:val="32"/>
          <w:highlight w:val="none"/>
          <w:lang w:eastAsia="zh-CN"/>
        </w:rPr>
        <w:t>增加</w:t>
      </w:r>
      <w:r>
        <w:rPr>
          <w:rFonts w:hint="default" w:ascii="Times New Roman" w:hAnsi="Times New Roman" w:eastAsia="仿宋_GB2312" w:cs="Times New Roman"/>
          <w:color w:val="auto"/>
          <w:kern w:val="0"/>
          <w:sz w:val="32"/>
          <w:szCs w:val="32"/>
          <w:highlight w:val="none"/>
        </w:rPr>
        <w:t>，故相应调</w:t>
      </w:r>
      <w:r>
        <w:rPr>
          <w:rFonts w:hint="eastAsia" w:cs="Times New Roman"/>
          <w:color w:val="auto"/>
          <w:kern w:val="0"/>
          <w:sz w:val="32"/>
          <w:szCs w:val="32"/>
          <w:highlight w:val="none"/>
          <w:lang w:val="en-US" w:eastAsia="zh-CN"/>
        </w:rPr>
        <w:t>增</w:t>
      </w:r>
      <w:r>
        <w:rPr>
          <w:rFonts w:hint="default" w:ascii="Times New Roman" w:hAnsi="Times New Roman" w:eastAsia="仿宋_GB2312" w:cs="Times New Roman"/>
          <w:color w:val="auto"/>
          <w:kern w:val="0"/>
          <w:sz w:val="32"/>
          <w:szCs w:val="32"/>
          <w:highlight w:val="none"/>
        </w:rPr>
        <w:t>本年度相关经费预算</w:t>
      </w:r>
      <w:r>
        <w:rPr>
          <w:rFonts w:hint="eastAsia" w:ascii="仿宋_GB2312" w:hAnsi="Times New Roman" w:eastAsia="仿宋_GB2312" w:cs="Times New Roman"/>
          <w:kern w:val="2"/>
          <w:sz w:val="32"/>
          <w:szCs w:val="32"/>
          <w:highlight w:val="none"/>
        </w:rPr>
        <w:t>；</w:t>
      </w:r>
      <w:r>
        <w:rPr>
          <w:rFonts w:hint="eastAsia" w:ascii="仿宋_GB2312"/>
          <w:sz w:val="32"/>
          <w:szCs w:val="32"/>
          <w:highlight w:val="none"/>
          <w:lang w:val="en-US" w:eastAsia="zh-CN"/>
        </w:rPr>
        <w:t>二是</w:t>
      </w:r>
      <w:r>
        <w:rPr>
          <w:rFonts w:hint="eastAsia" w:cs="Times New Roman"/>
          <w:color w:val="auto"/>
          <w:kern w:val="0"/>
          <w:sz w:val="32"/>
          <w:szCs w:val="32"/>
          <w:highlight w:val="none"/>
          <w:lang w:eastAsia="zh-CN"/>
        </w:rPr>
        <w:t>本年度我单位调入</w:t>
      </w:r>
      <w:r>
        <w:rPr>
          <w:rFonts w:hint="eastAsia" w:cs="Times New Roman"/>
          <w:color w:val="auto"/>
          <w:kern w:val="0"/>
          <w:sz w:val="32"/>
          <w:szCs w:val="32"/>
          <w:highlight w:val="none"/>
          <w:lang w:val="en-US" w:eastAsia="zh-CN"/>
        </w:rPr>
        <w:t>1名在职在编人员</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-办公费0.98万元，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0.25</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33.33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本年度我单位调入</w:t>
      </w:r>
      <w:r>
        <w:rPr>
          <w:rFonts w:hint="eastAsia" w:cs="Times New Roman"/>
          <w:color w:val="auto"/>
          <w:kern w:val="0"/>
          <w:sz w:val="32"/>
          <w:szCs w:val="32"/>
          <w:highlight w:val="none"/>
          <w:lang w:val="en-US" w:eastAsia="zh-CN"/>
        </w:rPr>
        <w:t>1名在职在编人员，相关经费预算相应增加</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-印刷费0.12万元，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0.03</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33.33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本年度我单位调入</w:t>
      </w:r>
      <w:r>
        <w:rPr>
          <w:rFonts w:hint="eastAsia" w:cs="Times New Roman"/>
          <w:color w:val="auto"/>
          <w:kern w:val="0"/>
          <w:sz w:val="32"/>
          <w:szCs w:val="32"/>
          <w:highlight w:val="none"/>
          <w:lang w:val="en-US" w:eastAsia="zh-CN"/>
        </w:rPr>
        <w:t>1名在职在编人员，相关经费预算相应增加</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-邮电费0.84万元，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0.23</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36.57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本年度我单位调入</w:t>
      </w:r>
      <w:r>
        <w:rPr>
          <w:rFonts w:hint="eastAsia" w:cs="Times New Roman"/>
          <w:color w:val="auto"/>
          <w:kern w:val="0"/>
          <w:sz w:val="32"/>
          <w:szCs w:val="32"/>
          <w:highlight w:val="none"/>
          <w:lang w:val="en-US" w:eastAsia="zh-CN"/>
        </w:rPr>
        <w:t>1名在职在编人员，相关经费预算相应增加</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-差旅费1.76万元，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0.44</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33.33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本年度我单位调入</w:t>
      </w:r>
      <w:r>
        <w:rPr>
          <w:rFonts w:hint="eastAsia" w:cs="Times New Roman"/>
          <w:color w:val="auto"/>
          <w:kern w:val="0"/>
          <w:sz w:val="32"/>
          <w:szCs w:val="32"/>
          <w:highlight w:val="none"/>
          <w:lang w:val="en-US" w:eastAsia="zh-CN"/>
        </w:rPr>
        <w:t>1名在职在编人员，相关经费预算相应增加</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-维修（护）费0.24万元，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0.06</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33.33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本年度我单位调入</w:t>
      </w:r>
      <w:r>
        <w:rPr>
          <w:rFonts w:hint="eastAsia" w:cs="Times New Roman"/>
          <w:color w:val="auto"/>
          <w:kern w:val="0"/>
          <w:sz w:val="32"/>
          <w:szCs w:val="32"/>
          <w:highlight w:val="none"/>
          <w:lang w:val="en-US" w:eastAsia="zh-CN"/>
        </w:rPr>
        <w:t>1名在职在编人员，相关经费预算相应增加</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-会议费0.08万元，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0.02</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33.33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本年度我单位调入</w:t>
      </w:r>
      <w:r>
        <w:rPr>
          <w:rFonts w:hint="eastAsia" w:cs="Times New Roman"/>
          <w:color w:val="auto"/>
          <w:kern w:val="0"/>
          <w:sz w:val="32"/>
          <w:szCs w:val="32"/>
          <w:highlight w:val="none"/>
          <w:lang w:val="en-US" w:eastAsia="zh-CN"/>
        </w:rPr>
        <w:t>1名在职在编人员，相关经费预算相应增加</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-培训费0.10万元，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0.02</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33.33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本年度我单位调入</w:t>
      </w:r>
      <w:r>
        <w:rPr>
          <w:rFonts w:hint="eastAsia" w:cs="Times New Roman"/>
          <w:color w:val="auto"/>
          <w:kern w:val="0"/>
          <w:sz w:val="32"/>
          <w:szCs w:val="32"/>
          <w:highlight w:val="none"/>
          <w:lang w:val="en-US" w:eastAsia="zh-CN"/>
        </w:rPr>
        <w:t>1名在职在编人员，相关经费预算相应增加</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-公务接待费0.10万元，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0.02</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33.33</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本年度我单位调入</w:t>
      </w:r>
      <w:r>
        <w:rPr>
          <w:rFonts w:hint="eastAsia" w:cs="Times New Roman"/>
          <w:color w:val="auto"/>
          <w:kern w:val="0"/>
          <w:sz w:val="32"/>
          <w:szCs w:val="32"/>
          <w:highlight w:val="none"/>
          <w:lang w:val="en-US" w:eastAsia="zh-CN"/>
        </w:rPr>
        <w:t>1名在职在编人员，相关经费预算相应增加</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ascii="仿宋_GB2312" w:hAnsi="Times New Roman" w:eastAsia="仿宋_GB2312" w:cs="Times New Roman"/>
          <w:kern w:val="2"/>
          <w:sz w:val="32"/>
          <w:szCs w:val="32"/>
          <w:highlight w:val="none"/>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-工会经费0.94万元，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0.33</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55.06</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default" w:ascii="Times New Roman" w:hAnsi="Times New Roman" w:eastAsia="仿宋_GB2312" w:cs="Times New Roman"/>
          <w:color w:val="auto"/>
          <w:kern w:val="0"/>
          <w:sz w:val="32"/>
          <w:szCs w:val="32"/>
          <w:highlight w:val="none"/>
        </w:rPr>
        <w:t>职工工资收入总额增加，本年度</w:t>
      </w:r>
      <w:r>
        <w:rPr>
          <w:rFonts w:hint="eastAsia" w:cs="Times New Roman"/>
          <w:color w:val="auto"/>
          <w:kern w:val="0"/>
          <w:sz w:val="32"/>
          <w:szCs w:val="32"/>
          <w:highlight w:val="none"/>
          <w:lang w:eastAsia="zh-CN"/>
        </w:rPr>
        <w:t>应提取公积金</w:t>
      </w:r>
      <w:r>
        <w:rPr>
          <w:rFonts w:hint="default" w:ascii="Times New Roman" w:hAnsi="Times New Roman" w:eastAsia="仿宋_GB2312" w:cs="Times New Roman"/>
          <w:color w:val="auto"/>
          <w:kern w:val="0"/>
          <w:sz w:val="32"/>
          <w:szCs w:val="32"/>
          <w:highlight w:val="none"/>
        </w:rPr>
        <w:t>基数相应上调，故相应调增本年度相关经费预算</w:t>
      </w:r>
      <w:r>
        <w:rPr>
          <w:rFonts w:hint="eastAsia" w:cs="Times New Roman"/>
          <w:color w:val="auto"/>
          <w:kern w:val="0"/>
          <w:sz w:val="32"/>
          <w:szCs w:val="32"/>
          <w:highlight w:val="none"/>
          <w:lang w:eastAsia="zh-CN"/>
        </w:rPr>
        <w:t>本年度我单位调入</w:t>
      </w:r>
      <w:r>
        <w:rPr>
          <w:rFonts w:hint="eastAsia" w:cs="Times New Roman"/>
          <w:color w:val="auto"/>
          <w:kern w:val="0"/>
          <w:sz w:val="32"/>
          <w:szCs w:val="32"/>
          <w:highlight w:val="none"/>
          <w:lang w:val="en-US" w:eastAsia="zh-CN"/>
        </w:rPr>
        <w:t>1名在职在编人员，相关经费预算相应增加</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default" w:ascii="仿宋_GB2312"/>
          <w:sz w:val="32"/>
          <w:szCs w:val="32"/>
          <w:highlight w:val="none"/>
          <w:lang w:val="en-US" w:eastAsia="zh-CN"/>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-其他交通费用3.48万元，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0.90</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34.88</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本年度我单位调入</w:t>
      </w:r>
      <w:r>
        <w:rPr>
          <w:rFonts w:hint="eastAsia" w:cs="Times New Roman"/>
          <w:color w:val="auto"/>
          <w:kern w:val="0"/>
          <w:sz w:val="32"/>
          <w:szCs w:val="32"/>
          <w:highlight w:val="none"/>
          <w:lang w:val="en-US" w:eastAsia="zh-CN"/>
        </w:rPr>
        <w:t>1名在职在编人员，相关经费预算相应增加</w:t>
      </w:r>
      <w:r>
        <w:rPr>
          <w:rFonts w:hint="eastAsia" w:ascii="仿宋_GB2312" w:hAnsi="Times New Roman" w:eastAsia="仿宋_GB2312" w:cs="Times New Roman"/>
          <w:kern w:val="2"/>
          <w:sz w:val="32"/>
          <w:szCs w:val="32"/>
          <w:highlight w:val="none"/>
        </w:rPr>
        <w:t>；</w:t>
      </w:r>
    </w:p>
    <w:p>
      <w:pPr>
        <w:tabs>
          <w:tab w:val="center" w:pos="4475"/>
        </w:tabs>
        <w:spacing w:line="560" w:lineRule="exact"/>
        <w:ind w:firstLine="645"/>
        <w:rPr>
          <w:rFonts w:hint="eastAsia" w:cs="Times New Roman"/>
          <w:color w:val="auto"/>
          <w:kern w:val="0"/>
          <w:sz w:val="32"/>
          <w:szCs w:val="32"/>
          <w:highlight w:val="none"/>
          <w:lang w:val="en-US" w:eastAsia="zh-CN"/>
        </w:rPr>
      </w:pPr>
      <w:r>
        <w:rPr>
          <w:rFonts w:hint="eastAsia" w:ascii="仿宋_GB2312"/>
          <w:sz w:val="32"/>
          <w:szCs w:val="32"/>
          <w:highlight w:val="none"/>
          <w:lang w:eastAsia="zh-CN"/>
        </w:rPr>
        <w:t>商品和服务支出</w:t>
      </w:r>
      <w:r>
        <w:rPr>
          <w:rFonts w:hint="eastAsia" w:ascii="仿宋_GB2312"/>
          <w:sz w:val="32"/>
          <w:szCs w:val="32"/>
          <w:highlight w:val="none"/>
          <w:lang w:val="en-US" w:eastAsia="zh-CN"/>
        </w:rPr>
        <w:t xml:space="preserve"> -其他商品和服务支出2.63万元，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0.74</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38.79</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主要原因是</w:t>
      </w:r>
      <w:r>
        <w:rPr>
          <w:rFonts w:hint="eastAsia" w:cs="Times New Roman"/>
          <w:color w:val="auto"/>
          <w:kern w:val="0"/>
          <w:sz w:val="32"/>
          <w:szCs w:val="32"/>
          <w:highlight w:val="none"/>
          <w:lang w:eastAsia="zh-CN"/>
        </w:rPr>
        <w:t>本年度我单位调入</w:t>
      </w:r>
      <w:r>
        <w:rPr>
          <w:rFonts w:hint="eastAsia" w:cs="Times New Roman"/>
          <w:color w:val="auto"/>
          <w:kern w:val="0"/>
          <w:sz w:val="32"/>
          <w:szCs w:val="32"/>
          <w:highlight w:val="none"/>
          <w:lang w:val="en-US" w:eastAsia="zh-CN"/>
        </w:rPr>
        <w:t>1名在职在编人员，相关经费预算相应增加；</w:t>
      </w:r>
    </w:p>
    <w:p>
      <w:pPr>
        <w:tabs>
          <w:tab w:val="center" w:pos="4475"/>
        </w:tabs>
        <w:spacing w:line="560" w:lineRule="exact"/>
        <w:ind w:firstLine="645"/>
        <w:rPr>
          <w:rFonts w:hint="eastAsia" w:ascii="仿宋_GB2312" w:eastAsia="仿宋_GB2312"/>
          <w:sz w:val="32"/>
          <w:szCs w:val="32"/>
          <w:highlight w:val="none"/>
          <w:lang w:val="en-US" w:eastAsia="zh-CN"/>
        </w:rPr>
      </w:pPr>
      <w:r>
        <w:rPr>
          <w:rFonts w:hint="eastAsia" w:ascii="仿宋_GB2312"/>
          <w:sz w:val="32"/>
          <w:szCs w:val="32"/>
          <w:highlight w:val="none"/>
          <w:lang w:eastAsia="zh-CN"/>
        </w:rPr>
        <w:t>对个人和家庭的补助</w:t>
      </w:r>
      <w:r>
        <w:rPr>
          <w:rFonts w:hint="eastAsia" w:ascii="仿宋_GB2312"/>
          <w:sz w:val="32"/>
          <w:szCs w:val="32"/>
          <w:highlight w:val="none"/>
          <w:lang w:val="en-US" w:eastAsia="zh-CN"/>
        </w:rPr>
        <w:t xml:space="preserve"> -退休费支出1.64万元，</w:t>
      </w:r>
      <w:r>
        <w:rPr>
          <w:rFonts w:hint="eastAsia" w:ascii="仿宋_GB2312" w:eastAsia="仿宋_GB2312"/>
          <w:sz w:val="32"/>
          <w:szCs w:val="32"/>
          <w:highlight w:val="none"/>
        </w:rPr>
        <w:t>同比</w:t>
      </w:r>
      <w:r>
        <w:rPr>
          <w:rFonts w:hint="eastAsia" w:ascii="仿宋_GB2312"/>
          <w:sz w:val="32"/>
          <w:szCs w:val="32"/>
          <w:highlight w:val="none"/>
          <w:lang w:eastAsia="zh-CN"/>
        </w:rPr>
        <w:t>增加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w:t>
      </w:r>
      <w:r>
        <w:rPr>
          <w:rFonts w:hint="eastAsia" w:ascii="仿宋_GB2312"/>
          <w:sz w:val="32"/>
          <w:szCs w:val="32"/>
          <w:highlight w:val="none"/>
          <w:lang w:eastAsia="zh-CN"/>
        </w:rPr>
        <w:t>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与上年持平</w:t>
      </w:r>
      <w:r>
        <w:rPr>
          <w:rFonts w:hint="eastAsia" w:ascii="仿宋_GB2312" w:cs="Times New Roman"/>
          <w:kern w:val="2"/>
          <w:sz w:val="32"/>
          <w:szCs w:val="32"/>
          <w:highlight w:val="none"/>
          <w:lang w:eastAsia="zh-CN"/>
        </w:rPr>
        <w:t>。</w:t>
      </w:r>
    </w:p>
    <w:p>
      <w:pPr>
        <w:numPr>
          <w:ilvl w:val="0"/>
          <w:numId w:val="0"/>
        </w:numPr>
        <w:tabs>
          <w:tab w:val="center" w:pos="4475"/>
        </w:tabs>
        <w:spacing w:line="560" w:lineRule="exact"/>
        <w:ind w:left="645" w:leftChars="0"/>
        <w:rPr>
          <w:rFonts w:hint="eastAsia" w:ascii="黑体" w:eastAsia="黑体"/>
          <w:szCs w:val="32"/>
          <w:highlight w:val="none"/>
        </w:rPr>
      </w:pPr>
      <w:r>
        <w:rPr>
          <w:rFonts w:hint="eastAsia" w:ascii="黑体" w:eastAsia="黑体"/>
          <w:szCs w:val="32"/>
          <w:highlight w:val="none"/>
        </w:rPr>
        <w:t>七、一般公共预算“三公”经费支出情况说明</w:t>
      </w:r>
    </w:p>
    <w:p>
      <w:pPr>
        <w:tabs>
          <w:tab w:val="center" w:pos="4475"/>
        </w:tabs>
        <w:spacing w:line="560" w:lineRule="exact"/>
        <w:ind w:firstLine="645"/>
        <w:rPr>
          <w:rFonts w:hint="eastAsia" w:ascii="仿宋_GB2312" w:hAnsi="宋体"/>
          <w:szCs w:val="32"/>
          <w:highlight w:val="none"/>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ighlight w:val="none"/>
          <w:lang w:eastAsia="zh-CN"/>
        </w:rPr>
        <w:t>2026年</w:t>
      </w:r>
      <w:r>
        <w:rPr>
          <w:rFonts w:hint="eastAsia" w:ascii="仿宋_GB2312"/>
          <w:highlight w:val="none"/>
        </w:rPr>
        <w:t>一般公共预算</w:t>
      </w:r>
      <w:r>
        <w:rPr>
          <w:rFonts w:hint="eastAsia" w:ascii="仿宋_GB2312"/>
          <w:bCs/>
          <w:highlight w:val="none"/>
        </w:rPr>
        <w:t>安排的“三公”经费支出预算</w:t>
      </w:r>
      <w:r>
        <w:rPr>
          <w:rFonts w:hint="eastAsia" w:ascii="仿宋_GB2312"/>
          <w:bCs/>
          <w:highlight w:val="none"/>
          <w:lang w:val="en-US" w:eastAsia="zh-CN"/>
        </w:rPr>
        <w:t>0.10</w:t>
      </w:r>
      <w:r>
        <w:rPr>
          <w:rFonts w:hint="eastAsia" w:ascii="仿宋_GB2312"/>
          <w:bCs/>
          <w:highlight w:val="none"/>
        </w:rPr>
        <w:t>万元，同口径比</w:t>
      </w:r>
      <w:r>
        <w:rPr>
          <w:rFonts w:hint="eastAsia" w:ascii="仿宋_GB2312"/>
          <w:bCs/>
          <w:highlight w:val="none"/>
          <w:lang w:eastAsia="zh-CN"/>
        </w:rPr>
        <w:t>2025年增加</w:t>
      </w:r>
      <w:r>
        <w:rPr>
          <w:rFonts w:hint="eastAsia" w:ascii="仿宋_GB2312"/>
          <w:bCs/>
          <w:highlight w:val="none"/>
          <w:lang w:val="en-US" w:eastAsia="zh-CN"/>
        </w:rPr>
        <w:t>0.03</w:t>
      </w:r>
      <w:r>
        <w:rPr>
          <w:rFonts w:hint="eastAsia" w:ascii="仿宋_GB2312"/>
          <w:bCs/>
          <w:highlight w:val="none"/>
        </w:rPr>
        <w:t>万元，</w:t>
      </w:r>
      <w:r>
        <w:rPr>
          <w:rFonts w:hint="eastAsia" w:ascii="仿宋_GB2312"/>
          <w:bCs/>
          <w:highlight w:val="none"/>
          <w:lang w:eastAsia="zh-CN"/>
        </w:rPr>
        <w:t>增长</w:t>
      </w:r>
      <w:r>
        <w:rPr>
          <w:rFonts w:hint="eastAsia" w:ascii="仿宋_GB2312"/>
          <w:bCs/>
          <w:highlight w:val="none"/>
          <w:lang w:val="en-US" w:eastAsia="zh-CN"/>
        </w:rPr>
        <w:t>42.86</w:t>
      </w:r>
      <w:r>
        <w:rPr>
          <w:rFonts w:hint="eastAsia" w:ascii="仿宋_GB2312"/>
          <w:bCs/>
          <w:highlight w:val="none"/>
        </w:rPr>
        <w:t>%，具体如下：</w:t>
      </w:r>
    </w:p>
    <w:p>
      <w:pPr>
        <w:tabs>
          <w:tab w:val="center" w:pos="4475"/>
        </w:tabs>
        <w:spacing w:line="560" w:lineRule="exact"/>
        <w:ind w:firstLine="645"/>
        <w:rPr>
          <w:rFonts w:hint="eastAsia" w:ascii="仿宋_GB2312" w:hAnsi="Arial" w:cs="Arial"/>
          <w:kern w:val="0"/>
          <w:highlight w:val="none"/>
        </w:rPr>
      </w:pPr>
      <w:r>
        <w:rPr>
          <w:rFonts w:hint="eastAsia" w:ascii="仿宋_GB2312"/>
          <w:highlight w:val="none"/>
        </w:rPr>
        <w:t>1.因公出国（境）费</w:t>
      </w:r>
      <w:r>
        <w:rPr>
          <w:rFonts w:hint="eastAsia" w:ascii="仿宋_GB2312" w:hAnsi="宋体"/>
          <w:szCs w:val="32"/>
          <w:highlight w:val="none"/>
          <w:lang w:eastAsia="zh-CN"/>
        </w:rPr>
        <w:t>2026年</w:t>
      </w:r>
      <w:r>
        <w:rPr>
          <w:rFonts w:hint="eastAsia" w:ascii="仿宋_GB2312" w:hAnsi="宋体"/>
          <w:szCs w:val="32"/>
          <w:highlight w:val="none"/>
        </w:rPr>
        <w:t>预算安排</w:t>
      </w:r>
      <w:r>
        <w:rPr>
          <w:rFonts w:hint="eastAsia" w:ascii="仿宋_GB2312" w:hAnsi="宋体"/>
          <w:szCs w:val="32"/>
          <w:highlight w:val="none"/>
          <w:lang w:val="en-US" w:eastAsia="zh-CN"/>
        </w:rPr>
        <w:t>0.00</w:t>
      </w:r>
      <w:r>
        <w:rPr>
          <w:rFonts w:hint="eastAsia" w:ascii="仿宋_GB2312" w:hAnsi="宋体"/>
          <w:szCs w:val="32"/>
          <w:highlight w:val="none"/>
        </w:rPr>
        <w:t>万元，比上年增加</w:t>
      </w:r>
      <w:r>
        <w:rPr>
          <w:rFonts w:hint="eastAsia" w:ascii="仿宋_GB2312" w:hAnsi="宋体"/>
          <w:szCs w:val="32"/>
          <w:highlight w:val="none"/>
          <w:lang w:val="en-US" w:eastAsia="zh-CN"/>
        </w:rPr>
        <w:t>0.00</w:t>
      </w:r>
      <w:r>
        <w:rPr>
          <w:rFonts w:hint="eastAsia" w:ascii="仿宋_GB2312" w:hAnsi="宋体"/>
          <w:szCs w:val="32"/>
          <w:highlight w:val="none"/>
        </w:rPr>
        <w:t>万元，增长</w:t>
      </w:r>
      <w:r>
        <w:rPr>
          <w:rFonts w:hint="eastAsia" w:ascii="仿宋_GB2312" w:hAnsi="宋体"/>
          <w:szCs w:val="32"/>
          <w:highlight w:val="none"/>
          <w:lang w:val="en-US" w:eastAsia="zh-CN"/>
        </w:rPr>
        <w:t>0.00</w:t>
      </w:r>
      <w:r>
        <w:rPr>
          <w:rFonts w:hint="eastAsia" w:ascii="仿宋_GB2312" w:hAnsi="宋体"/>
          <w:szCs w:val="32"/>
          <w:highlight w:val="none"/>
        </w:rPr>
        <w:t>%，</w:t>
      </w:r>
      <w:r>
        <w:rPr>
          <w:rFonts w:hint="eastAsia" w:ascii="仿宋_GB2312" w:hAnsi="Arial" w:cs="Arial"/>
          <w:kern w:val="0"/>
          <w:highlight w:val="none"/>
        </w:rPr>
        <w:t>增加的主要原因是</w:t>
      </w:r>
      <w:r>
        <w:rPr>
          <w:rFonts w:hint="eastAsia" w:ascii="仿宋_GB2312"/>
          <w:highlight w:val="none"/>
        </w:rPr>
        <w:t>因公出国（境）</w:t>
      </w:r>
      <w:r>
        <w:rPr>
          <w:rFonts w:hint="eastAsia" w:ascii="仿宋_GB2312" w:hAnsi="Arial" w:cs="Arial"/>
          <w:kern w:val="0"/>
          <w:highlight w:val="none"/>
        </w:rPr>
        <w:t>费</w:t>
      </w:r>
      <w:r>
        <w:rPr>
          <w:rFonts w:hint="eastAsia" w:ascii="仿宋_GB2312" w:hAnsi="Arial" w:cs="Arial"/>
          <w:kern w:val="0"/>
          <w:highlight w:val="none"/>
          <w:lang w:eastAsia="zh-CN"/>
        </w:rPr>
        <w:t>2026年</w:t>
      </w:r>
      <w:r>
        <w:rPr>
          <w:rFonts w:hint="eastAsia" w:ascii="仿宋_GB2312" w:hAnsi="Arial" w:cs="Arial"/>
          <w:kern w:val="0"/>
          <w:highlight w:val="none"/>
        </w:rPr>
        <w:t>预算安排</w:t>
      </w:r>
      <w:r>
        <w:rPr>
          <w:rFonts w:hint="eastAsia" w:ascii="仿宋_GB2312" w:hAnsi="Arial" w:cs="Arial"/>
          <w:kern w:val="0"/>
          <w:highlight w:val="none"/>
          <w:lang w:val="en-US" w:eastAsia="zh-CN"/>
        </w:rPr>
        <w:t>0.00</w:t>
      </w:r>
      <w:r>
        <w:rPr>
          <w:rFonts w:hint="eastAsia" w:ascii="仿宋_GB2312" w:hAnsi="Arial" w:cs="Arial"/>
          <w:kern w:val="0"/>
          <w:highlight w:val="none"/>
        </w:rPr>
        <w:t>万元，与上年持平。</w:t>
      </w:r>
    </w:p>
    <w:p>
      <w:pPr>
        <w:tabs>
          <w:tab w:val="center" w:pos="4475"/>
        </w:tabs>
        <w:spacing w:line="560" w:lineRule="exact"/>
        <w:ind w:firstLine="645"/>
        <w:rPr>
          <w:rFonts w:hint="eastAsia" w:ascii="仿宋_GB2312" w:hAnsi="Arial" w:cs="Arial"/>
          <w:kern w:val="0"/>
          <w:highlight w:val="none"/>
        </w:rPr>
      </w:pPr>
      <w:r>
        <w:rPr>
          <w:rFonts w:hint="eastAsia" w:ascii="仿宋_GB2312"/>
          <w:highlight w:val="none"/>
        </w:rPr>
        <w:t>2.公务接待费</w:t>
      </w:r>
      <w:r>
        <w:rPr>
          <w:rFonts w:hint="eastAsia" w:ascii="仿宋_GB2312" w:hAnsi="宋体"/>
          <w:szCs w:val="32"/>
          <w:highlight w:val="none"/>
          <w:lang w:eastAsia="zh-CN"/>
        </w:rPr>
        <w:t>2026年</w:t>
      </w:r>
      <w:r>
        <w:rPr>
          <w:rFonts w:hint="eastAsia" w:ascii="仿宋_GB2312" w:hAnsi="宋体"/>
          <w:szCs w:val="32"/>
          <w:highlight w:val="none"/>
        </w:rPr>
        <w:t>预算安排</w:t>
      </w:r>
      <w:r>
        <w:rPr>
          <w:rFonts w:hint="eastAsia" w:ascii="仿宋_GB2312" w:hAnsi="宋体"/>
          <w:szCs w:val="32"/>
          <w:highlight w:val="none"/>
          <w:lang w:val="en-US" w:eastAsia="zh-CN"/>
        </w:rPr>
        <w:t>0.10</w:t>
      </w:r>
      <w:r>
        <w:rPr>
          <w:rFonts w:hint="eastAsia" w:ascii="仿宋_GB2312" w:hAnsi="宋体"/>
          <w:szCs w:val="32"/>
          <w:highlight w:val="none"/>
        </w:rPr>
        <w:t>万元，比上年</w:t>
      </w:r>
      <w:r>
        <w:rPr>
          <w:rFonts w:hint="eastAsia" w:ascii="仿宋_GB2312"/>
          <w:bCs/>
          <w:highlight w:val="none"/>
          <w:lang w:eastAsia="zh-CN"/>
        </w:rPr>
        <w:t>增加</w:t>
      </w:r>
      <w:r>
        <w:rPr>
          <w:rFonts w:hint="eastAsia" w:ascii="仿宋_GB2312"/>
          <w:bCs/>
          <w:highlight w:val="none"/>
          <w:lang w:val="en-US" w:eastAsia="zh-CN"/>
        </w:rPr>
        <w:t>0.03</w:t>
      </w:r>
      <w:r>
        <w:rPr>
          <w:rFonts w:hint="eastAsia" w:ascii="仿宋_GB2312"/>
          <w:bCs/>
          <w:highlight w:val="none"/>
        </w:rPr>
        <w:t>万元，</w:t>
      </w:r>
      <w:r>
        <w:rPr>
          <w:rFonts w:hint="eastAsia" w:ascii="仿宋_GB2312"/>
          <w:bCs/>
          <w:highlight w:val="none"/>
          <w:lang w:eastAsia="zh-CN"/>
        </w:rPr>
        <w:t>增长</w:t>
      </w:r>
      <w:r>
        <w:rPr>
          <w:rFonts w:hint="eastAsia" w:ascii="仿宋_GB2312"/>
          <w:bCs/>
          <w:highlight w:val="none"/>
          <w:lang w:val="en-US" w:eastAsia="zh-CN"/>
        </w:rPr>
        <w:t>42.86</w:t>
      </w:r>
      <w:r>
        <w:rPr>
          <w:rFonts w:hint="eastAsia" w:ascii="仿宋_GB2312"/>
          <w:bCs/>
          <w:highlight w:val="none"/>
        </w:rPr>
        <w:t>%</w:t>
      </w:r>
      <w:r>
        <w:rPr>
          <w:rFonts w:hint="eastAsia" w:ascii="仿宋_GB2312" w:hAnsi="宋体"/>
          <w:szCs w:val="32"/>
          <w:highlight w:val="none"/>
        </w:rPr>
        <w:t>，</w:t>
      </w:r>
      <w:r>
        <w:rPr>
          <w:rFonts w:hint="eastAsia" w:ascii="仿宋_GB2312" w:hAnsi="Arial" w:cs="Arial"/>
          <w:kern w:val="0"/>
          <w:highlight w:val="none"/>
          <w:lang w:eastAsia="zh-CN"/>
        </w:rPr>
        <w:t>增加</w:t>
      </w:r>
      <w:r>
        <w:rPr>
          <w:rFonts w:hint="eastAsia" w:ascii="仿宋_GB2312" w:hAnsi="Arial" w:cs="Arial"/>
          <w:kern w:val="0"/>
          <w:highlight w:val="none"/>
        </w:rPr>
        <w:t>的主要原因是</w:t>
      </w:r>
      <w:r>
        <w:rPr>
          <w:rFonts w:hint="eastAsia" w:ascii="仿宋_GB2312"/>
          <w:sz w:val="32"/>
          <w:szCs w:val="32"/>
          <w:highlight w:val="none"/>
          <w:lang w:val="en-US" w:eastAsia="zh-CN"/>
        </w:rPr>
        <w:t>相比上年，本年度我单位增加1名在职在编人员。</w:t>
      </w:r>
    </w:p>
    <w:p>
      <w:pPr>
        <w:tabs>
          <w:tab w:val="center" w:pos="4475"/>
        </w:tabs>
        <w:spacing w:line="560" w:lineRule="exact"/>
        <w:ind w:firstLine="645"/>
        <w:rPr>
          <w:rFonts w:hint="eastAsia" w:ascii="仿宋_GB2312" w:hAnsi="宋体"/>
          <w:szCs w:val="32"/>
          <w:highlight w:val="none"/>
        </w:rPr>
      </w:pPr>
      <w:r>
        <w:rPr>
          <w:rFonts w:hint="eastAsia" w:ascii="仿宋_GB2312"/>
          <w:highlight w:val="none"/>
        </w:rPr>
        <w:t>3.公务用车购置及运行费</w:t>
      </w:r>
      <w:r>
        <w:rPr>
          <w:rFonts w:hint="eastAsia" w:ascii="仿宋_GB2312" w:hAnsi="宋体"/>
          <w:szCs w:val="32"/>
          <w:highlight w:val="none"/>
          <w:lang w:eastAsia="zh-CN"/>
        </w:rPr>
        <w:t>2026年</w:t>
      </w:r>
      <w:r>
        <w:rPr>
          <w:rFonts w:hint="eastAsia" w:ascii="仿宋_GB2312" w:hAnsi="宋体"/>
          <w:szCs w:val="32"/>
          <w:highlight w:val="none"/>
        </w:rPr>
        <w:t>预算安排</w:t>
      </w:r>
      <w:r>
        <w:rPr>
          <w:rFonts w:hint="eastAsia" w:ascii="仿宋_GB2312" w:hAnsi="宋体"/>
          <w:szCs w:val="32"/>
          <w:highlight w:val="none"/>
          <w:lang w:val="en-US" w:eastAsia="zh-CN"/>
        </w:rPr>
        <w:t>0.00</w:t>
      </w:r>
      <w:r>
        <w:rPr>
          <w:rFonts w:hint="eastAsia" w:ascii="仿宋_GB2312" w:hAnsi="宋体"/>
          <w:szCs w:val="32"/>
          <w:highlight w:val="none"/>
        </w:rPr>
        <w:t>万元，比上年增加</w:t>
      </w:r>
      <w:r>
        <w:rPr>
          <w:rFonts w:hint="eastAsia" w:ascii="仿宋_GB2312" w:hAnsi="宋体"/>
          <w:szCs w:val="32"/>
          <w:highlight w:val="none"/>
          <w:lang w:val="en-US" w:eastAsia="zh-CN"/>
        </w:rPr>
        <w:t>0.00</w:t>
      </w:r>
      <w:r>
        <w:rPr>
          <w:rFonts w:hint="eastAsia" w:ascii="仿宋_GB2312" w:hAnsi="宋体"/>
          <w:szCs w:val="32"/>
          <w:highlight w:val="none"/>
        </w:rPr>
        <w:t>万元，增长</w:t>
      </w:r>
      <w:r>
        <w:rPr>
          <w:rFonts w:hint="eastAsia" w:ascii="仿宋_GB2312" w:hAnsi="宋体"/>
          <w:szCs w:val="32"/>
          <w:highlight w:val="none"/>
          <w:lang w:val="en-US" w:eastAsia="zh-CN"/>
        </w:rPr>
        <w:t>0.00</w:t>
      </w:r>
      <w:r>
        <w:rPr>
          <w:rFonts w:hint="eastAsia" w:ascii="仿宋_GB2312" w:hAnsi="宋体"/>
          <w:szCs w:val="32"/>
          <w:highlight w:val="none"/>
        </w:rPr>
        <w:t>%，</w:t>
      </w:r>
      <w:r>
        <w:rPr>
          <w:rFonts w:hint="eastAsia" w:ascii="仿宋_GB2312" w:hAnsi="Arial" w:cs="Arial"/>
          <w:kern w:val="0"/>
          <w:highlight w:val="none"/>
        </w:rPr>
        <w:t>增加的主要原因是</w:t>
      </w:r>
      <w:r>
        <w:rPr>
          <w:rFonts w:hint="eastAsia" w:ascii="仿宋_GB2312"/>
          <w:highlight w:val="none"/>
        </w:rPr>
        <w:t>公务用车购置及运行</w:t>
      </w:r>
      <w:r>
        <w:rPr>
          <w:rFonts w:hint="eastAsia" w:ascii="仿宋_GB2312" w:hAnsi="Arial" w:cs="Arial"/>
          <w:kern w:val="0"/>
          <w:highlight w:val="none"/>
        </w:rPr>
        <w:t>费</w:t>
      </w:r>
      <w:r>
        <w:rPr>
          <w:rFonts w:hint="eastAsia" w:ascii="仿宋_GB2312" w:hAnsi="Arial" w:cs="Arial"/>
          <w:kern w:val="0"/>
          <w:highlight w:val="none"/>
          <w:lang w:eastAsia="zh-CN"/>
        </w:rPr>
        <w:t>2026年</w:t>
      </w:r>
      <w:r>
        <w:rPr>
          <w:rFonts w:hint="eastAsia" w:ascii="仿宋_GB2312" w:hAnsi="Arial" w:cs="Arial"/>
          <w:kern w:val="0"/>
          <w:highlight w:val="none"/>
        </w:rPr>
        <w:t>预算安排</w:t>
      </w:r>
      <w:r>
        <w:rPr>
          <w:rFonts w:hint="eastAsia" w:ascii="仿宋_GB2312" w:hAnsi="Arial" w:cs="Arial"/>
          <w:kern w:val="0"/>
          <w:highlight w:val="none"/>
          <w:lang w:val="en-US" w:eastAsia="zh-CN"/>
        </w:rPr>
        <w:t>0.00</w:t>
      </w:r>
      <w:r>
        <w:rPr>
          <w:rFonts w:hint="eastAsia" w:ascii="仿宋_GB2312" w:hAnsi="Arial" w:cs="Arial"/>
          <w:kern w:val="0"/>
          <w:highlight w:val="none"/>
        </w:rPr>
        <w:t>万元，与上年持平</w:t>
      </w:r>
      <w:r>
        <w:rPr>
          <w:rFonts w:hint="eastAsia" w:ascii="仿宋_GB2312" w:hAnsi="宋体"/>
          <w:szCs w:val="32"/>
          <w:highlight w:val="none"/>
          <w:lang w:eastAsia="zh-CN"/>
        </w:rPr>
        <w:t>，</w:t>
      </w:r>
      <w:r>
        <w:rPr>
          <w:rFonts w:hint="eastAsia" w:ascii="仿宋_GB2312" w:hAnsi="宋体"/>
          <w:szCs w:val="32"/>
          <w:highlight w:val="none"/>
        </w:rPr>
        <w:t>其中：</w:t>
      </w:r>
    </w:p>
    <w:p>
      <w:pPr>
        <w:tabs>
          <w:tab w:val="center" w:pos="4475"/>
        </w:tabs>
        <w:spacing w:line="560" w:lineRule="exact"/>
        <w:ind w:firstLine="645"/>
        <w:rPr>
          <w:rFonts w:hint="eastAsia" w:ascii="仿宋_GB2312" w:hAnsi="Arial" w:cs="Arial"/>
          <w:kern w:val="0"/>
          <w:highlight w:val="none"/>
        </w:rPr>
      </w:pPr>
      <w:r>
        <w:rPr>
          <w:rFonts w:hint="eastAsia" w:ascii="仿宋_GB2312" w:hAnsi="宋体"/>
          <w:szCs w:val="32"/>
          <w:highlight w:val="none"/>
        </w:rPr>
        <w:t>公务用车购置费</w:t>
      </w:r>
      <w:r>
        <w:rPr>
          <w:rFonts w:hint="eastAsia" w:ascii="仿宋_GB2312" w:hAnsi="宋体"/>
          <w:szCs w:val="32"/>
          <w:highlight w:val="none"/>
          <w:lang w:eastAsia="zh-CN"/>
        </w:rPr>
        <w:t>2026年</w:t>
      </w:r>
      <w:r>
        <w:rPr>
          <w:rFonts w:hint="eastAsia" w:ascii="仿宋_GB2312" w:hAnsi="宋体"/>
          <w:szCs w:val="32"/>
          <w:highlight w:val="none"/>
        </w:rPr>
        <w:t>预算安排</w:t>
      </w:r>
      <w:r>
        <w:rPr>
          <w:rFonts w:hint="eastAsia" w:ascii="仿宋_GB2312" w:hAnsi="宋体"/>
          <w:szCs w:val="32"/>
          <w:highlight w:val="none"/>
          <w:lang w:val="en-US" w:eastAsia="zh-CN"/>
        </w:rPr>
        <w:t>0.00</w:t>
      </w:r>
      <w:r>
        <w:rPr>
          <w:rFonts w:hint="eastAsia" w:ascii="仿宋_GB2312" w:hAnsi="宋体"/>
          <w:szCs w:val="32"/>
          <w:highlight w:val="none"/>
        </w:rPr>
        <w:t>万元，比上年增加</w:t>
      </w:r>
      <w:r>
        <w:rPr>
          <w:rFonts w:hint="eastAsia" w:ascii="仿宋_GB2312" w:hAnsi="宋体"/>
          <w:szCs w:val="32"/>
          <w:highlight w:val="none"/>
          <w:lang w:val="en-US" w:eastAsia="zh-CN"/>
        </w:rPr>
        <w:t>0.00</w:t>
      </w:r>
      <w:r>
        <w:rPr>
          <w:rFonts w:hint="eastAsia" w:ascii="仿宋_GB2312" w:hAnsi="宋体"/>
          <w:szCs w:val="32"/>
          <w:highlight w:val="none"/>
        </w:rPr>
        <w:t>万元，增长</w:t>
      </w:r>
      <w:r>
        <w:rPr>
          <w:rFonts w:hint="eastAsia" w:ascii="仿宋_GB2312" w:hAnsi="宋体"/>
          <w:szCs w:val="32"/>
          <w:highlight w:val="none"/>
          <w:lang w:val="en-US" w:eastAsia="zh-CN"/>
        </w:rPr>
        <w:t>0.00</w:t>
      </w:r>
      <w:r>
        <w:rPr>
          <w:rFonts w:hint="eastAsia" w:ascii="仿宋_GB2312" w:hAnsi="宋体"/>
          <w:szCs w:val="32"/>
          <w:highlight w:val="none"/>
        </w:rPr>
        <w:t>%，</w:t>
      </w:r>
      <w:r>
        <w:rPr>
          <w:rFonts w:hint="eastAsia" w:ascii="仿宋_GB2312" w:hAnsi="Arial" w:cs="Arial"/>
          <w:kern w:val="0"/>
          <w:highlight w:val="none"/>
        </w:rPr>
        <w:t>增加的主要原因是</w:t>
      </w:r>
      <w:r>
        <w:rPr>
          <w:rFonts w:hint="eastAsia" w:ascii="仿宋_GB2312"/>
          <w:highlight w:val="none"/>
        </w:rPr>
        <w:t>公务用车购置及运行</w:t>
      </w:r>
      <w:r>
        <w:rPr>
          <w:rFonts w:hint="eastAsia" w:ascii="仿宋_GB2312" w:hAnsi="Arial" w:cs="Arial"/>
          <w:kern w:val="0"/>
          <w:highlight w:val="none"/>
        </w:rPr>
        <w:t>费</w:t>
      </w:r>
      <w:r>
        <w:rPr>
          <w:rFonts w:hint="eastAsia" w:ascii="仿宋_GB2312" w:hAnsi="Arial" w:cs="Arial"/>
          <w:kern w:val="0"/>
          <w:highlight w:val="none"/>
          <w:lang w:eastAsia="zh-CN"/>
        </w:rPr>
        <w:t>2026年</w:t>
      </w:r>
      <w:r>
        <w:rPr>
          <w:rFonts w:hint="eastAsia" w:ascii="仿宋_GB2312" w:hAnsi="Arial" w:cs="Arial"/>
          <w:kern w:val="0"/>
          <w:highlight w:val="none"/>
        </w:rPr>
        <w:t>预算安排</w:t>
      </w:r>
      <w:r>
        <w:rPr>
          <w:rFonts w:hint="eastAsia" w:ascii="仿宋_GB2312" w:hAnsi="Arial" w:cs="Arial"/>
          <w:kern w:val="0"/>
          <w:highlight w:val="none"/>
          <w:lang w:val="en-US" w:eastAsia="zh-CN"/>
        </w:rPr>
        <w:t>0.00</w:t>
      </w:r>
      <w:r>
        <w:rPr>
          <w:rFonts w:hint="eastAsia" w:ascii="仿宋_GB2312" w:hAnsi="Arial" w:cs="Arial"/>
          <w:kern w:val="0"/>
          <w:highlight w:val="none"/>
        </w:rPr>
        <w:t>万元，与上年持平；</w:t>
      </w:r>
    </w:p>
    <w:p>
      <w:pPr>
        <w:tabs>
          <w:tab w:val="center" w:pos="4475"/>
        </w:tabs>
        <w:spacing w:line="560" w:lineRule="exact"/>
        <w:ind w:firstLine="645"/>
        <w:rPr>
          <w:rFonts w:hint="eastAsia" w:ascii="仿宋_GB2312" w:hAnsi="宋体"/>
          <w:szCs w:val="32"/>
          <w:highlight w:val="none"/>
        </w:rPr>
      </w:pPr>
      <w:r>
        <w:rPr>
          <w:rFonts w:hint="eastAsia" w:ascii="仿宋_GB2312" w:hAnsi="宋体"/>
          <w:szCs w:val="32"/>
          <w:highlight w:val="none"/>
        </w:rPr>
        <w:t>公务用车运行维护费</w:t>
      </w:r>
      <w:r>
        <w:rPr>
          <w:rFonts w:hint="eastAsia" w:ascii="仿宋_GB2312" w:hAnsi="宋体"/>
          <w:szCs w:val="32"/>
          <w:highlight w:val="none"/>
          <w:lang w:eastAsia="zh-CN"/>
        </w:rPr>
        <w:t>2026年</w:t>
      </w:r>
      <w:r>
        <w:rPr>
          <w:rFonts w:hint="eastAsia" w:ascii="仿宋_GB2312" w:hAnsi="宋体"/>
          <w:szCs w:val="32"/>
          <w:highlight w:val="none"/>
        </w:rPr>
        <w:t>预算安排</w:t>
      </w:r>
      <w:r>
        <w:rPr>
          <w:rFonts w:hint="eastAsia" w:ascii="仿宋_GB2312" w:hAnsi="宋体"/>
          <w:szCs w:val="32"/>
          <w:highlight w:val="none"/>
          <w:lang w:val="en-US" w:eastAsia="zh-CN"/>
        </w:rPr>
        <w:t>0.00</w:t>
      </w:r>
      <w:r>
        <w:rPr>
          <w:rFonts w:hint="eastAsia" w:ascii="仿宋_GB2312" w:hAnsi="宋体"/>
          <w:szCs w:val="32"/>
          <w:highlight w:val="none"/>
        </w:rPr>
        <w:t>万元，比上年增加</w:t>
      </w:r>
      <w:r>
        <w:rPr>
          <w:rFonts w:hint="eastAsia" w:ascii="仿宋_GB2312" w:hAnsi="宋体"/>
          <w:szCs w:val="32"/>
          <w:highlight w:val="none"/>
          <w:lang w:val="en-US" w:eastAsia="zh-CN"/>
        </w:rPr>
        <w:t>0.00</w:t>
      </w:r>
      <w:r>
        <w:rPr>
          <w:rFonts w:hint="eastAsia" w:ascii="仿宋_GB2312" w:hAnsi="宋体"/>
          <w:szCs w:val="32"/>
          <w:highlight w:val="none"/>
        </w:rPr>
        <w:t>万元，增长</w:t>
      </w:r>
      <w:r>
        <w:rPr>
          <w:rFonts w:hint="eastAsia" w:ascii="仿宋_GB2312" w:hAnsi="宋体"/>
          <w:szCs w:val="32"/>
          <w:highlight w:val="none"/>
          <w:lang w:val="en-US" w:eastAsia="zh-CN"/>
        </w:rPr>
        <w:t>0.00</w:t>
      </w:r>
      <w:r>
        <w:rPr>
          <w:rFonts w:hint="eastAsia" w:ascii="仿宋_GB2312" w:hAnsi="宋体"/>
          <w:szCs w:val="32"/>
          <w:highlight w:val="none"/>
        </w:rPr>
        <w:t>%，</w:t>
      </w:r>
      <w:r>
        <w:rPr>
          <w:rFonts w:hint="eastAsia" w:ascii="仿宋_GB2312" w:hAnsi="Arial" w:cs="Arial"/>
          <w:kern w:val="0"/>
          <w:highlight w:val="none"/>
        </w:rPr>
        <w:t>增加的主要原因是</w:t>
      </w:r>
      <w:r>
        <w:rPr>
          <w:rFonts w:hint="eastAsia" w:ascii="仿宋_GB2312" w:hAnsi="宋体"/>
          <w:szCs w:val="32"/>
          <w:highlight w:val="none"/>
        </w:rPr>
        <w:t>公务用车运行维护</w:t>
      </w:r>
      <w:r>
        <w:rPr>
          <w:rFonts w:hint="eastAsia" w:ascii="仿宋_GB2312" w:hAnsi="Arial" w:cs="Arial"/>
          <w:kern w:val="0"/>
          <w:highlight w:val="none"/>
        </w:rPr>
        <w:t>费</w:t>
      </w:r>
      <w:r>
        <w:rPr>
          <w:rFonts w:hint="eastAsia" w:ascii="仿宋_GB2312" w:hAnsi="Arial" w:cs="Arial"/>
          <w:kern w:val="0"/>
          <w:highlight w:val="none"/>
          <w:lang w:eastAsia="zh-CN"/>
        </w:rPr>
        <w:t>2026年</w:t>
      </w:r>
      <w:r>
        <w:rPr>
          <w:rFonts w:hint="eastAsia" w:ascii="仿宋_GB2312" w:hAnsi="Arial" w:cs="Arial"/>
          <w:kern w:val="0"/>
          <w:highlight w:val="none"/>
        </w:rPr>
        <w:t>预算安排</w:t>
      </w:r>
      <w:r>
        <w:rPr>
          <w:rFonts w:hint="eastAsia" w:ascii="仿宋_GB2312" w:hAnsi="Arial" w:cs="Arial"/>
          <w:kern w:val="0"/>
          <w:highlight w:val="none"/>
          <w:lang w:val="en-US" w:eastAsia="zh-CN"/>
        </w:rPr>
        <w:t>0.00</w:t>
      </w:r>
      <w:r>
        <w:rPr>
          <w:rFonts w:hint="eastAsia" w:ascii="仿宋_GB2312" w:hAnsi="Arial" w:cs="Arial"/>
          <w:kern w:val="0"/>
          <w:highlight w:val="none"/>
        </w:rPr>
        <w:t>万元，与上年持平。</w:t>
      </w:r>
    </w:p>
    <w:p>
      <w:pPr>
        <w:tabs>
          <w:tab w:val="center" w:pos="4475"/>
        </w:tabs>
        <w:spacing w:line="560" w:lineRule="exact"/>
        <w:ind w:firstLine="645"/>
        <w:rPr>
          <w:rFonts w:hint="eastAsia" w:ascii="黑体" w:eastAsia="黑体"/>
          <w:szCs w:val="32"/>
          <w:highlight w:val="none"/>
        </w:rPr>
      </w:pPr>
      <w:r>
        <w:rPr>
          <w:rFonts w:hint="eastAsia" w:ascii="黑体" w:eastAsia="黑体"/>
          <w:szCs w:val="32"/>
          <w:highlight w:val="none"/>
        </w:rPr>
        <w:t>八、政府性基金预算支出情况说明</w:t>
      </w:r>
    </w:p>
    <w:p>
      <w:pPr>
        <w:tabs>
          <w:tab w:val="center" w:pos="4475"/>
        </w:tabs>
        <w:spacing w:line="560" w:lineRule="exact"/>
        <w:ind w:firstLine="645"/>
        <w:rPr>
          <w:rFonts w:hint="eastAsia" w:ascii="仿宋_GB2312"/>
          <w:szCs w:val="32"/>
          <w:highlight w:val="none"/>
          <w:lang w:eastAsia="zh-CN"/>
        </w:rPr>
      </w:pPr>
      <w:r>
        <w:rPr>
          <w:rFonts w:hint="eastAsia" w:ascii="仿宋_GB2312"/>
          <w:sz w:val="32"/>
          <w:szCs w:val="32"/>
          <w:highlight w:val="none"/>
          <w:lang w:eastAsia="zh-CN"/>
        </w:rPr>
        <w:t>我单位</w:t>
      </w:r>
      <w:r>
        <w:rPr>
          <w:rFonts w:hint="eastAsia" w:ascii="仿宋_GB2312"/>
          <w:szCs w:val="32"/>
          <w:highlight w:val="none"/>
        </w:rPr>
        <w:t>政府性基金预算支出</w:t>
      </w:r>
      <w:r>
        <w:rPr>
          <w:rFonts w:hint="eastAsia" w:ascii="仿宋_GB2312" w:eastAsia="仿宋_GB2312"/>
          <w:sz w:val="32"/>
          <w:szCs w:val="32"/>
          <w:highlight w:val="none"/>
          <w:lang w:eastAsia="zh-CN"/>
        </w:rPr>
        <w:t>共</w:t>
      </w:r>
      <w:r>
        <w:rPr>
          <w:rFonts w:hint="eastAsia" w:ascii="仿宋_GB2312"/>
          <w:sz w:val="32"/>
          <w:szCs w:val="32"/>
          <w:highlight w:val="none"/>
          <w:lang w:val="en-US" w:eastAsia="zh-CN"/>
        </w:rPr>
        <w:t>0.00</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highlight w:val="none"/>
          <w:lang w:val="en-US" w:eastAsia="zh-CN"/>
        </w:rPr>
        <w:t>0.00%，主要原因是我单位2026年单位预算无政府性基金预算</w:t>
      </w:r>
      <w:r>
        <w:rPr>
          <w:rFonts w:hint="eastAsia" w:ascii="仿宋_GB2312"/>
          <w:szCs w:val="32"/>
          <w:highlight w:val="none"/>
          <w:lang w:eastAsia="zh-CN"/>
        </w:rPr>
        <w:t>。</w:t>
      </w:r>
    </w:p>
    <w:p>
      <w:pPr>
        <w:tabs>
          <w:tab w:val="center" w:pos="4475"/>
        </w:tabs>
        <w:spacing w:line="560" w:lineRule="exact"/>
        <w:ind w:firstLine="645"/>
        <w:rPr>
          <w:rFonts w:hint="eastAsia" w:ascii="黑体" w:eastAsia="黑体"/>
          <w:szCs w:val="32"/>
          <w:highlight w:val="none"/>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pPr>
        <w:tabs>
          <w:tab w:val="center" w:pos="4475"/>
        </w:tabs>
        <w:spacing w:line="560" w:lineRule="exact"/>
        <w:ind w:firstLine="645"/>
        <w:rPr>
          <w:rFonts w:hint="eastAsia" w:ascii="仿宋_GB2312"/>
          <w:szCs w:val="32"/>
          <w:highlight w:val="none"/>
          <w:lang w:eastAsia="zh-CN"/>
        </w:rPr>
      </w:pPr>
      <w:r>
        <w:rPr>
          <w:rFonts w:hint="eastAsia" w:ascii="仿宋_GB2312"/>
          <w:sz w:val="32"/>
          <w:szCs w:val="32"/>
          <w:highlight w:val="none"/>
          <w:lang w:eastAsia="zh-CN"/>
        </w:rPr>
        <w:t>我单位</w:t>
      </w:r>
      <w:r>
        <w:rPr>
          <w:rFonts w:hint="eastAsia" w:ascii="仿宋_GB2312"/>
          <w:szCs w:val="32"/>
          <w:highlight w:val="none"/>
        </w:rPr>
        <w:t>国有资本经营预算支出</w:t>
      </w:r>
      <w:r>
        <w:rPr>
          <w:rFonts w:hint="eastAsia" w:ascii="仿宋_GB2312" w:eastAsia="仿宋_GB2312"/>
          <w:sz w:val="32"/>
          <w:szCs w:val="32"/>
          <w:highlight w:val="none"/>
          <w:lang w:eastAsia="zh-CN"/>
        </w:rPr>
        <w:t>共</w:t>
      </w:r>
      <w:r>
        <w:rPr>
          <w:rFonts w:hint="eastAsia" w:ascii="仿宋_GB2312"/>
          <w:sz w:val="32"/>
          <w:szCs w:val="32"/>
          <w:highlight w:val="none"/>
          <w:lang w:val="en-US" w:eastAsia="zh-CN"/>
        </w:rPr>
        <w:t>0.00</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highlight w:val="none"/>
          <w:lang w:val="en-US" w:eastAsia="zh-CN"/>
        </w:rPr>
        <w:t>0.00%，主要原因是我单位2026年单位预算无国有资本经营预算</w:t>
      </w:r>
      <w:r>
        <w:rPr>
          <w:rFonts w:hint="eastAsia" w:ascii="仿宋_GB2312"/>
          <w:szCs w:val="32"/>
          <w:highlight w:val="none"/>
          <w:lang w:eastAsia="zh-CN"/>
        </w:rPr>
        <w:t>。</w:t>
      </w:r>
    </w:p>
    <w:p>
      <w:pPr>
        <w:tabs>
          <w:tab w:val="center" w:pos="4475"/>
        </w:tabs>
        <w:spacing w:line="560" w:lineRule="exact"/>
        <w:ind w:firstLine="645"/>
        <w:rPr>
          <w:rFonts w:hint="eastAsia" w:ascii="黑体" w:eastAsia="黑体"/>
          <w:szCs w:val="32"/>
          <w:highlight w:val="none"/>
        </w:rPr>
      </w:pPr>
      <w:r>
        <w:rPr>
          <w:rFonts w:hint="eastAsia" w:ascii="黑体" w:eastAsia="黑体"/>
          <w:szCs w:val="32"/>
          <w:highlight w:val="none"/>
          <w:lang w:eastAsia="zh-CN"/>
        </w:rPr>
        <w:t>十</w:t>
      </w:r>
      <w:r>
        <w:rPr>
          <w:rFonts w:hint="eastAsia" w:ascii="黑体" w:eastAsia="黑体"/>
          <w:szCs w:val="32"/>
          <w:highlight w:val="none"/>
        </w:rPr>
        <w:t>、其他重要事项情况说明</w:t>
      </w:r>
    </w:p>
    <w:p>
      <w:pPr>
        <w:pStyle w:val="9"/>
        <w:ind w:left="0" w:leftChars="0" w:firstLine="640" w:firstLineChars="0"/>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（一）</w:t>
      </w:r>
      <w:r>
        <w:rPr>
          <w:rFonts w:hint="eastAsia" w:ascii="楷体_GB2312" w:hAnsi="楷体_GB2312" w:eastAsia="楷体_GB2312" w:cs="楷体_GB2312"/>
          <w:szCs w:val="32"/>
          <w:highlight w:val="none"/>
          <w:lang w:eastAsia="zh-CN"/>
        </w:rPr>
        <w:t>单位</w:t>
      </w:r>
      <w:r>
        <w:rPr>
          <w:rFonts w:hint="eastAsia" w:ascii="楷体_GB2312" w:hAnsi="楷体_GB2312" w:eastAsia="楷体_GB2312" w:cs="楷体_GB2312"/>
          <w:szCs w:val="32"/>
          <w:highlight w:val="none"/>
        </w:rPr>
        <w:t>运行经费安排情况说明</w:t>
      </w:r>
    </w:p>
    <w:p>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机关</w:t>
      </w:r>
      <w:r>
        <w:rPr>
          <w:rFonts w:hint="eastAsia" w:ascii="仿宋_GB2312" w:hAnsi="宋体" w:cs="Times New Roman"/>
          <w:szCs w:val="32"/>
          <w:highlight w:val="none"/>
          <w:lang w:eastAsia="zh-CN"/>
        </w:rPr>
        <w:t>运行经费主要包括办公费、印刷费、水电费、邮电费、邮电费、差旅费、维修（护）费、会议费、培训费、公务接待费、其他商品和服务支出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2026年机关运行经费预算11.27万元，较上年增加2.95</w:t>
      </w:r>
      <w:r>
        <w:rPr>
          <w:rFonts w:hint="eastAsia" w:ascii="仿宋_GB2312"/>
          <w:sz w:val="32"/>
          <w:szCs w:val="32"/>
          <w:highlight w:val="none"/>
          <w:lang w:val="en" w:eastAsia="zh-CN"/>
        </w:rPr>
        <w:t>万元，增长</w:t>
      </w:r>
      <w:r>
        <w:rPr>
          <w:rFonts w:hint="eastAsia" w:ascii="仿宋_GB2312"/>
          <w:sz w:val="32"/>
          <w:szCs w:val="32"/>
          <w:highlight w:val="none"/>
          <w:lang w:val="en-US" w:eastAsia="zh-CN"/>
        </w:rPr>
        <w:t>35.46%，增加的主要原因是本年度增加1名在职在编人员，</w:t>
      </w:r>
      <w:r>
        <w:rPr>
          <w:rFonts w:hint="eastAsia" w:ascii="仿宋_GB2312" w:hAnsi="宋体" w:cs="Times New Roman"/>
          <w:szCs w:val="32"/>
          <w:highlight w:val="none"/>
          <w:lang w:val="en-US" w:eastAsia="zh-CN"/>
        </w:rPr>
        <w:t>机关</w:t>
      </w:r>
      <w:r>
        <w:rPr>
          <w:rFonts w:hint="eastAsia" w:ascii="仿宋_GB2312" w:hAnsi="宋体" w:cs="Times New Roman"/>
          <w:szCs w:val="32"/>
          <w:highlight w:val="none"/>
          <w:lang w:eastAsia="zh-CN"/>
        </w:rPr>
        <w:t>运行经费相应增加</w:t>
      </w:r>
      <w:r>
        <w:rPr>
          <w:rFonts w:hint="eastAsia" w:ascii="仿宋_GB2312"/>
          <w:sz w:val="32"/>
          <w:szCs w:val="32"/>
          <w:highlight w:val="none"/>
          <w:lang w:val="en-US" w:eastAsia="zh-CN"/>
        </w:rPr>
        <w:t>。</w:t>
      </w:r>
    </w:p>
    <w:p>
      <w:pPr>
        <w:tabs>
          <w:tab w:val="center" w:pos="4475"/>
        </w:tabs>
        <w:spacing w:line="560" w:lineRule="exact"/>
        <w:ind w:firstLine="645"/>
        <w:rPr>
          <w:rFonts w:hint="eastAsia" w:ascii="楷体_GB2312" w:hAnsi="楷体_GB2312" w:eastAsia="楷体_GB2312" w:cs="楷体_GB2312"/>
          <w:kern w:val="0"/>
          <w:highlight w:val="none"/>
        </w:rPr>
      </w:pPr>
      <w:r>
        <w:rPr>
          <w:rFonts w:hint="eastAsia" w:ascii="楷体_GB2312" w:hAnsi="楷体_GB2312" w:eastAsia="楷体_GB2312" w:cs="楷体_GB2312"/>
          <w:szCs w:val="32"/>
          <w:highlight w:val="none"/>
        </w:rPr>
        <w:t>（二）</w:t>
      </w:r>
      <w:r>
        <w:rPr>
          <w:rFonts w:hint="eastAsia" w:ascii="楷体_GB2312" w:hAnsi="楷体_GB2312" w:eastAsia="楷体_GB2312" w:cs="楷体_GB2312"/>
          <w:kern w:val="0"/>
          <w:highlight w:val="none"/>
        </w:rPr>
        <w:t>政府采购预算安排情况说明</w:t>
      </w:r>
    </w:p>
    <w:p>
      <w:pPr>
        <w:ind w:firstLine="640"/>
        <w:rPr>
          <w:rFonts w:hint="eastAsia" w:ascii="仿宋_GB2312" w:hAnsi="宋体"/>
          <w:szCs w:val="32"/>
          <w:highlight w:val="none"/>
          <w:lang w:val="en-US" w:eastAsia="zh-CN"/>
        </w:rPr>
      </w:pPr>
      <w:r>
        <w:rPr>
          <w:rFonts w:hint="eastAsia" w:ascii="仿宋_GB2312" w:hAnsi="宋体"/>
          <w:szCs w:val="32"/>
          <w:highlight w:val="none"/>
        </w:rPr>
        <w:t>我</w:t>
      </w:r>
      <w:r>
        <w:rPr>
          <w:rFonts w:hint="eastAsia" w:ascii="仿宋_GB2312" w:hAnsi="宋体"/>
          <w:szCs w:val="32"/>
          <w:highlight w:val="none"/>
          <w:lang w:eastAsia="zh-CN"/>
        </w:rPr>
        <w:t>单位2026年</w:t>
      </w:r>
      <w:r>
        <w:rPr>
          <w:rFonts w:hint="eastAsia" w:ascii="仿宋_GB2312" w:hAnsi="宋体"/>
          <w:szCs w:val="32"/>
          <w:highlight w:val="none"/>
        </w:rPr>
        <w:t>政府采购预算总金额</w:t>
      </w:r>
      <w:r>
        <w:rPr>
          <w:rFonts w:hint="eastAsia" w:ascii="仿宋_GB2312" w:hAnsi="宋体"/>
          <w:szCs w:val="32"/>
          <w:highlight w:val="none"/>
          <w:lang w:val="en-US" w:eastAsia="zh-CN"/>
        </w:rPr>
        <w:t>1.10</w:t>
      </w:r>
      <w:r>
        <w:rPr>
          <w:rFonts w:hint="eastAsia" w:ascii="仿宋_GB2312" w:hAnsi="宋体"/>
          <w:szCs w:val="32"/>
          <w:highlight w:val="none"/>
        </w:rPr>
        <w:t>万元。其中：货物类采购</w:t>
      </w:r>
      <w:r>
        <w:rPr>
          <w:rFonts w:hint="eastAsia" w:ascii="仿宋_GB2312" w:hAnsi="宋体"/>
          <w:szCs w:val="32"/>
          <w:highlight w:val="none"/>
          <w:lang w:val="en-US" w:eastAsia="zh-CN"/>
        </w:rPr>
        <w:t>1.10</w:t>
      </w:r>
      <w:r>
        <w:rPr>
          <w:rFonts w:hint="eastAsia" w:ascii="仿宋_GB2312" w:hAnsi="宋体"/>
          <w:szCs w:val="32"/>
          <w:highlight w:val="none"/>
        </w:rPr>
        <w:t>万元、工程类采购</w:t>
      </w:r>
      <w:r>
        <w:rPr>
          <w:rFonts w:hint="eastAsia" w:ascii="仿宋_GB2312" w:hAnsi="宋体"/>
          <w:szCs w:val="32"/>
          <w:highlight w:val="none"/>
          <w:lang w:val="en-US" w:eastAsia="zh-CN"/>
        </w:rPr>
        <w:t>0.00</w:t>
      </w:r>
      <w:r>
        <w:rPr>
          <w:rFonts w:hint="eastAsia" w:ascii="仿宋_GB2312" w:hAnsi="宋体"/>
          <w:szCs w:val="32"/>
          <w:highlight w:val="none"/>
        </w:rPr>
        <w:t>万元、服务类采购</w:t>
      </w:r>
      <w:r>
        <w:rPr>
          <w:rFonts w:hint="eastAsia" w:ascii="仿宋_GB2312" w:hAnsi="宋体"/>
          <w:szCs w:val="32"/>
          <w:highlight w:val="none"/>
          <w:lang w:val="en-US" w:eastAsia="zh-CN"/>
        </w:rPr>
        <w:t>0.00</w:t>
      </w:r>
      <w:r>
        <w:rPr>
          <w:rFonts w:hint="eastAsia" w:ascii="仿宋_GB2312" w:hAnsi="宋体"/>
          <w:szCs w:val="32"/>
          <w:highlight w:val="none"/>
        </w:rPr>
        <w:t>万元。</w:t>
      </w:r>
      <w:r>
        <w:rPr>
          <w:rFonts w:hint="eastAsia" w:ascii="仿宋_GB2312" w:hAnsi="宋体"/>
          <w:szCs w:val="32"/>
          <w:highlight w:val="none"/>
          <w:lang w:eastAsia="zh-CN"/>
        </w:rPr>
        <w:t>其中：货物类采购主要购买办公使用复印纸</w:t>
      </w:r>
      <w:r>
        <w:rPr>
          <w:rFonts w:hint="eastAsia" w:ascii="仿宋_GB2312" w:hAnsi="宋体"/>
          <w:szCs w:val="32"/>
          <w:highlight w:val="none"/>
          <w:lang w:val="en-US" w:eastAsia="zh-CN"/>
        </w:rPr>
        <w:t>。</w:t>
      </w:r>
    </w:p>
    <w:p>
      <w:pPr>
        <w:tabs>
          <w:tab w:val="center" w:pos="4475"/>
        </w:tabs>
        <w:spacing w:line="560" w:lineRule="exact"/>
        <w:ind w:firstLine="645"/>
        <w:rPr>
          <w:rFonts w:hint="eastAsia" w:ascii="楷体_GB2312" w:hAnsi="楷体_GB2312" w:eastAsia="楷体_GB2312" w:cs="楷体_GB2312"/>
          <w:szCs w:val="32"/>
          <w:highlight w:val="none"/>
          <w:lang w:eastAsia="zh-CN"/>
        </w:rPr>
      </w:pPr>
      <w:r>
        <w:rPr>
          <w:rFonts w:hint="eastAsia" w:ascii="楷体_GB2312" w:hAnsi="楷体_GB2312" w:eastAsia="楷体_GB2312" w:cs="楷体_GB2312"/>
          <w:szCs w:val="32"/>
          <w:highlight w:val="none"/>
          <w:lang w:eastAsia="zh-CN"/>
        </w:rPr>
        <w:t>（三）政府购买服务情况说明</w:t>
      </w:r>
    </w:p>
    <w:p>
      <w:pPr>
        <w:numPr>
          <w:ilvl w:val="0"/>
          <w:numId w:val="0"/>
        </w:numPr>
        <w:spacing w:line="460" w:lineRule="exact"/>
        <w:ind w:firstLine="640" w:firstLineChars="200"/>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w:t>
      </w:r>
      <w:r>
        <w:rPr>
          <w:rFonts w:hint="eastAsia" w:ascii="仿宋_GB2312"/>
          <w:sz w:val="32"/>
          <w:szCs w:val="32"/>
          <w:highlight w:val="none"/>
          <w:lang w:eastAsia="zh-CN"/>
        </w:rPr>
        <w:t>加</w:t>
      </w:r>
      <w:r>
        <w:rPr>
          <w:rFonts w:hint="eastAsia" w:ascii="仿宋_GB2312"/>
          <w:sz w:val="32"/>
          <w:szCs w:val="32"/>
          <w:highlight w:val="none"/>
          <w:lang w:val="en-US" w:eastAsia="zh-CN"/>
        </w:rPr>
        <w:t>0.00</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0.00</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highlight w:val="none"/>
          <w:lang w:val="en-US" w:eastAsia="zh-CN"/>
        </w:rPr>
        <w:t>本年度我单位无政府购买服务预算安排</w:t>
      </w:r>
      <w:r>
        <w:rPr>
          <w:rFonts w:hint="eastAsia" w:ascii="仿宋_GB2312" w:eastAsia="仿宋_GB2312"/>
          <w:sz w:val="32"/>
          <w:szCs w:val="32"/>
          <w:highlight w:val="none"/>
        </w:rPr>
        <w:t>。</w:t>
      </w:r>
    </w:p>
    <w:p>
      <w:pPr>
        <w:tabs>
          <w:tab w:val="center" w:pos="4475"/>
        </w:tabs>
        <w:spacing w:line="560" w:lineRule="exact"/>
        <w:ind w:firstLine="645"/>
        <w:rPr>
          <w:rFonts w:hint="eastAsia" w:ascii="楷体_GB2312" w:hAnsi="楷体_GB2312" w:eastAsia="楷体_GB2312" w:cs="楷体_GB2312"/>
          <w:kern w:val="0"/>
          <w:highlight w:val="none"/>
        </w:rPr>
      </w:pPr>
      <w:r>
        <w:rPr>
          <w:rFonts w:hint="eastAsia" w:ascii="楷体_GB2312" w:hAnsi="楷体_GB2312" w:eastAsia="楷体_GB2312" w:cs="楷体_GB2312"/>
          <w:kern w:val="0"/>
          <w:highlight w:val="none"/>
        </w:rPr>
        <w:t>（</w:t>
      </w:r>
      <w:r>
        <w:rPr>
          <w:rFonts w:hint="eastAsia" w:ascii="楷体_GB2312" w:hAnsi="楷体_GB2312" w:eastAsia="楷体_GB2312" w:cs="楷体_GB2312"/>
          <w:kern w:val="0"/>
          <w:highlight w:val="none"/>
          <w:lang w:eastAsia="zh-CN"/>
        </w:rPr>
        <w:t>四</w:t>
      </w:r>
      <w:r>
        <w:rPr>
          <w:rFonts w:hint="eastAsia" w:ascii="楷体_GB2312" w:hAnsi="楷体_GB2312" w:eastAsia="楷体_GB2312" w:cs="楷体_GB2312"/>
          <w:kern w:val="0"/>
          <w:highlight w:val="none"/>
        </w:rPr>
        <w:t>）国有资产占用情况说明</w:t>
      </w:r>
    </w:p>
    <w:p>
      <w:pPr>
        <w:numPr>
          <w:ilvl w:val="0"/>
          <w:numId w:val="0"/>
        </w:numPr>
        <w:tabs>
          <w:tab w:val="center" w:pos="4475"/>
        </w:tabs>
        <w:spacing w:line="560" w:lineRule="exact"/>
        <w:ind w:firstLine="640" w:firstLineChars="200"/>
        <w:rPr>
          <w:rFonts w:hint="eastAsia" w:ascii="楷体_GB2312" w:hAnsi="楷体_GB2312" w:eastAsia="仿宋_GB2312" w:cs="楷体_GB2312"/>
          <w:b w:val="0"/>
          <w:bCs w:val="0"/>
          <w:kern w:val="0"/>
          <w:highlight w:val="none"/>
          <w:u w:val="none"/>
          <w:lang w:eastAsia="zh-CN"/>
        </w:rPr>
      </w:pPr>
      <w:r>
        <w:rPr>
          <w:rFonts w:hint="eastAsia" w:ascii="仿宋_GB2312" w:hAnsi="宋体"/>
          <w:b w:val="0"/>
          <w:bCs w:val="0"/>
          <w:szCs w:val="32"/>
          <w:highlight w:val="none"/>
          <w:u w:val="none"/>
        </w:rPr>
        <w:t>我</w:t>
      </w:r>
      <w:r>
        <w:rPr>
          <w:rFonts w:hint="eastAsia" w:ascii="仿宋_GB2312" w:hAnsi="宋体"/>
          <w:b w:val="0"/>
          <w:bCs w:val="0"/>
          <w:szCs w:val="32"/>
          <w:highlight w:val="none"/>
          <w:u w:val="none"/>
          <w:lang w:eastAsia="zh-CN"/>
        </w:rPr>
        <w:t>单位2026年没有</w:t>
      </w:r>
      <w:r>
        <w:rPr>
          <w:rFonts w:hint="eastAsia" w:ascii="仿宋_GB2312" w:hAnsi="宋体"/>
          <w:b w:val="0"/>
          <w:bCs w:val="0"/>
          <w:szCs w:val="32"/>
          <w:highlight w:val="none"/>
          <w:u w:val="none"/>
        </w:rPr>
        <w:t>国有资产占用相关情况</w:t>
      </w:r>
      <w:r>
        <w:rPr>
          <w:rFonts w:hint="eastAsia" w:ascii="仿宋_GB2312" w:hAnsi="宋体"/>
          <w:b w:val="0"/>
          <w:bCs w:val="0"/>
          <w:szCs w:val="32"/>
          <w:highlight w:val="none"/>
          <w:u w:val="none"/>
          <w:lang w:eastAsia="zh-CN"/>
        </w:rPr>
        <w:t>。</w:t>
      </w:r>
    </w:p>
    <w:p>
      <w:pPr>
        <w:tabs>
          <w:tab w:val="center" w:pos="4475"/>
        </w:tabs>
        <w:spacing w:line="560" w:lineRule="exact"/>
        <w:ind w:firstLine="645"/>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w:t>
      </w:r>
      <w:r>
        <w:rPr>
          <w:rFonts w:hint="eastAsia" w:ascii="楷体_GB2312" w:hAnsi="楷体_GB2312" w:eastAsia="楷体_GB2312" w:cs="楷体_GB2312"/>
          <w:szCs w:val="32"/>
          <w:highlight w:val="none"/>
          <w:lang w:eastAsia="zh-CN"/>
        </w:rPr>
        <w:t>五</w:t>
      </w:r>
      <w:r>
        <w:rPr>
          <w:rFonts w:hint="eastAsia" w:ascii="楷体_GB2312" w:hAnsi="楷体_GB2312" w:eastAsia="楷体_GB2312" w:cs="楷体_GB2312"/>
          <w:szCs w:val="32"/>
          <w:highlight w:val="none"/>
        </w:rPr>
        <w:t>）预算绩效目标情况说明</w:t>
      </w:r>
    </w:p>
    <w:p>
      <w:pPr>
        <w:tabs>
          <w:tab w:val="center" w:pos="4475"/>
        </w:tabs>
        <w:spacing w:line="560" w:lineRule="exact"/>
        <w:ind w:firstLine="645"/>
        <w:rPr>
          <w:rFonts w:hint="eastAsia" w:ascii="仿宋_GB2312"/>
          <w:sz w:val="32"/>
          <w:szCs w:val="32"/>
          <w:highlight w:val="none"/>
          <w:lang w:val="en-US" w:eastAsia="zh-CN"/>
        </w:rPr>
      </w:pPr>
      <w:r>
        <w:rPr>
          <w:rFonts w:hint="eastAsia" w:ascii="仿宋_GB2312" w:eastAsia="仿宋_GB2312"/>
          <w:sz w:val="32"/>
          <w:szCs w:val="32"/>
          <w:highlight w:val="none"/>
          <w:lang w:eastAsia="zh-CN"/>
        </w:rPr>
        <w:t>我单位</w:t>
      </w:r>
      <w:r>
        <w:rPr>
          <w:rFonts w:hint="eastAsia" w:ascii="仿宋_GB2312"/>
          <w:sz w:val="32"/>
          <w:szCs w:val="32"/>
          <w:highlight w:val="none"/>
          <w:lang w:val="en-US" w:eastAsia="zh-CN"/>
        </w:rPr>
        <w:t>2026年</w:t>
      </w:r>
      <w:r>
        <w:rPr>
          <w:rFonts w:hint="eastAsia" w:ascii="仿宋_GB2312" w:eastAsia="仿宋_GB2312"/>
          <w:sz w:val="32"/>
          <w:szCs w:val="32"/>
          <w:highlight w:val="none"/>
          <w:lang w:val="en-US" w:eastAsia="zh-CN"/>
        </w:rPr>
        <w:t>预算绩效目标统一由局本级管理，由局本级统一公开说明</w:t>
      </w:r>
      <w:r>
        <w:rPr>
          <w:rFonts w:hint="eastAsia" w:ascii="仿宋_GB2312"/>
          <w:sz w:val="32"/>
          <w:szCs w:val="32"/>
          <w:highlight w:val="none"/>
          <w:lang w:val="en-US" w:eastAsia="zh-CN"/>
        </w:rPr>
        <w:t>。</w:t>
      </w:r>
    </w:p>
    <w:p>
      <w:pPr>
        <w:rPr>
          <w:rFonts w:hint="eastAsia" w:ascii="仿宋_GB2312"/>
          <w:sz w:val="32"/>
          <w:szCs w:val="32"/>
          <w:highlight w:val="none"/>
          <w:lang w:val="en-US" w:eastAsia="zh-CN"/>
        </w:rPr>
      </w:pPr>
      <w:r>
        <w:rPr>
          <w:rFonts w:hint="eastAsia" w:ascii="仿宋_GB2312"/>
          <w:sz w:val="32"/>
          <w:szCs w:val="32"/>
          <w:highlight w:val="none"/>
          <w:lang w:val="en-US" w:eastAsia="zh-CN"/>
        </w:rPr>
        <w:br w:type="page"/>
      </w:r>
    </w:p>
    <w:p>
      <w:pPr>
        <w:tabs>
          <w:tab w:val="center" w:pos="4475"/>
        </w:tabs>
        <w:spacing w:line="560" w:lineRule="exact"/>
        <w:ind w:firstLine="645"/>
        <w:rPr>
          <w:rFonts w:hint="eastAsia" w:ascii="黑体" w:eastAsia="黑体"/>
          <w:szCs w:val="32"/>
          <w:highlight w:val="none"/>
        </w:rPr>
      </w:pPr>
      <w:r>
        <w:rPr>
          <w:rFonts w:hint="eastAsia" w:ascii="黑体" w:eastAsia="黑体"/>
          <w:szCs w:val="32"/>
          <w:highlight w:val="none"/>
        </w:rPr>
        <w:t>第三部分：名词解释</w:t>
      </w:r>
    </w:p>
    <w:p>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w:t>
      </w:r>
      <w:r>
        <w:rPr>
          <w:rFonts w:hint="eastAsia" w:ascii="仿宋_GB2312"/>
          <w:sz w:val="32"/>
          <w:szCs w:val="32"/>
          <w:highlight w:val="none"/>
          <w:lang w:eastAsia="zh-CN"/>
        </w:rPr>
        <w:t>消防事务</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pPr>
        <w:ind w:firstLine="862" w:firstLineChars="196"/>
        <w:rPr>
          <w:rFonts w:ascii="仿宋_GB2312" w:hAnsi="宋体" w:eastAsia="仿宋_GB2312"/>
          <w:bCs/>
          <w:sz w:val="44"/>
          <w:szCs w:val="44"/>
          <w:highlight w:val="none"/>
        </w:rPr>
      </w:pPr>
    </w:p>
    <w:p>
      <w:pPr>
        <w:adjustRightInd w:val="0"/>
        <w:snapToGrid w:val="0"/>
        <w:spacing w:line="560" w:lineRule="exact"/>
        <w:ind w:right="-333" w:rightChars="-104" w:firstLine="640" w:firstLineChars="200"/>
        <w:rPr>
          <w:rFonts w:hint="eastAsia" w:ascii="黑体" w:hAnsi="宋体" w:eastAsia="黑体"/>
          <w:szCs w:val="32"/>
          <w:highlight w:val="none"/>
          <w:lang w:eastAsia="zh-CN"/>
        </w:rPr>
      </w:pPr>
    </w:p>
    <w:p>
      <w:pPr>
        <w:adjustRightInd w:val="0"/>
        <w:snapToGrid w:val="0"/>
        <w:spacing w:line="560" w:lineRule="exact"/>
        <w:ind w:right="-333" w:rightChars="-104" w:firstLine="640" w:firstLineChars="200"/>
        <w:rPr>
          <w:rFonts w:hint="eastAsia" w:ascii="黑体" w:hAnsi="宋体" w:eastAsia="黑体"/>
          <w:szCs w:val="32"/>
          <w:highlight w:val="none"/>
          <w:lang w:eastAsia="zh-CN"/>
        </w:rPr>
      </w:pPr>
    </w:p>
    <w:p>
      <w:pPr>
        <w:adjustRightInd w:val="0"/>
        <w:snapToGrid w:val="0"/>
        <w:spacing w:line="560" w:lineRule="exact"/>
        <w:ind w:right="-333" w:rightChars="-104" w:firstLine="640" w:firstLineChars="200"/>
        <w:rPr>
          <w:rFonts w:hint="eastAsia" w:ascii="黑体" w:hAnsi="宋体" w:eastAsia="黑体"/>
          <w:szCs w:val="32"/>
          <w:highlight w:val="none"/>
          <w:lang w:eastAsia="zh-CN"/>
        </w:rPr>
      </w:pPr>
    </w:p>
    <w:p>
      <w:pPr>
        <w:adjustRightInd w:val="0"/>
        <w:snapToGrid w:val="0"/>
        <w:spacing w:line="560" w:lineRule="exact"/>
        <w:ind w:right="-333" w:rightChars="-104" w:firstLine="640" w:firstLineChars="200"/>
        <w:rPr>
          <w:rFonts w:hint="eastAsia" w:ascii="黑体" w:hAnsi="宋体" w:eastAsia="黑体"/>
          <w:szCs w:val="32"/>
          <w:highlight w:val="none"/>
          <w:lang w:eastAsia="zh-CN"/>
        </w:rPr>
      </w:pPr>
    </w:p>
    <w:p>
      <w:pPr>
        <w:adjustRightInd w:val="0"/>
        <w:snapToGrid w:val="0"/>
        <w:spacing w:line="560" w:lineRule="exact"/>
        <w:ind w:right="-333" w:rightChars="-104" w:firstLine="640" w:firstLineChars="200"/>
        <w:rPr>
          <w:rFonts w:hint="eastAsia" w:ascii="黑体" w:hAnsi="宋体" w:eastAsia="黑体"/>
          <w:szCs w:val="32"/>
          <w:highlight w:val="none"/>
          <w:lang w:eastAsia="zh-CN"/>
        </w:rPr>
      </w:pPr>
    </w:p>
    <w:p>
      <w:pPr>
        <w:adjustRightInd w:val="0"/>
        <w:snapToGrid w:val="0"/>
        <w:spacing w:line="560" w:lineRule="exact"/>
        <w:ind w:right="-333" w:rightChars="-104" w:firstLine="640" w:firstLineChars="200"/>
        <w:rPr>
          <w:rFonts w:hint="eastAsia" w:ascii="黑体" w:hAnsi="宋体" w:eastAsia="黑体"/>
          <w:szCs w:val="32"/>
          <w:highlight w:val="none"/>
          <w:lang w:eastAsia="zh-CN"/>
        </w:rPr>
      </w:pPr>
    </w:p>
    <w:p>
      <w:pPr>
        <w:adjustRightInd w:val="0"/>
        <w:snapToGrid w:val="0"/>
        <w:spacing w:line="560" w:lineRule="exact"/>
        <w:ind w:right="-333" w:rightChars="-104"/>
        <w:rPr>
          <w:rFonts w:hint="eastAsia" w:ascii="黑体" w:hAnsi="宋体" w:eastAsia="黑体"/>
          <w:szCs w:val="32"/>
          <w:highlight w:val="none"/>
          <w:lang w:eastAsia="zh-CN"/>
        </w:rPr>
      </w:pPr>
    </w:p>
    <w:p>
      <w:pPr>
        <w:adjustRightInd w:val="0"/>
        <w:snapToGrid w:val="0"/>
        <w:spacing w:line="560" w:lineRule="exact"/>
        <w:ind w:right="-333" w:rightChars="-104" w:firstLine="640" w:firstLineChars="200"/>
        <w:rPr>
          <w:rFonts w:hint="eastAsia" w:ascii="黑体" w:hAnsi="宋体" w:eastAsia="黑体"/>
          <w:szCs w:val="32"/>
          <w:highlight w:val="none"/>
          <w:lang w:eastAsia="zh-CN"/>
        </w:rPr>
      </w:pPr>
    </w:p>
    <w:p>
      <w:pPr>
        <w:adjustRightInd w:val="0"/>
        <w:snapToGrid w:val="0"/>
        <w:spacing w:line="560" w:lineRule="exact"/>
        <w:ind w:right="-333" w:rightChars="-104" w:firstLine="640" w:firstLineChars="200"/>
        <w:rPr>
          <w:rFonts w:hint="eastAsia" w:ascii="黑体" w:hAnsi="宋体" w:eastAsia="黑体"/>
          <w:szCs w:val="32"/>
          <w:highlight w:val="none"/>
          <w:lang w:eastAsia="zh-CN"/>
        </w:rPr>
      </w:pPr>
    </w:p>
    <w:p>
      <w:pPr>
        <w:rPr>
          <w:rFonts w:hint="eastAsia" w:ascii="黑体" w:hAnsi="宋体" w:eastAsia="黑体"/>
          <w:szCs w:val="32"/>
          <w:highlight w:val="none"/>
          <w:lang w:eastAsia="zh-CN"/>
        </w:rPr>
      </w:pPr>
      <w:r>
        <w:rPr>
          <w:rFonts w:hint="eastAsia" w:ascii="黑体" w:hAnsi="宋体" w:eastAsia="黑体"/>
          <w:szCs w:val="32"/>
          <w:highlight w:val="none"/>
          <w:lang w:eastAsia="zh-CN"/>
        </w:rPr>
        <w:br w:type="page"/>
      </w:r>
    </w:p>
    <w:p>
      <w:pPr>
        <w:adjustRightInd w:val="0"/>
        <w:snapToGrid w:val="0"/>
        <w:spacing w:line="560" w:lineRule="exact"/>
        <w:ind w:right="-333" w:rightChars="-104" w:firstLine="640" w:firstLineChars="200"/>
        <w:rPr>
          <w:rFonts w:hint="eastAsia" w:ascii="黑体" w:hAnsi="宋体" w:eastAsia="黑体"/>
          <w:bCs/>
          <w:szCs w:val="32"/>
          <w:highlight w:val="none"/>
        </w:rPr>
      </w:pPr>
      <w:r>
        <w:rPr>
          <w:rFonts w:hint="eastAsia" w:ascii="黑体" w:hAnsi="宋体" w:eastAsia="黑体"/>
          <w:szCs w:val="32"/>
          <w:highlight w:val="none"/>
          <w:lang w:eastAsia="zh-CN"/>
        </w:rPr>
        <w:t>第四部分：</w:t>
      </w:r>
      <w:r>
        <w:rPr>
          <w:rFonts w:hint="eastAsia" w:ascii="黑体" w:eastAsia="黑体"/>
          <w:szCs w:val="32"/>
          <w:highlight w:val="none"/>
          <w:lang w:eastAsia="zh-CN"/>
        </w:rPr>
        <w:t>柳州市柳江区政府采购中心</w:t>
      </w:r>
      <w:r>
        <w:rPr>
          <w:rFonts w:hint="eastAsia" w:ascii="黑体" w:hAnsi="宋体" w:eastAsia="黑体"/>
          <w:szCs w:val="32"/>
          <w:highlight w:val="none"/>
          <w:lang w:eastAsia="zh-CN"/>
        </w:rPr>
        <w:t>2026年</w:t>
      </w:r>
      <w:r>
        <w:rPr>
          <w:rFonts w:hint="eastAsia" w:ascii="黑体" w:eastAsia="黑体"/>
          <w:szCs w:val="32"/>
          <w:highlight w:val="none"/>
          <w:lang w:eastAsia="zh-CN"/>
        </w:rPr>
        <w:t>单位</w:t>
      </w:r>
      <w:r>
        <w:rPr>
          <w:rFonts w:hint="eastAsia" w:ascii="黑体" w:eastAsia="黑体"/>
          <w:szCs w:val="32"/>
          <w:highlight w:val="none"/>
        </w:rPr>
        <w:t>预算报表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表1：单位收支总体情况表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表2：单位收入总体情况表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表3：单位支出总体情况表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表4：财政拨款收支总体情况表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表5：一般公共预算支出情况表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表6：一般公共预算基本支出情况表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表7：财政拨款“三公”经费、会议费和培训费支出</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表8：政府性基金预算支出情况表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表9：国有资本经营预算支出情况表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lang w:eastAsia="zh-CN"/>
        </w:rPr>
        <w:t>：项目绩效目标公开表</w:t>
      </w:r>
    </w:p>
    <w:p>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pPr>
        <w:rPr>
          <w:rFonts w:ascii="仿宋_GB2312" w:hAnsi="宋体" w:eastAsia="仿宋_GB2312"/>
          <w:bCs/>
          <w:sz w:val="44"/>
          <w:szCs w:val="44"/>
          <w:highlight w:val="none"/>
        </w:rPr>
        <w:sectPr>
          <w:pgSz w:w="11906" w:h="16838"/>
          <w:pgMar w:top="1440" w:right="1800" w:bottom="1440" w:left="1800" w:header="851" w:footer="992" w:gutter="0"/>
          <w:cols w:space="720" w:num="1"/>
          <w:docGrid w:type="lines" w:linePitch="312" w:charSpace="0"/>
        </w:sectPr>
      </w:pPr>
    </w:p>
    <w:tbl>
      <w:tblPr>
        <w:tblStyle w:val="7"/>
        <w:tblW w:w="85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64"/>
        <w:gridCol w:w="831"/>
        <w:gridCol w:w="3377"/>
        <w:gridCol w:w="1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2764"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8"/>
                <w:szCs w:val="28"/>
                <w:u w:val="none"/>
              </w:rPr>
            </w:pPr>
          </w:p>
        </w:tc>
        <w:tc>
          <w:tcPr>
            <w:tcW w:w="831" w:type="dxa"/>
            <w:tcBorders>
              <w:top w:val="nil"/>
              <w:left w:val="nil"/>
              <w:bottom w:val="nil"/>
              <w:right w:val="nil"/>
            </w:tcBorders>
            <w:shd w:val="clear" w:color="auto" w:fill="auto"/>
            <w:vAlign w:val="bottom"/>
          </w:tcPr>
          <w:p>
            <w:pPr>
              <w:snapToGrid w:val="0"/>
              <w:rPr>
                <w:rFonts w:hint="eastAsia" w:ascii="等线" w:hAnsi="等线" w:eastAsia="等线" w:cs="等线"/>
                <w:i w:val="0"/>
                <w:iCs w:val="0"/>
                <w:color w:val="000000"/>
                <w:sz w:val="22"/>
                <w:szCs w:val="22"/>
                <w:u w:val="none"/>
              </w:rPr>
            </w:pPr>
          </w:p>
        </w:tc>
        <w:tc>
          <w:tcPr>
            <w:tcW w:w="3377"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1547"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8519" w:type="dxa"/>
            <w:gridSpan w:val="4"/>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831"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3377"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1547"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49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目（按支出功能科目分类）</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一、一般公共预算拨款</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一、一般公共服务支出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（一）上级补助</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二、外交支出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（二）本级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三、国防支出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（三）一般债券收入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四、公共安全支出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五、教育支出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（一）上级补助</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六、科学技术支出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（二）本级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七、文化旅游体育与传媒支出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（三）专项债券收入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八、社会保障和就业支出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九、卫生健康支出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（一）上级补助</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十、节能环保支出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（二）本级</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十一、城乡社区支出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四、财政专户管理资金</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十二、农林水支出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五、单位资金</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十三、交通运输支出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（一）事业收入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十四、资源勘探工业信息等支出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（二）事业单位经营收入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十五、商业服务业等支出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（三）上级补助收入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十六、金融支出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（四）附属单位上缴收入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十七、援助其他地区支出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（五）其他收入</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十八、自然资源海洋气象等支出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十九、住房保障支出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二十、粮油物资储备支出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二十一、国有资本经营预算支出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二十二、灾害防治及应急管理支出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二十三、其他支出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二十四、债务付息支出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二十五、债务发行费用支出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 年 收 入 合 计</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 年 支 出 合 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上年结转结余</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结转下年支出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7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  总  计</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c>
          <w:tcPr>
            <w:tcW w:w="3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总  计</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r>
    </w:tbl>
    <w:p>
      <w:pPr>
        <w:rPr>
          <w:rFonts w:ascii="仿宋_GB2312" w:hAnsi="宋体" w:eastAsia="仿宋_GB2312"/>
          <w:bCs/>
          <w:sz w:val="44"/>
          <w:szCs w:val="44"/>
          <w:highlight w:val="none"/>
        </w:rPr>
      </w:pPr>
    </w:p>
    <w:p>
      <w:pPr>
        <w:rPr>
          <w:highlight w:val="none"/>
        </w:rPr>
        <w:sectPr>
          <w:pgSz w:w="11906" w:h="16838"/>
          <w:pgMar w:top="1440" w:right="1800" w:bottom="1440" w:left="1800" w:header="851" w:footer="992" w:gutter="0"/>
          <w:cols w:space="720" w:num="1"/>
          <w:docGrid w:type="lines" w:linePitch="312" w:charSpace="0"/>
        </w:sectPr>
      </w:pPr>
    </w:p>
    <w:tbl>
      <w:tblPr>
        <w:tblStyle w:val="7"/>
        <w:tblW w:w="14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21"/>
        <w:gridCol w:w="1417"/>
        <w:gridCol w:w="672"/>
        <w:gridCol w:w="672"/>
        <w:gridCol w:w="970"/>
        <w:gridCol w:w="899"/>
        <w:gridCol w:w="975"/>
        <w:gridCol w:w="975"/>
        <w:gridCol w:w="669"/>
        <w:gridCol w:w="493"/>
        <w:gridCol w:w="814"/>
        <w:gridCol w:w="899"/>
        <w:gridCol w:w="975"/>
        <w:gridCol w:w="975"/>
        <w:gridCol w:w="1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221" w:type="dxa"/>
            <w:tcBorders>
              <w:top w:val="nil"/>
              <w:left w:val="nil"/>
              <w:bottom w:val="nil"/>
              <w:right w:val="nil"/>
            </w:tcBorders>
            <w:shd w:val="clear" w:color="auto" w:fill="auto"/>
            <w:vAlign w:val="center"/>
          </w:tcPr>
          <w:p>
            <w:pPr>
              <w:snapToGrid w:val="0"/>
              <w:rPr>
                <w:rFonts w:hint="eastAsia" w:ascii="宋体" w:hAnsi="宋体" w:eastAsia="宋体" w:cs="宋体"/>
                <w:b/>
                <w:bCs/>
                <w:i w:val="0"/>
                <w:iCs w:val="0"/>
                <w:color w:val="000000"/>
                <w:sz w:val="28"/>
                <w:szCs w:val="28"/>
                <w:u w:val="none"/>
              </w:rPr>
            </w:pPr>
          </w:p>
        </w:tc>
        <w:tc>
          <w:tcPr>
            <w:tcW w:w="141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7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7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7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9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6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9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1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9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97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548"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4174" w:type="dxa"/>
            <w:gridSpan w:val="15"/>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部门收入总体情况表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22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41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7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7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7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9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7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7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6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9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1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9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7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975" w:type="dxa"/>
            <w:tcBorders>
              <w:top w:val="nil"/>
              <w:left w:val="nil"/>
              <w:bottom w:val="nil"/>
              <w:right w:val="nil"/>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548"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1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6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51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57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政府性基金预算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国有资本经营预算</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财政专户管理资金</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Calibri" w:hAnsi="Calibri" w:cs="Calibri"/>
                <w:i w:val="0"/>
                <w:iCs w:val="0"/>
                <w:color w:val="000000"/>
                <w:sz w:val="20"/>
                <w:szCs w:val="20"/>
                <w:u w:val="none"/>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合计</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81.41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81.41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81.41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108</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柳州市柳江区财政局</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81.41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81.41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81.41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108003</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柳州市柳江区政府采购中心</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81.41</w:t>
            </w:r>
          </w:p>
        </w:tc>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81.41</w:t>
            </w:r>
          </w:p>
        </w:tc>
        <w:tc>
          <w:tcPr>
            <w:tcW w:w="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81.41</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c>
          <w:tcPr>
            <w:tcW w:w="154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default" w:ascii="Calibri" w:hAnsi="Calibri" w:cs="Calibri"/>
                <w:i w:val="0"/>
                <w:iCs w:val="0"/>
                <w:color w:val="000000"/>
                <w:sz w:val="20"/>
                <w:szCs w:val="20"/>
                <w:u w:val="none"/>
              </w:rPr>
            </w:pPr>
          </w:p>
        </w:tc>
      </w:tr>
    </w:tbl>
    <w:p>
      <w:pPr>
        <w:rPr>
          <w:highlight w:val="none"/>
        </w:rPr>
      </w:pPr>
      <w:r>
        <w:rPr>
          <w:highlight w:val="none"/>
        </w:rPr>
        <w:br w:type="page"/>
      </w:r>
    </w:p>
    <w:tbl>
      <w:tblPr>
        <w:tblStyle w:val="7"/>
        <w:tblW w:w="14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1"/>
        <w:gridCol w:w="419"/>
        <w:gridCol w:w="420"/>
        <w:gridCol w:w="1561"/>
        <w:gridCol w:w="3416"/>
        <w:gridCol w:w="716"/>
        <w:gridCol w:w="1016"/>
        <w:gridCol w:w="560"/>
        <w:gridCol w:w="1309"/>
        <w:gridCol w:w="1309"/>
        <w:gridCol w:w="1309"/>
        <w:gridCol w:w="16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52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1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2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56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4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56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30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30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30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618"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74" w:type="dxa"/>
            <w:gridSpan w:val="12"/>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部门支出总体情况表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nil"/>
              <w:left w:val="nil"/>
              <w:bottom w:val="nil"/>
              <w:right w:val="nil"/>
            </w:tcBorders>
            <w:shd w:val="clear" w:color="auto" w:fill="auto"/>
            <w:vAlign w:val="bottom"/>
          </w:tcPr>
          <w:p>
            <w:pPr>
              <w:snapToGrid w:val="0"/>
              <w:rPr>
                <w:rFonts w:hint="eastAsia" w:ascii="Calibri" w:hAnsi="Calibri" w:cs="Calibri"/>
                <w:i w:val="0"/>
                <w:iCs w:val="0"/>
                <w:color w:val="000000"/>
                <w:sz w:val="22"/>
                <w:szCs w:val="22"/>
                <w:u w:val="none"/>
              </w:rPr>
            </w:pPr>
          </w:p>
        </w:tc>
        <w:tc>
          <w:tcPr>
            <w:tcW w:w="41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2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56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7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0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56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30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30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30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618"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3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3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78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61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3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运转履职类项目</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重大政策类项目</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特定监控类项目</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专项事业类项目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合计</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柳州市柳江区财政局</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default" w:ascii="Calibri" w:hAnsi="Calibri" w:cs="Calibri"/>
                <w:i w:val="0"/>
                <w:iCs w:val="0"/>
                <w:color w:val="000000"/>
                <w:sz w:val="20"/>
                <w:szCs w:val="20"/>
                <w:u w:val="none"/>
              </w:rPr>
            </w:pP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108003</w:t>
            </w: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柳州市柳江区政府采购中心</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201</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06</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行政运行</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208</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行政单位离退休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208</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05</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机关事业单位基本养老保险缴费支出</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208</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06</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机关事业单位职业年金缴费支出</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210</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11</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行政单位医疗</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221</w:t>
            </w:r>
          </w:p>
        </w:tc>
        <w:tc>
          <w:tcPr>
            <w:tcW w:w="4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02</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01</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default" w:ascii="Calibri" w:hAnsi="Calibri"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住房公积金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c>
          <w:tcPr>
            <w:tcW w:w="10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bl>
    <w:p>
      <w:pPr>
        <w:rPr>
          <w:highlight w:val="none"/>
        </w:rPr>
        <w:sectPr>
          <w:pgSz w:w="16838" w:h="11906" w:orient="landscape"/>
          <w:pgMar w:top="1800" w:right="1440" w:bottom="1800" w:left="1440" w:header="851" w:footer="992" w:gutter="0"/>
          <w:cols w:space="720" w:num="1"/>
          <w:docGrid w:type="lines" w:linePitch="312" w:charSpace="0"/>
        </w:sectPr>
      </w:pPr>
    </w:p>
    <w:tbl>
      <w:tblPr>
        <w:tblStyle w:val="7"/>
        <w:tblW w:w="85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88"/>
        <w:gridCol w:w="843"/>
        <w:gridCol w:w="3624"/>
        <w:gridCol w:w="1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2488" w:type="dxa"/>
            <w:tcBorders>
              <w:top w:val="nil"/>
              <w:left w:val="nil"/>
              <w:bottom w:val="nil"/>
              <w:right w:val="nil"/>
            </w:tcBorders>
            <w:shd w:val="clear" w:color="auto" w:fill="auto"/>
            <w:vAlign w:val="bottom"/>
          </w:tcPr>
          <w:p>
            <w:pPr>
              <w:snapToGrid w:val="0"/>
              <w:rPr>
                <w:rFonts w:hint="eastAsia" w:ascii="Arial" w:hAnsi="Arial" w:cs="Arial"/>
                <w:i w:val="0"/>
                <w:iCs w:val="0"/>
                <w:color w:val="000000"/>
                <w:sz w:val="20"/>
                <w:szCs w:val="20"/>
                <w:u w:val="none"/>
              </w:rPr>
            </w:pPr>
          </w:p>
        </w:tc>
        <w:tc>
          <w:tcPr>
            <w:tcW w:w="843"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3624"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1564"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8519" w:type="dxa"/>
            <w:gridSpan w:val="4"/>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财政拨款收支总体情况表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843"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3624" w:type="dxa"/>
            <w:tcBorders>
              <w:top w:val="nil"/>
              <w:left w:val="nil"/>
              <w:bottom w:val="nil"/>
              <w:right w:val="nil"/>
            </w:tcBorders>
            <w:shd w:val="clear" w:color="auto" w:fill="auto"/>
            <w:vAlign w:val="bottom"/>
          </w:tcPr>
          <w:p>
            <w:pPr>
              <w:snapToGrid w:val="0"/>
              <w:rPr>
                <w:rFonts w:hint="eastAsia" w:ascii="宋体" w:hAnsi="宋体" w:eastAsia="宋体" w:cs="宋体"/>
                <w:i w:val="0"/>
                <w:iCs w:val="0"/>
                <w:color w:val="000000"/>
                <w:sz w:val="20"/>
                <w:szCs w:val="20"/>
                <w:u w:val="none"/>
              </w:rPr>
            </w:pPr>
          </w:p>
        </w:tc>
        <w:tc>
          <w:tcPr>
            <w:tcW w:w="1564"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33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w:t>
            </w:r>
          </w:p>
        </w:tc>
        <w:tc>
          <w:tcPr>
            <w:tcW w:w="5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   目（按支出功能科目分类）</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一、本年收入 </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一、本年支出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（一）一般公共服务支出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1、上级补助</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（二）外交支出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2、本级</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（三）国防支出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3、一般债券收入</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（四）公共安全支出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（五）教育支出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1、上级补助</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（六）科学技术支出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2、本级</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（七）文化旅游体育与传媒支出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3、专项债券收入</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（八）社会保障和就业支出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（九）卫生健康支出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1、上级补助</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（十）节能环保支出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2、本级</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（十一）城乡社区支出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二、上年结转结余</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（十二）农林水支出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（十三）交通运输支出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（十四）资源勘探工业信息等支出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（三）国有资本经营预算</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（十五）商业服务业等支出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（十六）金融支出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（十七）援助其他地区支出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（十八）自然资源海洋气象等支出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（十九）住房保障支出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（二十）粮油物资储备支出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（二十一）国有资本经营预算支出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（二十二）灾害防治及应急管理支出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（二十三）其他支出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（二十四）债务付息支出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（二十五）债务发行费用支出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二、结转下年支出</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   入   总   计</w:t>
            </w:r>
          </w:p>
        </w:tc>
        <w:tc>
          <w:tcPr>
            <w:tcW w:w="8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c>
          <w:tcPr>
            <w:tcW w:w="3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　　　出　　　总　　　计</w:t>
            </w:r>
          </w:p>
        </w:tc>
        <w:tc>
          <w:tcPr>
            <w:tcW w:w="1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r>
    </w:tbl>
    <w:p>
      <w:pPr>
        <w:rPr>
          <w:highlight w:val="none"/>
        </w:rPr>
        <w:sectPr>
          <w:pgSz w:w="11906" w:h="16838"/>
          <w:pgMar w:top="1440" w:right="1800" w:bottom="1440" w:left="1800" w:header="851" w:footer="992" w:gutter="0"/>
          <w:cols w:space="720" w:num="1"/>
          <w:docGrid w:type="lines" w:linePitch="312" w:charSpace="0"/>
        </w:sectPr>
      </w:pPr>
    </w:p>
    <w:tbl>
      <w:tblPr>
        <w:tblStyle w:val="7"/>
        <w:tblW w:w="1416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504"/>
        <w:gridCol w:w="516"/>
        <w:gridCol w:w="2224"/>
        <w:gridCol w:w="4181"/>
        <w:gridCol w:w="872"/>
        <w:gridCol w:w="872"/>
        <w:gridCol w:w="1244"/>
        <w:gridCol w:w="1249"/>
        <w:gridCol w:w="18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63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5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222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18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7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7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24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24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870"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63" w:type="dxa"/>
            <w:gridSpan w:val="10"/>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31" w:type="dxa"/>
            <w:tcBorders>
              <w:top w:val="nil"/>
              <w:left w:val="nil"/>
              <w:bottom w:val="nil"/>
              <w:right w:val="nil"/>
            </w:tcBorders>
            <w:shd w:val="clear" w:color="auto" w:fill="auto"/>
            <w:vAlign w:val="bottom"/>
          </w:tcPr>
          <w:p>
            <w:pPr>
              <w:snapToGrid w:val="0"/>
              <w:rPr>
                <w:rFonts w:hint="eastAsia" w:ascii="Calibri" w:hAnsi="Calibri" w:cs="Calibri"/>
                <w:i w:val="0"/>
                <w:iCs w:val="0"/>
                <w:color w:val="000000"/>
                <w:sz w:val="22"/>
                <w:szCs w:val="22"/>
                <w:u w:val="none"/>
              </w:rPr>
            </w:pPr>
          </w:p>
        </w:tc>
        <w:tc>
          <w:tcPr>
            <w:tcW w:w="50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5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222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18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7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7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244"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249"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870"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6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2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41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61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本年一般公共预算支出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6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33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2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1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8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70.14</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11.27</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柳州市柳江区财政局</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70.14</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11.27</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108003</w:t>
            </w: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柳州市柳江区政府采购中心</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70.14</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11.27</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行政运行</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58.38</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47.16</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11.22</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行政单位离退休</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0.05</w:t>
            </w: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行政单位医疗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222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left"/>
              <w:rPr>
                <w:rFonts w:hint="eastAsia" w:ascii="宋体" w:hAnsi="宋体" w:eastAsia="宋体" w:cs="宋体"/>
                <w:i w:val="0"/>
                <w:iCs w:val="0"/>
                <w:color w:val="000000"/>
                <w:sz w:val="20"/>
                <w:szCs w:val="20"/>
                <w:u w:val="none"/>
              </w:rPr>
            </w:pPr>
          </w:p>
        </w:tc>
        <w:tc>
          <w:tcPr>
            <w:tcW w:w="4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c>
          <w:tcPr>
            <w:tcW w:w="1249"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870"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bl>
    <w:p>
      <w:pPr>
        <w:rPr>
          <w:highlight w:val="none"/>
        </w:rPr>
        <w:sectPr>
          <w:pgSz w:w="16838" w:h="11906" w:orient="landscape"/>
          <w:pgMar w:top="1800" w:right="1440" w:bottom="1800" w:left="1440" w:header="851" w:footer="992" w:gutter="0"/>
          <w:cols w:space="720" w:num="1"/>
          <w:docGrid w:type="lines" w:linePitch="312" w:charSpace="0"/>
        </w:sectPr>
      </w:pPr>
    </w:p>
    <w:tbl>
      <w:tblPr>
        <w:tblStyle w:val="7"/>
        <w:tblW w:w="851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7"/>
        <w:gridCol w:w="491"/>
        <w:gridCol w:w="3573"/>
        <w:gridCol w:w="847"/>
        <w:gridCol w:w="1203"/>
        <w:gridCol w:w="17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60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9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57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4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20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798"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8519" w:type="dxa"/>
            <w:gridSpan w:val="6"/>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一般公共预算基本支出情况表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9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573"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47"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203" w:type="dxa"/>
            <w:tcBorders>
              <w:top w:val="nil"/>
              <w:left w:val="nil"/>
              <w:bottom w:val="nil"/>
              <w:right w:val="nil"/>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98"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467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部门预算支出经济分类科目</w:t>
            </w:r>
          </w:p>
        </w:tc>
        <w:tc>
          <w:tcPr>
            <w:tcW w:w="38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本年一般公共预算基本支出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类</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款</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81.41</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70.14</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工资福利支出</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68.51</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68.51</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基本工资</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20.21</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津贴补贴</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12.83</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12.83</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奖金</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13.79</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13.79</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7.56</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职业年金缴费</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3.73</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其他社会保障缴费</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0.33</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0.33</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301</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住房公积金</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6.28</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商品和服务支出</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11.27</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办公费</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0.98</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印刷费</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07</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邮电费</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0.84</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差旅费</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维修（护）费</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培训费</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工会经费</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0.94</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其他交通费用</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302</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对个人和家庭的补助</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w:t>
            </w:r>
          </w:p>
        </w:tc>
        <w:tc>
          <w:tcPr>
            <w:tcW w:w="3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退休费</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79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bl>
    <w:p>
      <w:pPr>
        <w:rPr>
          <w:highlight w:val="none"/>
        </w:rPr>
        <w:sectPr>
          <w:pgSz w:w="11906" w:h="16838"/>
          <w:pgMar w:top="1440" w:right="1800" w:bottom="1440" w:left="1800" w:header="851" w:footer="992" w:gutter="0"/>
          <w:cols w:space="720" w:num="1"/>
          <w:docGrid w:type="lines" w:linePitch="312" w:charSpace="0"/>
        </w:sectPr>
      </w:pPr>
    </w:p>
    <w:tbl>
      <w:tblPr>
        <w:tblStyle w:val="7"/>
        <w:tblW w:w="14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1"/>
        <w:gridCol w:w="2616"/>
        <w:gridCol w:w="1816"/>
        <w:gridCol w:w="616"/>
        <w:gridCol w:w="616"/>
        <w:gridCol w:w="1051"/>
        <w:gridCol w:w="458"/>
        <w:gridCol w:w="696"/>
        <w:gridCol w:w="801"/>
        <w:gridCol w:w="770"/>
        <w:gridCol w:w="661"/>
        <w:gridCol w:w="652"/>
        <w:gridCol w:w="802"/>
        <w:gridCol w:w="1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105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26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8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5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45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9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80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7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6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652" w:type="dxa"/>
            <w:tcBorders>
              <w:top w:val="nil"/>
              <w:left w:val="nil"/>
              <w:bottom w:val="nil"/>
              <w:right w:val="nil"/>
            </w:tcBorders>
            <w:shd w:val="clear" w:color="auto" w:fill="auto"/>
            <w:vAlign w:val="bottom"/>
          </w:tcPr>
          <w:p>
            <w:pPr>
              <w:snapToGrid w:val="0"/>
              <w:rPr>
                <w:rFonts w:hint="eastAsia" w:ascii="Calibri" w:hAnsi="Calibri" w:cs="Calibri"/>
                <w:i w:val="0"/>
                <w:iCs w:val="0"/>
                <w:color w:val="000000"/>
                <w:sz w:val="22"/>
                <w:szCs w:val="22"/>
                <w:u w:val="none"/>
              </w:rPr>
            </w:pPr>
          </w:p>
        </w:tc>
        <w:tc>
          <w:tcPr>
            <w:tcW w:w="802" w:type="dxa"/>
            <w:tcBorders>
              <w:top w:val="nil"/>
              <w:left w:val="nil"/>
              <w:bottom w:val="nil"/>
              <w:right w:val="nil"/>
            </w:tcBorders>
            <w:shd w:val="clear" w:color="auto" w:fill="auto"/>
            <w:vAlign w:val="bottom"/>
          </w:tcPr>
          <w:p>
            <w:pPr>
              <w:snapToGrid w:val="0"/>
              <w:rPr>
                <w:rFonts w:hint="default" w:ascii="Calibri" w:hAnsi="Calibri" w:cs="Calibri"/>
                <w:i w:val="0"/>
                <w:iCs w:val="0"/>
                <w:color w:val="000000"/>
                <w:sz w:val="22"/>
                <w:szCs w:val="22"/>
                <w:u w:val="none"/>
              </w:rPr>
            </w:pPr>
          </w:p>
        </w:tc>
        <w:tc>
          <w:tcPr>
            <w:tcW w:w="1568"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1804" w:type="dxa"/>
            <w:gridSpan w:val="12"/>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财政拨款“三公”经费、会议费和培训费支出情况表</w:t>
            </w:r>
          </w:p>
        </w:tc>
        <w:tc>
          <w:tcPr>
            <w:tcW w:w="802" w:type="dxa"/>
            <w:tcBorders>
              <w:top w:val="nil"/>
              <w:left w:val="nil"/>
              <w:bottom w:val="nil"/>
              <w:right w:val="nil"/>
            </w:tcBorders>
            <w:shd w:val="clear" w:color="auto" w:fill="auto"/>
            <w:vAlign w:val="bottom"/>
          </w:tcPr>
          <w:p>
            <w:pPr>
              <w:snapToGrid w:val="0"/>
              <w:rPr>
                <w:rFonts w:hint="default" w:ascii="Calibri" w:hAnsi="Calibri" w:cs="Calibri"/>
                <w:i w:val="0"/>
                <w:iCs w:val="0"/>
                <w:color w:val="000000"/>
                <w:sz w:val="22"/>
                <w:szCs w:val="22"/>
                <w:u w:val="none"/>
              </w:rPr>
            </w:pPr>
          </w:p>
        </w:tc>
        <w:tc>
          <w:tcPr>
            <w:tcW w:w="1568" w:type="dxa"/>
            <w:tcBorders>
              <w:top w:val="nil"/>
              <w:left w:val="nil"/>
              <w:bottom w:val="nil"/>
              <w:right w:val="nil"/>
            </w:tcBorders>
            <w:shd w:val="clear" w:color="auto" w:fill="auto"/>
            <w:vAlign w:val="bottom"/>
          </w:tcPr>
          <w:p>
            <w:pPr>
              <w:snapToGrid w:val="0"/>
              <w:rPr>
                <w:rFonts w:hint="default" w:ascii="Calibri" w:hAnsi="Calibri" w:cs="Calibri"/>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051" w:type="dxa"/>
            <w:tcBorders>
              <w:top w:val="nil"/>
              <w:left w:val="nil"/>
              <w:bottom w:val="nil"/>
              <w:right w:val="nil"/>
            </w:tcBorders>
            <w:shd w:val="clear" w:color="auto" w:fill="auto"/>
            <w:vAlign w:val="bottom"/>
          </w:tcPr>
          <w:p>
            <w:pPr>
              <w:snapToGrid w:val="0"/>
              <w:rPr>
                <w:rFonts w:hint="default" w:ascii="Calibri" w:hAnsi="Calibri" w:cs="Calibri"/>
                <w:i w:val="0"/>
                <w:iCs w:val="0"/>
                <w:color w:val="000000"/>
                <w:sz w:val="22"/>
                <w:szCs w:val="22"/>
                <w:u w:val="none"/>
              </w:rPr>
            </w:pPr>
          </w:p>
        </w:tc>
        <w:tc>
          <w:tcPr>
            <w:tcW w:w="26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8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1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05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45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96"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80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77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6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52" w:type="dxa"/>
            <w:tcBorders>
              <w:top w:val="nil"/>
              <w:left w:val="nil"/>
              <w:bottom w:val="nil"/>
              <w:right w:val="nil"/>
            </w:tcBorders>
            <w:shd w:val="clear" w:color="auto" w:fill="auto"/>
            <w:vAlign w:val="bottom"/>
          </w:tcPr>
          <w:p>
            <w:pPr>
              <w:snapToGrid w:val="0"/>
              <w:rPr>
                <w:rFonts w:hint="default" w:ascii="Calibri" w:hAnsi="Calibri" w:cs="Calibri"/>
                <w:i w:val="0"/>
                <w:iCs w:val="0"/>
                <w:color w:val="000000"/>
                <w:sz w:val="20"/>
                <w:szCs w:val="20"/>
                <w:u w:val="none"/>
              </w:rPr>
            </w:pPr>
          </w:p>
        </w:tc>
        <w:tc>
          <w:tcPr>
            <w:tcW w:w="802" w:type="dxa"/>
            <w:tcBorders>
              <w:top w:val="nil"/>
              <w:left w:val="nil"/>
              <w:bottom w:val="nil"/>
              <w:right w:val="nil"/>
            </w:tcBorders>
            <w:shd w:val="clear" w:color="auto" w:fill="auto"/>
            <w:vAlign w:val="bottom"/>
          </w:tcPr>
          <w:p>
            <w:pPr>
              <w:snapToGrid w:val="0"/>
              <w:jc w:val="right"/>
              <w:rPr>
                <w:rFonts w:hint="default" w:ascii="Calibri" w:hAnsi="Calibri" w:cs="Calibri"/>
                <w:i w:val="0"/>
                <w:iCs w:val="0"/>
                <w:color w:val="000000"/>
                <w:sz w:val="20"/>
                <w:szCs w:val="20"/>
                <w:u w:val="none"/>
              </w:rPr>
            </w:pPr>
          </w:p>
        </w:tc>
        <w:tc>
          <w:tcPr>
            <w:tcW w:w="1568"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2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18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资金性质</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439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“三公”经费</w:t>
            </w:r>
          </w:p>
        </w:tc>
        <w:tc>
          <w:tcPr>
            <w:tcW w:w="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会议费</w:t>
            </w:r>
          </w:p>
        </w:tc>
        <w:tc>
          <w:tcPr>
            <w:tcW w:w="30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因公出国（境）费</w:t>
            </w:r>
          </w:p>
        </w:tc>
        <w:tc>
          <w:tcPr>
            <w:tcW w:w="195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公务用车购置及运行维护费</w:t>
            </w:r>
          </w:p>
        </w:tc>
        <w:tc>
          <w:tcPr>
            <w:tcW w:w="770" w:type="dxa"/>
            <w:vMerge w:val="restart"/>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公务接待费</w:t>
            </w: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本级资金安排</w:t>
            </w:r>
          </w:p>
        </w:tc>
        <w:tc>
          <w:tcPr>
            <w:tcW w:w="1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上级补助资金安排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95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70" w:type="dxa"/>
            <w:vMerge w:val="continue"/>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公务用车购置费</w:t>
            </w:r>
          </w:p>
        </w:tc>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公务用车运行维护费</w:t>
            </w:r>
          </w:p>
        </w:tc>
        <w:tc>
          <w:tcPr>
            <w:tcW w:w="770" w:type="dxa"/>
            <w:vMerge w:val="continue"/>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8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70" w:type="dxa"/>
            <w:vMerge w:val="continue"/>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6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柳州市柳江区财政局</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108003</w:t>
            </w:r>
          </w:p>
        </w:tc>
        <w:tc>
          <w:tcPr>
            <w:tcW w:w="2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柳州市柳江区政府采购中心</w:t>
            </w:r>
          </w:p>
        </w:tc>
        <w:tc>
          <w:tcPr>
            <w:tcW w:w="1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一般公共预算资金</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0.27</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w:t>
            </w:r>
          </w:p>
        </w:tc>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45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w:t>
            </w:r>
          </w:p>
        </w:tc>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0.08</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right"/>
              <w:rPr>
                <w:rFonts w:hint="eastAsia" w:ascii="宋体" w:hAnsi="宋体" w:eastAsia="宋体" w:cs="宋体"/>
                <w:i w:val="0"/>
                <w:iCs w:val="0"/>
                <w:color w:val="000000"/>
                <w:sz w:val="20"/>
                <w:szCs w:val="20"/>
                <w:u w:val="none"/>
              </w:rPr>
            </w:pPr>
          </w:p>
        </w:tc>
      </w:tr>
    </w:tbl>
    <w:p>
      <w:pPr>
        <w:rPr>
          <w:highlight w:val="none"/>
        </w:rPr>
      </w:pPr>
      <w:r>
        <w:rPr>
          <w:highlight w:val="none"/>
        </w:rPr>
        <w:br w:type="page"/>
      </w:r>
    </w:p>
    <w:tbl>
      <w:tblPr>
        <w:tblStyle w:val="7"/>
        <w:tblW w:w="1416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711"/>
        <w:gridCol w:w="720"/>
        <w:gridCol w:w="3122"/>
        <w:gridCol w:w="3468"/>
        <w:gridCol w:w="1060"/>
        <w:gridCol w:w="1745"/>
        <w:gridCol w:w="2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71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1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72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12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346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06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174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18"/>
                <w:szCs w:val="18"/>
                <w:u w:val="none"/>
              </w:rPr>
            </w:pPr>
          </w:p>
        </w:tc>
        <w:tc>
          <w:tcPr>
            <w:tcW w:w="2629"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65" w:type="dxa"/>
            <w:gridSpan w:val="8"/>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政府性基金预算支出情况表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10" w:type="dxa"/>
            <w:tcBorders>
              <w:top w:val="nil"/>
              <w:left w:val="nil"/>
              <w:bottom w:val="nil"/>
              <w:right w:val="nil"/>
            </w:tcBorders>
            <w:shd w:val="clear" w:color="auto" w:fill="auto"/>
            <w:vAlign w:val="bottom"/>
          </w:tcPr>
          <w:p>
            <w:pPr>
              <w:snapToGrid w:val="0"/>
              <w:rPr>
                <w:rFonts w:hint="eastAsia" w:ascii="Calibri" w:hAnsi="Calibri" w:cs="Calibri"/>
                <w:i w:val="0"/>
                <w:iCs w:val="0"/>
                <w:color w:val="000000"/>
                <w:sz w:val="22"/>
                <w:szCs w:val="22"/>
                <w:u w:val="none"/>
              </w:rPr>
            </w:pPr>
          </w:p>
        </w:tc>
        <w:tc>
          <w:tcPr>
            <w:tcW w:w="711"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72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122"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3468"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060"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1745" w:type="dxa"/>
            <w:tcBorders>
              <w:top w:val="nil"/>
              <w:left w:val="nil"/>
              <w:bottom w:val="nil"/>
              <w:right w:val="nil"/>
            </w:tcBorders>
            <w:shd w:val="clear" w:color="auto" w:fill="auto"/>
            <w:vAlign w:val="center"/>
          </w:tcPr>
          <w:p>
            <w:pPr>
              <w:snapToGrid w:val="0"/>
              <w:rPr>
                <w:rFonts w:hint="eastAsia" w:ascii="宋体" w:hAnsi="宋体" w:eastAsia="宋体" w:cs="宋体"/>
                <w:i w:val="0"/>
                <w:iCs w:val="0"/>
                <w:color w:val="000000"/>
                <w:sz w:val="20"/>
                <w:szCs w:val="20"/>
                <w:u w:val="none"/>
              </w:rPr>
            </w:pPr>
          </w:p>
        </w:tc>
        <w:tc>
          <w:tcPr>
            <w:tcW w:w="2629"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14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3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14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bl>
    <w:p>
      <w:pPr>
        <w:rPr>
          <w:highlight w:val="none"/>
        </w:rPr>
      </w:pPr>
      <w:r>
        <w:rPr>
          <w:highlight w:val="none"/>
        </w:rPr>
        <w:br w:type="page"/>
      </w:r>
    </w:p>
    <w:tbl>
      <w:tblPr>
        <w:tblStyle w:val="7"/>
        <w:tblW w:w="1416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0"/>
        <w:gridCol w:w="711"/>
        <w:gridCol w:w="720"/>
        <w:gridCol w:w="3122"/>
        <w:gridCol w:w="3468"/>
        <w:gridCol w:w="1060"/>
        <w:gridCol w:w="1745"/>
        <w:gridCol w:w="2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71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11"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2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122"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68"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6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745"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629"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65" w:type="dxa"/>
            <w:gridSpan w:val="8"/>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国有资本经营预算支出情况表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10" w:type="dxa"/>
            <w:tcBorders>
              <w:top w:val="nil"/>
              <w:left w:val="nil"/>
              <w:bottom w:val="nil"/>
              <w:right w:val="nil"/>
            </w:tcBorders>
            <w:shd w:val="clear" w:color="auto" w:fill="auto"/>
            <w:vAlign w:val="bottom"/>
          </w:tcPr>
          <w:p>
            <w:pPr>
              <w:snapToGrid w:val="0"/>
              <w:rPr>
                <w:rFonts w:hint="eastAsia" w:ascii="Calibri" w:hAnsi="Calibri" w:cs="Calibri"/>
                <w:i w:val="0"/>
                <w:iCs w:val="0"/>
                <w:color w:val="000000"/>
                <w:sz w:val="22"/>
                <w:szCs w:val="22"/>
                <w:u w:val="none"/>
              </w:rPr>
            </w:pPr>
          </w:p>
        </w:tc>
        <w:tc>
          <w:tcPr>
            <w:tcW w:w="711"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2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122"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68"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60"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745" w:type="dxa"/>
            <w:tcBorders>
              <w:top w:val="nil"/>
              <w:left w:val="nil"/>
              <w:bottom w:val="nil"/>
              <w:right w:val="nil"/>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2629"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14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科目编码</w:t>
            </w:r>
          </w:p>
        </w:tc>
        <w:tc>
          <w:tcPr>
            <w:tcW w:w="3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部门（单位）代码</w:t>
            </w:r>
          </w:p>
        </w:tc>
        <w:tc>
          <w:tcPr>
            <w:tcW w:w="34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(功能分类科目名称)</w:t>
            </w:r>
          </w:p>
        </w:tc>
        <w:tc>
          <w:tcPr>
            <w:tcW w:w="54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214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34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1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6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bl>
    <w:p>
      <w:pPr>
        <w:rPr>
          <w:highlight w:val="none"/>
        </w:rPr>
      </w:pPr>
      <w:r>
        <w:rPr>
          <w:highlight w:val="none"/>
        </w:rPr>
        <w:br w:type="page"/>
      </w:r>
    </w:p>
    <w:tbl>
      <w:tblPr>
        <w:tblStyle w:val="7"/>
        <w:tblW w:w="141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6"/>
        <w:gridCol w:w="753"/>
        <w:gridCol w:w="753"/>
        <w:gridCol w:w="753"/>
        <w:gridCol w:w="1416"/>
        <w:gridCol w:w="980"/>
        <w:gridCol w:w="757"/>
        <w:gridCol w:w="757"/>
        <w:gridCol w:w="757"/>
        <w:gridCol w:w="757"/>
        <w:gridCol w:w="984"/>
        <w:gridCol w:w="984"/>
        <w:gridCol w:w="984"/>
        <w:gridCol w:w="1100"/>
        <w:gridCol w:w="18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0" w:hRule="atLeast"/>
          <w:jc w:val="center"/>
        </w:trPr>
        <w:tc>
          <w:tcPr>
            <w:tcW w:w="616" w:type="dxa"/>
            <w:tcBorders>
              <w:top w:val="nil"/>
              <w:left w:val="nil"/>
              <w:bottom w:val="nil"/>
              <w:right w:val="nil"/>
            </w:tcBorders>
            <w:shd w:val="clear" w:color="auto" w:fill="auto"/>
            <w:vAlign w:val="bottom"/>
          </w:tcPr>
          <w:p>
            <w:pPr>
              <w:snapToGrid w:val="0"/>
              <w:rPr>
                <w:rFonts w:hint="eastAsia" w:ascii="Arial" w:hAnsi="Arial" w:cs="Arial"/>
                <w:i w:val="0"/>
                <w:iCs w:val="0"/>
                <w:color w:val="000000"/>
                <w:sz w:val="20"/>
                <w:szCs w:val="20"/>
                <w:u w:val="none"/>
              </w:rPr>
            </w:pPr>
          </w:p>
        </w:tc>
        <w:tc>
          <w:tcPr>
            <w:tcW w:w="753"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3"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3"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1416"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980"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7"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7"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7"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757"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984"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984"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984"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1100" w:type="dxa"/>
            <w:tcBorders>
              <w:top w:val="nil"/>
              <w:left w:val="nil"/>
              <w:bottom w:val="nil"/>
              <w:right w:val="nil"/>
            </w:tcBorders>
            <w:shd w:val="clear" w:color="auto" w:fill="auto"/>
            <w:vAlign w:val="bottom"/>
          </w:tcPr>
          <w:p>
            <w:pPr>
              <w:snapToGrid w:val="0"/>
              <w:rPr>
                <w:rFonts w:hint="default" w:ascii="Arial" w:hAnsi="Arial" w:cs="Arial"/>
                <w:i w:val="0"/>
                <w:iCs w:val="0"/>
                <w:color w:val="000000"/>
                <w:sz w:val="20"/>
                <w:szCs w:val="20"/>
                <w:u w:val="none"/>
              </w:rPr>
            </w:pPr>
          </w:p>
        </w:tc>
        <w:tc>
          <w:tcPr>
            <w:tcW w:w="1823" w:type="dxa"/>
            <w:tcBorders>
              <w:top w:val="nil"/>
              <w:left w:val="nil"/>
              <w:bottom w:val="nil"/>
              <w:right w:val="nil"/>
            </w:tcBorders>
            <w:shd w:val="clear" w:color="auto" w:fill="auto"/>
            <w:vAlign w:val="bottom"/>
          </w:tcPr>
          <w:p>
            <w:pPr>
              <w:keepNext w:val="0"/>
              <w:keepLines w:val="0"/>
              <w:widowControl/>
              <w:suppressLineNumbers w:val="0"/>
              <w:snapToGrid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预算公开10表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14174" w:type="dxa"/>
            <w:gridSpan w:val="15"/>
            <w:tcBorders>
              <w:top w:val="nil"/>
              <w:left w:val="nil"/>
              <w:bottom w:val="nil"/>
              <w:right w:val="nil"/>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项目绩效目标公开表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16" w:type="dxa"/>
            <w:tcBorders>
              <w:top w:val="nil"/>
              <w:left w:val="nil"/>
              <w:bottom w:val="nil"/>
              <w:right w:val="nil"/>
            </w:tcBorders>
            <w:shd w:val="clear" w:color="auto" w:fill="auto"/>
            <w:vAlign w:val="bottom"/>
          </w:tcPr>
          <w:p>
            <w:pPr>
              <w:snapToGrid w:val="0"/>
              <w:jc w:val="left"/>
              <w:rPr>
                <w:rFonts w:hint="eastAsia" w:ascii="宋体" w:hAnsi="宋体" w:eastAsia="宋体" w:cs="宋体"/>
                <w:i w:val="0"/>
                <w:iCs w:val="0"/>
                <w:color w:val="000000"/>
                <w:sz w:val="20"/>
                <w:szCs w:val="20"/>
                <w:u w:val="none"/>
              </w:rPr>
            </w:pPr>
          </w:p>
        </w:tc>
        <w:tc>
          <w:tcPr>
            <w:tcW w:w="753" w:type="dxa"/>
            <w:tcBorders>
              <w:top w:val="nil"/>
              <w:left w:val="nil"/>
              <w:bottom w:val="nil"/>
              <w:right w:val="nil"/>
            </w:tcBorders>
            <w:shd w:val="clear" w:color="auto" w:fill="auto"/>
            <w:vAlign w:val="bottom"/>
          </w:tcPr>
          <w:p>
            <w:pPr>
              <w:snapToGrid w:val="0"/>
              <w:rPr>
                <w:rFonts w:hint="eastAsia" w:ascii="等线" w:hAnsi="等线" w:eastAsia="等线" w:cs="等线"/>
                <w:i w:val="0"/>
                <w:iCs w:val="0"/>
                <w:color w:val="000000"/>
                <w:sz w:val="22"/>
                <w:szCs w:val="22"/>
                <w:u w:val="none"/>
              </w:rPr>
            </w:pPr>
          </w:p>
        </w:tc>
        <w:tc>
          <w:tcPr>
            <w:tcW w:w="753"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753"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1416"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980"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757"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757"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757"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757"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984"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984"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984"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1100" w:type="dxa"/>
            <w:tcBorders>
              <w:top w:val="nil"/>
              <w:left w:val="nil"/>
              <w:bottom w:val="nil"/>
              <w:right w:val="nil"/>
            </w:tcBorders>
            <w:shd w:val="clear" w:color="auto" w:fill="auto"/>
            <w:vAlign w:val="bottom"/>
          </w:tcPr>
          <w:p>
            <w:pPr>
              <w:snapToGrid w:val="0"/>
              <w:rPr>
                <w:rFonts w:hint="default" w:ascii="等线" w:hAnsi="等线" w:eastAsia="等线" w:cs="等线"/>
                <w:i w:val="0"/>
                <w:iCs w:val="0"/>
                <w:color w:val="000000"/>
                <w:sz w:val="22"/>
                <w:szCs w:val="22"/>
                <w:u w:val="none"/>
              </w:rPr>
            </w:pPr>
          </w:p>
        </w:tc>
        <w:tc>
          <w:tcPr>
            <w:tcW w:w="1823" w:type="dxa"/>
            <w:tcBorders>
              <w:top w:val="nil"/>
              <w:left w:val="nil"/>
              <w:bottom w:val="nil"/>
              <w:right w:val="nil"/>
            </w:tcBorders>
            <w:shd w:val="clear" w:color="auto" w:fill="auto"/>
            <w:vAlign w:val="center"/>
          </w:tcPr>
          <w:p>
            <w:pPr>
              <w:keepNext w:val="0"/>
              <w:keepLines w:val="0"/>
              <w:widowControl/>
              <w:suppressLineNumbers w:val="0"/>
              <w:snapToGrid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单位代码</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单位名称</w:t>
            </w:r>
          </w:p>
        </w:tc>
        <w:tc>
          <w:tcPr>
            <w:tcW w:w="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预算资金总额</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年度绩效目标</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7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可持续效益指标</w:t>
            </w:r>
          </w:p>
        </w:tc>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jc w:val="center"/>
        </w:trPr>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7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9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0" w:hRule="atLeast"/>
          <w:jc w:val="center"/>
        </w:trPr>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bl>
    <w:p>
      <w:pPr>
        <w:rPr>
          <w:highlight w:val="none"/>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5B3CE9"/>
    <w:multiLevelType w:val="singleLevel"/>
    <w:tmpl w:val="9F5B3CE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F27E6"/>
    <w:rsid w:val="13C7358C"/>
    <w:rsid w:val="15DD7808"/>
    <w:rsid w:val="19324451"/>
    <w:rsid w:val="215108D1"/>
    <w:rsid w:val="21690C6D"/>
    <w:rsid w:val="27E63065"/>
    <w:rsid w:val="2E0E428D"/>
    <w:rsid w:val="2F0E7201"/>
    <w:rsid w:val="33AD0200"/>
    <w:rsid w:val="36190BE4"/>
    <w:rsid w:val="392A132F"/>
    <w:rsid w:val="3ACB0C03"/>
    <w:rsid w:val="4CC12FFC"/>
    <w:rsid w:val="4E3B534E"/>
    <w:rsid w:val="52744604"/>
    <w:rsid w:val="56FC1829"/>
    <w:rsid w:val="5FF6275D"/>
    <w:rsid w:val="61790893"/>
    <w:rsid w:val="61C13FB8"/>
    <w:rsid w:val="64FF2BB3"/>
    <w:rsid w:val="682A3D52"/>
    <w:rsid w:val="691262A5"/>
    <w:rsid w:val="6A3E1DEA"/>
    <w:rsid w:val="6DAE2E3A"/>
    <w:rsid w:val="7B0163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自建正文1"/>
    <w:basedOn w:val="1"/>
    <w:next w:val="1"/>
    <w:qFormat/>
    <w:uiPriority w:val="0"/>
    <w:pPr>
      <w:spacing w:beforeAutospacing="0" w:afterAutospacing="0" w:line="600" w:lineRule="exact"/>
      <w:ind w:left="1134" w:leftChars="0" w:firstLine="0" w:firstLineChars="0"/>
    </w:pPr>
    <w:rPr>
      <w:rFonts w:ascii="仿宋_GB2312" w:hAnsi="仿宋_GB2312" w:eastAsia="仿宋_GB2312"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6652</Words>
  <Characters>7237</Characters>
  <Lines>0</Lines>
  <Paragraphs>0</Paragraphs>
  <TotalTime>12</TotalTime>
  <ScaleCrop>false</ScaleCrop>
  <LinksUpToDate>false</LinksUpToDate>
  <CharactersWithSpaces>7299</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Administrator</cp:lastModifiedBy>
  <dcterms:modified xsi:type="dcterms:W3CDTF">2026-03-31T01:23:54Z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KSOTemplateDocerSaveRecord">
    <vt:lpwstr>eyJoZGlkIjoiOTZjNmRiMjk0MzkzM2E1NTM0Y2NlM2ZmMmY4NWYwMGUiLCJ1c2VySWQiOiIxMjE1MTc3OTczIn0=</vt:lpwstr>
  </property>
  <property fmtid="{D5CDD505-2E9C-101B-9397-08002B2CF9AE}" pid="4" name="ICV">
    <vt:lpwstr>97E6241990D24B07B153ECB7594BFFF3_13</vt:lpwstr>
  </property>
</Properties>
</file>