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327F2">
      <w:pPr>
        <w:jc w:val="center"/>
        <w:rPr>
          <w:rFonts w:hint="eastAsia" w:ascii="黑体" w:hAnsi="宋体" w:eastAsia="黑体"/>
          <w:bCs/>
          <w:sz w:val="44"/>
          <w:szCs w:val="44"/>
          <w:highlight w:val="none"/>
          <w:lang w:val="en-US" w:eastAsia="zh-CN"/>
        </w:rPr>
      </w:pPr>
      <w:r>
        <w:rPr>
          <w:rFonts w:hint="eastAsia" w:ascii="黑体" w:hAnsi="宋体" w:eastAsia="黑体"/>
          <w:bCs/>
          <w:sz w:val="44"/>
          <w:szCs w:val="44"/>
          <w:highlight w:val="none"/>
          <w:lang w:eastAsia="zh-CN"/>
        </w:rPr>
        <w:t>柳江区图书馆</w:t>
      </w:r>
      <w:r>
        <w:rPr>
          <w:rFonts w:hint="eastAsia" w:ascii="黑体" w:hAnsi="宋体" w:eastAsia="黑体"/>
          <w:bCs/>
          <w:sz w:val="44"/>
          <w:szCs w:val="44"/>
          <w:highlight w:val="none"/>
          <w:lang w:val="en-US" w:eastAsia="zh-CN"/>
        </w:rPr>
        <w:t>2026年</w:t>
      </w:r>
    </w:p>
    <w:p w14:paraId="5FAA9272">
      <w:pPr>
        <w:jc w:val="center"/>
        <w:rPr>
          <w:rFonts w:hint="eastAsia" w:ascii="黑体" w:hAnsi="宋体" w:eastAsia="黑体"/>
          <w:bCs/>
          <w:szCs w:val="32"/>
        </w:rPr>
      </w:pP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14:paraId="0FF7200A">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1AFF519F">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14:paraId="25614844">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1243F09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柳江区图书馆2026年</w:t>
      </w:r>
      <w:r>
        <w:rPr>
          <w:rFonts w:hint="eastAsia" w:ascii="黑体" w:eastAsia="黑体"/>
          <w:szCs w:val="32"/>
          <w:lang w:eastAsia="zh-CN"/>
        </w:rPr>
        <w:t>单位</w:t>
      </w:r>
      <w:r>
        <w:rPr>
          <w:rFonts w:hint="eastAsia" w:ascii="黑体" w:eastAsia="黑体"/>
          <w:szCs w:val="32"/>
        </w:rPr>
        <w:t>预算情况说明</w:t>
      </w:r>
    </w:p>
    <w:p w14:paraId="148BB615">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14:paraId="5F187082">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14:paraId="571D675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14:paraId="0EE352B6">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14:paraId="39585E7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B225055">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25F0BD85">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3D0FB255">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27BFA2E6">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4EC5A811">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61456DC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14:paraId="25BCD73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1A680F9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66FD3447">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1365570E">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55EC5C3E">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58F310A4">
      <w:pPr>
        <w:adjustRightInd w:val="0"/>
        <w:snapToGrid w:val="0"/>
        <w:spacing w:line="560" w:lineRule="exact"/>
        <w:ind w:right="-333" w:rightChars="-104" w:firstLine="640" w:firstLineChars="200"/>
        <w:rPr>
          <w:rFonts w:hint="eastAsia" w:ascii="黑体" w:eastAsia="黑体"/>
          <w:szCs w:val="32"/>
        </w:rPr>
      </w:pPr>
      <w:r>
        <w:rPr>
          <w:rFonts w:hint="eastAsia" w:ascii="黑体" w:hAnsi="宋体" w:eastAsia="黑体"/>
          <w:bCs/>
          <w:szCs w:val="32"/>
        </w:rPr>
        <w:t>第四部分：</w:t>
      </w:r>
      <w:r>
        <w:rPr>
          <w:rFonts w:hint="eastAsia" w:ascii="黑体" w:hAnsi="宋体" w:eastAsia="黑体"/>
          <w:szCs w:val="32"/>
          <w:lang w:eastAsia="zh-CN"/>
        </w:rPr>
        <w:t>柳江区图书馆2026年</w:t>
      </w:r>
      <w:r>
        <w:rPr>
          <w:rFonts w:hint="eastAsia" w:ascii="黑体" w:eastAsia="黑体"/>
          <w:szCs w:val="32"/>
          <w:lang w:eastAsia="zh-CN"/>
        </w:rPr>
        <w:t>单位</w:t>
      </w:r>
      <w:r>
        <w:rPr>
          <w:rFonts w:hint="eastAsia" w:ascii="黑体" w:eastAsia="黑体"/>
          <w:szCs w:val="32"/>
        </w:rPr>
        <w:t>预算报表</w:t>
      </w:r>
    </w:p>
    <w:p w14:paraId="2AFE7A04">
      <w:pPr>
        <w:pStyle w:val="2"/>
        <w:rPr>
          <w:rFonts w:hint="eastAsia"/>
        </w:rPr>
      </w:pPr>
    </w:p>
    <w:p w14:paraId="48CAE691">
      <w:pPr>
        <w:keepNext w:val="0"/>
        <w:keepLines w:val="0"/>
        <w:pageBreakBefore w:val="0"/>
        <w:kinsoku/>
        <w:wordWrap/>
        <w:overflowPunct/>
        <w:topLinePunct w:val="0"/>
        <w:autoSpaceDE/>
        <w:autoSpaceDN/>
        <w:bidi w:val="0"/>
        <w:adjustRightInd w:val="0"/>
        <w:snapToGrid w:val="0"/>
        <w:spacing w:line="240" w:lineRule="auto"/>
        <w:ind w:right="0" w:rightChars="0"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647F65AE">
      <w:pPr>
        <w:keepNext w:val="0"/>
        <w:keepLines w:val="0"/>
        <w:pageBreakBefore w:val="0"/>
        <w:kinsoku/>
        <w:wordWrap/>
        <w:overflowPunct/>
        <w:topLinePunct w:val="0"/>
        <w:autoSpaceDE/>
        <w:autoSpaceDN/>
        <w:bidi w:val="0"/>
        <w:adjustRightInd w:val="0"/>
        <w:snapToGrid w:val="0"/>
        <w:spacing w:line="240" w:lineRule="auto"/>
        <w:ind w:right="0" w:rightChars="0"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0C1C7D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1.贯彻执行党和国家关于文化、图书管理工作的方针政策和法律法规。</w:t>
      </w:r>
    </w:p>
    <w:p w14:paraId="1F029D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2.图书、文献、报刊、金石拓片、音像资料的采编与储藏；图书资料的借阅和保存；图书资料网络系统的设计、施工、维护和管理；文献的数字化处理；图书馆学的研究；图书、期刊、资料的编辑出版。</w:t>
      </w:r>
    </w:p>
    <w:p w14:paraId="3D5089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3.开展知识培训和社会教育，传递科学情报。</w:t>
      </w:r>
    </w:p>
    <w:p w14:paraId="3BF183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eastAsia="黑体"/>
          <w:sz w:val="32"/>
          <w:szCs w:val="32"/>
          <w:highlight w:val="none"/>
        </w:rPr>
      </w:pPr>
      <w:r>
        <w:rPr>
          <w:rFonts w:hint="eastAsia" w:ascii="仿宋" w:hAnsi="仿宋" w:eastAsia="仿宋" w:cs="仿宋"/>
          <w:sz w:val="32"/>
          <w:szCs w:val="32"/>
          <w:lang w:val="en-US" w:eastAsia="zh-CN"/>
        </w:rPr>
        <w:t>4.承办区委、区政府和上级业务主管部门交办的其他事项。</w:t>
      </w:r>
    </w:p>
    <w:p w14:paraId="39EBA9B9">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黑体" w:hAnsi="宋体" w:eastAsia="黑体"/>
          <w:szCs w:val="32"/>
        </w:rPr>
      </w:pPr>
      <w:r>
        <w:rPr>
          <w:rFonts w:hint="eastAsia" w:ascii="黑体" w:hAnsi="宋体" w:eastAsia="黑体"/>
          <w:szCs w:val="32"/>
        </w:rPr>
        <w:t>二、机构设置情况</w:t>
      </w:r>
    </w:p>
    <w:p w14:paraId="04DB4FDD">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（一）内设机构</w:t>
      </w:r>
    </w:p>
    <w:p w14:paraId="40ED1D7B">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根据上述职责，柳江区图书馆设9个内设机构。</w:t>
      </w:r>
    </w:p>
    <w:p w14:paraId="4CB46D24">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1.</w:t>
      </w:r>
      <w:r>
        <w:rPr>
          <w:rFonts w:hint="eastAsia" w:ascii="仿宋" w:hAnsi="仿宋" w:eastAsia="仿宋" w:cs="仿宋"/>
          <w:szCs w:val="32"/>
        </w:rPr>
        <w:t>综合办公室</w:t>
      </w:r>
    </w:p>
    <w:p w14:paraId="2A0C3F5E">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负责综合协调工作。参与研究制订柳江区图书馆事业发展规划，负责拟订柳江区图书馆的年度工作计划，组织本单位对政策、法律、法规宣传教育和调查研究工作；处理馆内重大公务活动，处理日常行政事务工作,协助馆领导制定和组织实施图书馆各项规章制度, 协助馆领导组织全馆活动,做好有关会议的组织和服务工作。负责本馆普法信息，档案管理、报送材料、来访接待等工作，完成领导交办的其他工作。</w:t>
      </w:r>
    </w:p>
    <w:p w14:paraId="61A6355A">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2.</w:t>
      </w:r>
      <w:r>
        <w:rPr>
          <w:rFonts w:hint="eastAsia" w:ascii="仿宋" w:hAnsi="仿宋" w:eastAsia="仿宋" w:cs="仿宋"/>
          <w:szCs w:val="32"/>
        </w:rPr>
        <w:t>图书采编室</w:t>
      </w:r>
    </w:p>
    <w:p w14:paraId="5044BF64">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负责馆藏的研究和采集。熟悉馆藏情况和了解读者需要，做好图书、报刊资料的预订、采购、征集工作，做好新书总括、个别登录、分类、编目、盖章、打号及装裱加工工作，做好年终进书册数、金额的统计工作，完成馆领导交办的其他工作。</w:t>
      </w:r>
    </w:p>
    <w:p w14:paraId="35216DD4">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3.</w:t>
      </w:r>
      <w:r>
        <w:rPr>
          <w:rFonts w:hint="eastAsia" w:ascii="仿宋" w:hAnsi="仿宋" w:eastAsia="仿宋" w:cs="仿宋"/>
          <w:szCs w:val="32"/>
        </w:rPr>
        <w:t>图书借阅室</w:t>
      </w:r>
    </w:p>
    <w:p w14:paraId="314F6A4F">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负责馆内资料流通工作。爱护国家文献资料，严格执行外借规章制度；熟悉图书分类、编目、排架，要求取书迅速，归架准确，提高工作效率。每天按时开放，当班时间不得干私活或埋头看书，不在书库会客、吸烟。热情接待读者，使用文明礼貌语言，团结协作，做好借阅统计和续借、修补图书、登记和读者跟踪服务工作；搞好借书证发放工作；完成馆领导交办的其他工作。</w:t>
      </w:r>
    </w:p>
    <w:p w14:paraId="61F8C9F1">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4.</w:t>
      </w:r>
      <w:r>
        <w:rPr>
          <w:rFonts w:hint="eastAsia" w:ascii="仿宋" w:hAnsi="仿宋" w:eastAsia="仿宋" w:cs="仿宋"/>
          <w:szCs w:val="32"/>
        </w:rPr>
        <w:t>综合阅览室</w:t>
      </w:r>
    </w:p>
    <w:p w14:paraId="4AA9B1DE">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负责馆内报刊、期刊的阅览。按时对外开放，上班时间不得干私活或埋头看书，不得擅离职守；当日到的报刊要验收登记、盖章、陈列，不得将室内陈列的报刊借出馆外；做好阅览人次统计，收集阅览效果，并负责报刊查询工作。保持室内整齐清洁，报刊排列有序的良好阅览环境，完成馆领导交办的其他工作任务。</w:t>
      </w:r>
    </w:p>
    <w:p w14:paraId="55449989">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5.</w:t>
      </w:r>
      <w:r>
        <w:rPr>
          <w:rFonts w:hint="eastAsia" w:ascii="仿宋" w:hAnsi="仿宋" w:eastAsia="仿宋" w:cs="仿宋"/>
          <w:szCs w:val="32"/>
        </w:rPr>
        <w:t>儿童阅览室</w:t>
      </w:r>
    </w:p>
    <w:p w14:paraId="7B288FCC">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负责馆内儿童读物的借阅。按时对外开放，上班时间不得干私活或埋头看书，不得擅离职守；当日到的报刊要验收登记、盖章、陈列，不得将室内陈列的报刊借出馆外；做好阅览、外借鉴人次统计工作，收集阅览效果；与学校、家长密切联系，做好辅导工作，培养少儿读者骨干，提高少儿读书求知兴趣；完成馆领导交办的其他工作任务。</w:t>
      </w:r>
    </w:p>
    <w:p w14:paraId="0B3ECCD5">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val="en-US" w:eastAsia="zh-CN"/>
        </w:rPr>
        <w:t>6.</w:t>
      </w:r>
      <w:r>
        <w:rPr>
          <w:rFonts w:hint="eastAsia" w:ascii="仿宋" w:hAnsi="仿宋" w:eastAsia="仿宋" w:cs="仿宋"/>
          <w:szCs w:val="32"/>
        </w:rPr>
        <w:t>期刊装订室</w:t>
      </w:r>
    </w:p>
    <w:p w14:paraId="452E1497">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负责本馆报纸期刊的装订规整。做好过刊室的日常开放和管理，负责过刊和报纸的装订，负责读者查询工作。完成馆领导交办的其他工作。</w:t>
      </w:r>
    </w:p>
    <w:p w14:paraId="796771BE">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eastAsia="zh-CN"/>
        </w:rPr>
        <w:t>（</w:t>
      </w:r>
      <w:r>
        <w:rPr>
          <w:rFonts w:hint="eastAsia" w:ascii="仿宋" w:hAnsi="仿宋" w:eastAsia="仿宋" w:cs="仿宋"/>
          <w:szCs w:val="32"/>
          <w:lang w:val="en-US" w:eastAsia="zh-CN"/>
        </w:rPr>
        <w:t>二)</w:t>
      </w:r>
      <w:r>
        <w:rPr>
          <w:rFonts w:hint="eastAsia" w:ascii="仿宋" w:hAnsi="仿宋" w:eastAsia="仿宋" w:cs="仿宋"/>
          <w:szCs w:val="32"/>
        </w:rPr>
        <w:t>人员编制和领导职数</w:t>
      </w:r>
    </w:p>
    <w:p w14:paraId="3C7A5E4C">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柳江区图书馆编制11名。其中：馆长1名，副馆长1名。</w:t>
      </w:r>
    </w:p>
    <w:p w14:paraId="5312A4B6">
      <w:pPr>
        <w:pStyle w:val="2"/>
        <w:rPr>
          <w:rFonts w:hint="eastAsia" w:ascii="仿宋" w:hAnsi="仿宋" w:eastAsia="仿宋" w:cs="仿宋"/>
          <w:szCs w:val="32"/>
        </w:rPr>
      </w:pPr>
    </w:p>
    <w:p w14:paraId="53D92B32">
      <w:pPr>
        <w:pStyle w:val="2"/>
        <w:rPr>
          <w:rFonts w:hint="eastAsia" w:ascii="仿宋" w:hAnsi="仿宋" w:eastAsia="仿宋" w:cs="仿宋"/>
          <w:szCs w:val="32"/>
        </w:rPr>
      </w:pPr>
    </w:p>
    <w:p w14:paraId="5EE37259">
      <w:pPr>
        <w:pStyle w:val="2"/>
        <w:rPr>
          <w:rFonts w:hint="eastAsia" w:ascii="仿宋" w:hAnsi="仿宋" w:eastAsia="仿宋" w:cs="仿宋"/>
          <w:szCs w:val="32"/>
        </w:rPr>
      </w:pPr>
    </w:p>
    <w:p w14:paraId="2C0EC3A6">
      <w:pPr>
        <w:pStyle w:val="2"/>
        <w:rPr>
          <w:rFonts w:hint="eastAsia" w:ascii="仿宋" w:hAnsi="仿宋" w:eastAsia="仿宋" w:cs="仿宋"/>
          <w:szCs w:val="32"/>
        </w:rPr>
      </w:pPr>
    </w:p>
    <w:p w14:paraId="37925762">
      <w:pPr>
        <w:pStyle w:val="2"/>
        <w:rPr>
          <w:rFonts w:hint="eastAsia" w:ascii="仿宋" w:hAnsi="仿宋" w:eastAsia="仿宋" w:cs="仿宋"/>
          <w:szCs w:val="32"/>
        </w:rPr>
      </w:pPr>
    </w:p>
    <w:p w14:paraId="4FF9B22D">
      <w:pPr>
        <w:pStyle w:val="2"/>
        <w:rPr>
          <w:rFonts w:hint="eastAsia" w:ascii="仿宋" w:hAnsi="仿宋" w:eastAsia="仿宋" w:cs="仿宋"/>
          <w:szCs w:val="32"/>
        </w:rPr>
      </w:pPr>
    </w:p>
    <w:p w14:paraId="3191DD60">
      <w:pPr>
        <w:pStyle w:val="2"/>
        <w:rPr>
          <w:rFonts w:hint="eastAsia" w:ascii="仿宋" w:hAnsi="仿宋" w:eastAsia="仿宋" w:cs="仿宋"/>
          <w:szCs w:val="32"/>
        </w:rPr>
      </w:pPr>
    </w:p>
    <w:p w14:paraId="0368B237">
      <w:pPr>
        <w:pStyle w:val="2"/>
        <w:rPr>
          <w:rFonts w:hint="eastAsia" w:ascii="仿宋" w:hAnsi="仿宋" w:eastAsia="仿宋" w:cs="仿宋"/>
          <w:szCs w:val="32"/>
        </w:rPr>
      </w:pPr>
    </w:p>
    <w:p w14:paraId="21D107D2">
      <w:pPr>
        <w:pStyle w:val="2"/>
        <w:rPr>
          <w:rFonts w:hint="eastAsia" w:ascii="仿宋" w:hAnsi="仿宋" w:eastAsia="仿宋" w:cs="仿宋"/>
          <w:szCs w:val="32"/>
        </w:rPr>
      </w:pPr>
    </w:p>
    <w:p w14:paraId="2F9F19F2">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第二部分：</w:t>
      </w:r>
      <w:r>
        <w:rPr>
          <w:rFonts w:hint="eastAsia" w:ascii="黑体" w:eastAsia="黑体"/>
          <w:szCs w:val="32"/>
          <w:lang w:val="en-US" w:eastAsia="zh-CN"/>
        </w:rPr>
        <w:t>柳州市</w:t>
      </w:r>
      <w:r>
        <w:rPr>
          <w:rFonts w:hint="eastAsia" w:ascii="黑体" w:hAnsi="宋体" w:eastAsia="黑体"/>
          <w:szCs w:val="32"/>
          <w:lang w:eastAsia="zh-CN"/>
        </w:rPr>
        <w:t>柳江区图书馆2026年</w:t>
      </w:r>
      <w:r>
        <w:rPr>
          <w:rFonts w:hint="eastAsia" w:ascii="黑体" w:eastAsia="黑体"/>
          <w:szCs w:val="32"/>
          <w:lang w:eastAsia="zh-CN"/>
        </w:rPr>
        <w:t>单位</w:t>
      </w:r>
      <w:r>
        <w:rPr>
          <w:rFonts w:hint="eastAsia" w:ascii="黑体" w:eastAsia="黑体"/>
          <w:szCs w:val="32"/>
        </w:rPr>
        <w:t>预算情况说明</w:t>
      </w:r>
    </w:p>
    <w:p w14:paraId="00A55A15">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14:paraId="7AA5D406">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246.74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246.74</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16.62%，主要原因是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16.62%，主要原因是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w:t>
      </w:r>
    </w:p>
    <w:p w14:paraId="23BF292F">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14:paraId="258A9E78">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246.74</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lang w:val="en-US" w:eastAsia="zh-CN"/>
        </w:rPr>
        <w:t>16.62%，主要原因是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w:t>
      </w:r>
    </w:p>
    <w:p w14:paraId="0A4A5E71">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14:paraId="51D1E455">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246.74</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16.62%，主要原因是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。主要包括：1.文化旅游体育与传媒支出149.07万元，占总支出的60.42%；2.社会保障和就业支出64.37万元，占总支出的26.09%；3.卫生健康支出13.27万元，占总支出的5.38%；4.住房保障支出20.03万元，占总支出的8.12%</w:t>
      </w:r>
      <w:r>
        <w:rPr>
          <w:rFonts w:hint="eastAsia" w:ascii="仿宋_GB2312" w:hAnsi="宋体"/>
          <w:szCs w:val="32"/>
          <w:highlight w:val="none"/>
          <w:lang w:val="en-US" w:eastAsia="zh-CN"/>
        </w:rPr>
        <w:t>。</w:t>
      </w:r>
    </w:p>
    <w:p w14:paraId="70F46576">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四、财政拨款收支总体情况说明</w:t>
      </w:r>
    </w:p>
    <w:p w14:paraId="16A35874">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246.74</w:t>
      </w:r>
      <w:r>
        <w:rPr>
          <w:rFonts w:hint="eastAsia" w:ascii="仿宋_GB2312" w:eastAsia="仿宋_GB2312"/>
          <w:sz w:val="32"/>
          <w:szCs w:val="32"/>
          <w:lang w:val="en-US" w:eastAsia="zh-CN"/>
        </w:rPr>
        <w:t>万元，总支出</w:t>
      </w:r>
      <w:r>
        <w:rPr>
          <w:rFonts w:hint="eastAsia" w:ascii="仿宋_GB2312"/>
          <w:sz w:val="32"/>
          <w:szCs w:val="32"/>
          <w:lang w:val="en-US" w:eastAsia="zh-CN"/>
        </w:rPr>
        <w:t>246.74</w:t>
      </w:r>
      <w:r>
        <w:rPr>
          <w:rFonts w:hint="eastAsia" w:ascii="仿宋_GB2312" w:eastAsia="仿宋_GB2312"/>
          <w:sz w:val="32"/>
          <w:szCs w:val="32"/>
          <w:lang w:val="en-US" w:eastAsia="zh-CN"/>
        </w:rPr>
        <w:t>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较上年增长</w:t>
      </w:r>
      <w:r>
        <w:rPr>
          <w:rFonts w:hint="eastAsia" w:ascii="仿宋_GB2312"/>
          <w:sz w:val="32"/>
          <w:szCs w:val="32"/>
          <w:lang w:val="en-US" w:eastAsia="zh-CN"/>
        </w:rPr>
        <w:t>16.62%，主要原因是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w:t>
      </w:r>
      <w:r>
        <w:rPr>
          <w:rFonts w:hint="eastAsia" w:ascii="仿宋_GB2312" w:eastAsia="仿宋_GB2312"/>
          <w:sz w:val="32"/>
          <w:szCs w:val="32"/>
        </w:rPr>
        <w:t>财政拨款</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16.62%，主要原因是</w:t>
      </w:r>
      <w:r>
        <w:rPr>
          <w:rFonts w:hint="eastAsia" w:ascii="仿宋_GB2312"/>
          <w:szCs w:val="32"/>
          <w:lang w:val="en-US" w:eastAsia="zh-CN"/>
        </w:rPr>
        <w:t>2025年基数上调，五险一金较上年有所增加</w:t>
      </w:r>
      <w:r>
        <w:rPr>
          <w:rFonts w:hint="eastAsia" w:ascii="仿宋_GB2312"/>
          <w:sz w:val="32"/>
          <w:szCs w:val="32"/>
          <w:lang w:val="en-US" w:eastAsia="zh-CN"/>
        </w:rPr>
        <w:t>。</w:t>
      </w:r>
    </w:p>
    <w:p w14:paraId="554DC52E">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五、一般公共预算支出情况说明</w:t>
      </w:r>
    </w:p>
    <w:p w14:paraId="6196DDA2">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eastAsia="仿宋_GB2312"/>
          <w:sz w:val="32"/>
          <w:szCs w:val="32"/>
        </w:rPr>
        <w:t>一般公共预算支出</w:t>
      </w:r>
      <w:r>
        <w:rPr>
          <w:rFonts w:hint="eastAsia" w:ascii="仿宋_GB2312" w:eastAsia="仿宋_GB2312"/>
          <w:sz w:val="32"/>
          <w:szCs w:val="32"/>
          <w:lang w:eastAsia="zh-CN"/>
        </w:rPr>
        <w:t>共</w:t>
      </w:r>
      <w:r>
        <w:rPr>
          <w:rFonts w:hint="eastAsia" w:ascii="仿宋_GB2312"/>
          <w:sz w:val="32"/>
          <w:szCs w:val="32"/>
          <w:lang w:val="en-US" w:eastAsia="zh-CN"/>
        </w:rPr>
        <w:t>246.74</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81.68%，主要原因是</w:t>
      </w:r>
      <w:r>
        <w:rPr>
          <w:rFonts w:hint="eastAsia" w:ascii="仿宋_GB2312"/>
          <w:szCs w:val="32"/>
          <w:lang w:val="en-US" w:eastAsia="zh-CN"/>
        </w:rPr>
        <w:t>2025年基数上调，五险一金较上年有所增加</w:t>
      </w:r>
      <w:r>
        <w:rPr>
          <w:rFonts w:hint="eastAsia" w:ascii="仿宋_GB2312"/>
          <w:szCs w:val="32"/>
          <w:lang w:eastAsia="zh-CN"/>
        </w:rPr>
        <w:t>。</w:t>
      </w:r>
      <w:r>
        <w:rPr>
          <w:rFonts w:hint="eastAsia" w:ascii="仿宋_GB2312"/>
          <w:sz w:val="32"/>
          <w:szCs w:val="32"/>
          <w:lang w:eastAsia="zh-CN"/>
        </w:rPr>
        <w:t>具体情况为：</w:t>
      </w:r>
    </w:p>
    <w:p w14:paraId="73A0F9FD">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w:t>
      </w:r>
      <w:r>
        <w:rPr>
          <w:rFonts w:hint="eastAsia" w:ascii="仿宋_GB2312" w:hAnsi="Times New Roman" w:cs="Times New Roman"/>
          <w:kern w:val="2"/>
          <w:sz w:val="32"/>
          <w:szCs w:val="32"/>
          <w:highlight w:val="none"/>
          <w:lang w:val="en-US" w:eastAsia="zh-CN"/>
        </w:rPr>
        <w:t>图书馆</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147.07</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的59.61</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val="en-US" w:eastAsia="zh-CN"/>
        </w:rPr>
        <w:t>加35.16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16.62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主要原因是2025年基数上调，五险一金较上年有所增加</w:t>
      </w:r>
      <w:r>
        <w:rPr>
          <w:rFonts w:hint="eastAsia" w:ascii="仿宋_GB2312" w:hAnsi="Times New Roman" w:eastAsia="仿宋_GB2312" w:cs="Times New Roman"/>
          <w:kern w:val="2"/>
          <w:sz w:val="32"/>
          <w:szCs w:val="32"/>
          <w:highlight w:val="none"/>
        </w:rPr>
        <w:t>；</w:t>
      </w:r>
    </w:p>
    <w:p w14:paraId="64695770">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default" w:ascii="仿宋_GB2312" w:hAnsi="Times New Roman" w:eastAsia="仿宋_GB2312" w:cs="Times New Roman"/>
          <w:kern w:val="2"/>
          <w:sz w:val="32"/>
          <w:szCs w:val="32"/>
          <w:highlight w:val="none"/>
          <w:lang w:val="en-US" w:eastAsia="zh-CN"/>
        </w:rPr>
      </w:pPr>
      <w:r>
        <w:rPr>
          <w:rFonts w:hint="eastAsia" w:ascii="仿宋_GB2312" w:hAnsi="Times New Roman" w:eastAsia="仿宋_GB2312" w:cs="Times New Roman"/>
          <w:kern w:val="2"/>
          <w:sz w:val="32"/>
          <w:szCs w:val="32"/>
          <w:highlight w:val="none"/>
        </w:rPr>
        <w:t>（2）</w:t>
      </w:r>
      <w:r>
        <w:rPr>
          <w:rFonts w:hint="eastAsia" w:ascii="仿宋_GB2312" w:hAnsi="Times New Roman" w:cs="Times New Roman"/>
          <w:kern w:val="2"/>
          <w:sz w:val="32"/>
          <w:szCs w:val="32"/>
          <w:highlight w:val="none"/>
          <w:lang w:val="en-US" w:eastAsia="zh-CN"/>
        </w:rPr>
        <w:t>其他文化和旅游支出类科目支出预算2万元，占支出总预算的0.81%，同比持平；</w:t>
      </w:r>
    </w:p>
    <w:p w14:paraId="1402CCF2">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3）事业单位离退休</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24.32</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的9.86</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val="en-US" w:eastAsia="zh-CN"/>
        </w:rPr>
        <w:t>减少1.44万元，同比下降5.60%，主要原因是2025年有一位退休同志去世</w:t>
      </w:r>
      <w:r>
        <w:rPr>
          <w:rFonts w:hint="eastAsia" w:ascii="仿宋_GB2312" w:hAnsi="Times New Roman" w:eastAsia="仿宋_GB2312" w:cs="Times New Roman"/>
          <w:kern w:val="2"/>
          <w:sz w:val="32"/>
          <w:szCs w:val="32"/>
          <w:highlight w:val="none"/>
        </w:rPr>
        <w:t>；</w:t>
      </w:r>
    </w:p>
    <w:p w14:paraId="7F200BBF">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4）</w:t>
      </w:r>
      <w:bookmarkStart w:id="0" w:name="OLE_LINK2"/>
      <w:r>
        <w:rPr>
          <w:rFonts w:hint="eastAsia" w:ascii="仿宋_GB2312" w:hAnsi="Times New Roman" w:cs="Times New Roman"/>
          <w:kern w:val="2"/>
          <w:sz w:val="32"/>
          <w:szCs w:val="32"/>
          <w:highlight w:val="none"/>
          <w:lang w:val="en-US" w:eastAsia="zh-CN"/>
        </w:rPr>
        <w:t>机关事业单位基本养老保险缴费</w:t>
      </w:r>
      <w:bookmarkEnd w:id="0"/>
      <w:r>
        <w:rPr>
          <w:rFonts w:hint="eastAsia" w:ascii="仿宋_GB2312" w:hAnsi="Times New Roman" w:cs="Times New Roman"/>
          <w:kern w:val="2"/>
          <w:sz w:val="32"/>
          <w:szCs w:val="32"/>
          <w:highlight w:val="none"/>
          <w:lang w:val="en-US" w:eastAsia="zh-CN"/>
        </w:rPr>
        <w:t>科目支出26.70万元，占支出总预算的10.82%，同比增加9.09万元，同比增长51.65%，主要原因是</w:t>
      </w:r>
      <w:r>
        <w:rPr>
          <w:rFonts w:hint="eastAsia" w:ascii="仿宋_GB2312"/>
          <w:sz w:val="32"/>
          <w:szCs w:val="32"/>
          <w:lang w:val="en-US" w:eastAsia="zh-CN"/>
        </w:rPr>
        <w:t>2025年基数上调，</w:t>
      </w:r>
      <w:r>
        <w:rPr>
          <w:rFonts w:hint="eastAsia" w:ascii="仿宋_GB2312" w:hAnsi="Times New Roman" w:cs="Times New Roman"/>
          <w:kern w:val="2"/>
          <w:sz w:val="32"/>
          <w:szCs w:val="32"/>
          <w:highlight w:val="none"/>
          <w:lang w:val="en-US" w:eastAsia="zh-CN"/>
        </w:rPr>
        <w:t>机关事业单位基本养老保险缴费</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14:paraId="665C8EAE">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5）机关事业单位职业年金缴费科目支出13.35万元，占支出总预算的5.41%，同比增加4.55万元，同比增长51.65%，主要原因是</w:t>
      </w:r>
      <w:r>
        <w:rPr>
          <w:rFonts w:hint="eastAsia" w:ascii="仿宋_GB2312"/>
          <w:sz w:val="32"/>
          <w:szCs w:val="32"/>
          <w:lang w:val="en-US" w:eastAsia="zh-CN"/>
        </w:rPr>
        <w:t>2025年基数上调，</w:t>
      </w:r>
      <w:r>
        <w:rPr>
          <w:rFonts w:hint="eastAsia" w:ascii="仿宋_GB2312" w:hAnsi="Times New Roman" w:cs="Times New Roman"/>
          <w:kern w:val="2"/>
          <w:sz w:val="32"/>
          <w:szCs w:val="32"/>
          <w:highlight w:val="none"/>
          <w:lang w:val="en-US" w:eastAsia="zh-CN"/>
        </w:rPr>
        <w:t>机关事业单位职业年金缴费</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14:paraId="4FC0EA8F">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6）事业单位医疗科目支出13.27万元，占支出总预算的5.38%，同比增加4.60万元，同比增长53.06%，主要原因是</w:t>
      </w:r>
      <w:r>
        <w:rPr>
          <w:rFonts w:hint="eastAsia" w:ascii="仿宋_GB2312"/>
          <w:sz w:val="32"/>
          <w:szCs w:val="32"/>
          <w:lang w:val="en-US" w:eastAsia="zh-CN"/>
        </w:rPr>
        <w:t>2025年基数上调，</w:t>
      </w:r>
      <w:r>
        <w:rPr>
          <w:rFonts w:hint="eastAsia" w:ascii="仿宋_GB2312" w:hAnsi="Times New Roman" w:cs="Times New Roman"/>
          <w:kern w:val="2"/>
          <w:sz w:val="32"/>
          <w:szCs w:val="32"/>
          <w:highlight w:val="none"/>
          <w:lang w:val="en-US" w:eastAsia="zh-CN"/>
        </w:rPr>
        <w:t>事业单位医疗</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14:paraId="3EBBA178">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6）住房公积金科目支出20.03万元，占支出总预算的8.12%，同比增加6.82万元，同比增长51.65%，主要原因是</w:t>
      </w:r>
      <w:r>
        <w:rPr>
          <w:rFonts w:hint="eastAsia" w:ascii="仿宋_GB2312"/>
          <w:sz w:val="32"/>
          <w:szCs w:val="32"/>
          <w:lang w:val="en-US" w:eastAsia="zh-CN"/>
        </w:rPr>
        <w:t>2025年基数上调，</w:t>
      </w:r>
      <w:r>
        <w:rPr>
          <w:rFonts w:hint="eastAsia" w:ascii="仿宋_GB2312" w:hAnsi="Times New Roman" w:cs="Times New Roman"/>
          <w:kern w:val="2"/>
          <w:sz w:val="32"/>
          <w:szCs w:val="32"/>
          <w:highlight w:val="none"/>
          <w:lang w:val="en-US" w:eastAsia="zh-CN"/>
        </w:rPr>
        <w:t>住房公积金</w:t>
      </w:r>
      <w:r>
        <w:rPr>
          <w:rFonts w:hint="eastAsia" w:ascii="仿宋_GB2312"/>
          <w:sz w:val="32"/>
          <w:szCs w:val="32"/>
          <w:lang w:val="en-US" w:eastAsia="zh-CN"/>
        </w:rPr>
        <w:t>较上年有所增加。</w:t>
      </w:r>
    </w:p>
    <w:p w14:paraId="4F8EEB72">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六、一般公共预算基本支出情况说明</w:t>
      </w:r>
    </w:p>
    <w:p w14:paraId="4BAB6085">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246.74</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16.62%，主要原因是2025年基数上调，</w:t>
      </w:r>
      <w:r>
        <w:rPr>
          <w:rFonts w:hint="eastAsia" w:ascii="仿宋_GB2312" w:cs="Times New Roman"/>
          <w:kern w:val="2"/>
          <w:sz w:val="32"/>
          <w:szCs w:val="32"/>
          <w:highlight w:val="none"/>
          <w:lang w:val="en-US" w:eastAsia="zh-CN"/>
        </w:rPr>
        <w:t>基本支出</w:t>
      </w:r>
      <w:r>
        <w:rPr>
          <w:rFonts w:hint="eastAsia" w:ascii="仿宋_GB2312"/>
          <w:sz w:val="32"/>
          <w:szCs w:val="32"/>
          <w:lang w:val="en-US" w:eastAsia="zh-CN"/>
        </w:rPr>
        <w:t>较上年有所增加</w:t>
      </w:r>
      <w:r>
        <w:rPr>
          <w:rFonts w:hint="eastAsia" w:ascii="仿宋_GB2312"/>
          <w:szCs w:val="32"/>
          <w:lang w:eastAsia="zh-CN"/>
        </w:rPr>
        <w:t>。</w:t>
      </w:r>
      <w:r>
        <w:rPr>
          <w:rFonts w:hint="eastAsia" w:ascii="仿宋_GB2312"/>
          <w:sz w:val="32"/>
          <w:szCs w:val="32"/>
          <w:lang w:eastAsia="zh-CN"/>
        </w:rPr>
        <w:t>具体情况为：</w:t>
      </w:r>
    </w:p>
    <w:p w14:paraId="750CB93E">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基本工资66.07万元，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9.24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16.26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主要原因是2025年基数上调，基本工资较上年有所增加</w:t>
      </w:r>
      <w:r>
        <w:rPr>
          <w:rFonts w:hint="eastAsia" w:ascii="仿宋_GB2312" w:hAnsi="Times New Roman" w:eastAsia="仿宋_GB2312" w:cs="Times New Roman"/>
          <w:kern w:val="2"/>
          <w:sz w:val="32"/>
          <w:szCs w:val="32"/>
          <w:highlight w:val="none"/>
        </w:rPr>
        <w:t>；</w:t>
      </w:r>
    </w:p>
    <w:p w14:paraId="5AB7BEF4">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 津贴补贴25.65万元，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14:paraId="033C698C">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奖金5.51万元，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0.77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16.26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主要原因是2025年基数上调，奖金较上年有所增加</w:t>
      </w:r>
      <w:r>
        <w:rPr>
          <w:rFonts w:hint="eastAsia" w:ascii="仿宋_GB2312" w:hAnsi="Times New Roman" w:eastAsia="仿宋_GB2312" w:cs="Times New Roman"/>
          <w:kern w:val="2"/>
          <w:sz w:val="32"/>
          <w:szCs w:val="32"/>
          <w:highlight w:val="none"/>
        </w:rPr>
        <w:t>；</w:t>
      </w:r>
    </w:p>
    <w:p w14:paraId="744D1115">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绩效工资28.14万元，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14:paraId="72649648">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机关事业单位基本养老保险缴费26.70万元，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9.091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51.65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主要原因是2025年基数上调，机关事业单位基本养老保险缴费较上年有所增加</w:t>
      </w:r>
      <w:r>
        <w:rPr>
          <w:rFonts w:hint="eastAsia" w:ascii="仿宋_GB2312" w:hAnsi="Times New Roman" w:eastAsia="仿宋_GB2312" w:cs="Times New Roman"/>
          <w:kern w:val="2"/>
          <w:sz w:val="32"/>
          <w:szCs w:val="32"/>
          <w:highlight w:val="none"/>
        </w:rPr>
        <w:t>；</w:t>
      </w:r>
    </w:p>
    <w:p w14:paraId="19766C29">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职业年金缴费13.35万元，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4.55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51.65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主要原因是2025年基数上调，职业年金较上年有所增加</w:t>
      </w:r>
      <w:r>
        <w:rPr>
          <w:rFonts w:hint="eastAsia" w:ascii="仿宋_GB2312" w:hAnsi="Times New Roman" w:eastAsia="仿宋_GB2312" w:cs="Times New Roman"/>
          <w:kern w:val="2"/>
          <w:sz w:val="32"/>
          <w:szCs w:val="32"/>
          <w:highlight w:val="none"/>
        </w:rPr>
        <w:t>；</w:t>
      </w:r>
    </w:p>
    <w:p w14:paraId="4B5B7CEF">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职工基本医疗保险缴费13.18万元，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4.60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53.59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主要原因是2025年基数上调，职工基本医疗保险缴费较上年有所增加</w:t>
      </w:r>
      <w:r>
        <w:rPr>
          <w:rFonts w:hint="eastAsia" w:ascii="仿宋_GB2312" w:hAnsi="Times New Roman" w:eastAsia="仿宋_GB2312" w:cs="Times New Roman"/>
          <w:kern w:val="2"/>
          <w:sz w:val="32"/>
          <w:szCs w:val="32"/>
          <w:highlight w:val="none"/>
        </w:rPr>
        <w:t>；</w:t>
      </w:r>
    </w:p>
    <w:p w14:paraId="5722C8FC">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其他社会保障缴费1.25万元，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0.40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46.44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主要原因是2025年基数上调，其他社会保障缴费较上年有所增加</w:t>
      </w:r>
      <w:r>
        <w:rPr>
          <w:rFonts w:hint="eastAsia" w:ascii="仿宋_GB2312" w:hAnsi="Times New Roman" w:eastAsia="仿宋_GB2312" w:cs="Times New Roman"/>
          <w:kern w:val="2"/>
          <w:sz w:val="32"/>
          <w:szCs w:val="32"/>
          <w:highlight w:val="none"/>
        </w:rPr>
        <w:t>；</w:t>
      </w:r>
    </w:p>
    <w:p w14:paraId="7901B71E">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住房公积金20.03万元，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6.82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51.65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主要原因是2025年基数上调，住房公积金较上年有所增加</w:t>
      </w:r>
      <w:r>
        <w:rPr>
          <w:rFonts w:hint="eastAsia" w:ascii="仿宋_GB2312" w:hAnsi="Times New Roman" w:eastAsia="仿宋_GB2312" w:cs="Times New Roman"/>
          <w:kern w:val="2"/>
          <w:sz w:val="32"/>
          <w:szCs w:val="32"/>
          <w:highlight w:val="none"/>
        </w:rPr>
        <w:t>；</w:t>
      </w:r>
    </w:p>
    <w:p w14:paraId="0C18DFCD">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bookmarkStart w:id="1" w:name="OLE_LINK3"/>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办公费1.50万元，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bookmarkEnd w:id="1"/>
    <w:p w14:paraId="233E07D9">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印刷费0.36万元，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14:paraId="6F398859">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水费0.30万元，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14:paraId="285694D9">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电费0.96万元，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14:paraId="413E5796">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邮电费0.78万元，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14:paraId="217DC714">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差旅费4.32万元，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14:paraId="75ACDA59">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维修（护）费0.48万元，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14:paraId="07FF621F">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会议费0.24万元，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14:paraId="688CEC27">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培训费0.29万元，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14:paraId="424B6AEE">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公务接待费0.29万元，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14:paraId="724842D1">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工会经费3.34万元，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1.14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51.65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主要原因是2025年基数上调，工会经费较上年有所增加</w:t>
      </w:r>
      <w:r>
        <w:rPr>
          <w:rFonts w:hint="eastAsia" w:ascii="仿宋_GB2312" w:hAnsi="Times New Roman" w:eastAsia="仿宋_GB2312" w:cs="Times New Roman"/>
          <w:kern w:val="2"/>
          <w:sz w:val="32"/>
          <w:szCs w:val="32"/>
          <w:highlight w:val="none"/>
        </w:rPr>
        <w:t>；</w:t>
      </w:r>
    </w:p>
    <w:p w14:paraId="0361CEA3">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福利费0元，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减少0.36</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主要原因是2026年起不再列支福利费</w:t>
      </w:r>
      <w:r>
        <w:rPr>
          <w:rFonts w:hint="eastAsia" w:ascii="仿宋_GB2312" w:hAnsi="Times New Roman" w:eastAsia="仿宋_GB2312" w:cs="Times New Roman"/>
          <w:kern w:val="2"/>
          <w:sz w:val="32"/>
          <w:szCs w:val="32"/>
          <w:highlight w:val="none"/>
        </w:rPr>
        <w:t>；</w:t>
      </w:r>
    </w:p>
    <w:p w14:paraId="46876F3B">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其他商品和服务支出8.48万元，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0.31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3.79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主要原因是2025年基数上调，其他商品和服务支出较上年有所增加</w:t>
      </w:r>
      <w:r>
        <w:rPr>
          <w:rFonts w:hint="eastAsia" w:ascii="仿宋_GB2312" w:hAnsi="Times New Roman" w:eastAsia="仿宋_GB2312" w:cs="Times New Roman"/>
          <w:kern w:val="2"/>
          <w:sz w:val="32"/>
          <w:szCs w:val="32"/>
          <w:highlight w:val="none"/>
        </w:rPr>
        <w:t>；</w:t>
      </w:r>
    </w:p>
    <w:p w14:paraId="21F5CF3F">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对个人和家庭的补助 - 退休费23.52万元，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减少1.39万元，同比下降5.59%，主要原因是2025年有一名退休人员去世，退休费较上年有所下降</w:t>
      </w:r>
      <w:r>
        <w:rPr>
          <w:rFonts w:hint="eastAsia" w:ascii="仿宋_GB2312" w:hAnsi="Times New Roman" w:eastAsia="仿宋_GB2312" w:cs="Times New Roman"/>
          <w:kern w:val="2"/>
          <w:sz w:val="32"/>
          <w:szCs w:val="32"/>
          <w:highlight w:val="none"/>
        </w:rPr>
        <w:t>；</w:t>
      </w:r>
    </w:p>
    <w:p w14:paraId="34FD5A11">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对个人和家庭的补助 - 奖励金0.01万元，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p>
    <w:p w14:paraId="1A730F19">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七、一般公共预算“三公”经费支出情况说明</w:t>
      </w:r>
    </w:p>
    <w:p w14:paraId="59D12327">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0.29</w:t>
      </w:r>
      <w:r>
        <w:rPr>
          <w:rFonts w:hint="eastAsia" w:ascii="仿宋_GB2312"/>
          <w:bCs/>
        </w:rPr>
        <w:t>万元，同口径</w:t>
      </w:r>
      <w:r>
        <w:rPr>
          <w:rFonts w:hint="eastAsia" w:ascii="仿宋_GB2312"/>
          <w:bCs/>
          <w:lang w:val="en-US" w:eastAsia="zh-CN"/>
        </w:rPr>
        <w:t>与</w:t>
      </w:r>
      <w:r>
        <w:rPr>
          <w:rFonts w:hint="eastAsia" w:ascii="仿宋_GB2312"/>
          <w:bCs/>
        </w:rPr>
        <w:t>202</w:t>
      </w:r>
      <w:r>
        <w:rPr>
          <w:rFonts w:hint="eastAsia" w:ascii="仿宋_GB2312"/>
          <w:bCs/>
          <w:lang w:val="en-US" w:eastAsia="zh-CN"/>
        </w:rPr>
        <w:t>5</w:t>
      </w:r>
      <w:r>
        <w:rPr>
          <w:rFonts w:hint="eastAsia" w:ascii="仿宋_GB2312"/>
          <w:bCs/>
        </w:rPr>
        <w:t>年</w:t>
      </w:r>
      <w:r>
        <w:rPr>
          <w:rFonts w:hint="eastAsia" w:ascii="仿宋_GB2312"/>
          <w:bCs/>
          <w:lang w:val="en-US" w:eastAsia="zh-CN"/>
        </w:rPr>
        <w:t>相比持平</w:t>
      </w:r>
      <w:r>
        <w:rPr>
          <w:rFonts w:hint="eastAsia" w:ascii="仿宋_GB2312"/>
          <w:bCs/>
        </w:rPr>
        <w:t>，具体如下：</w:t>
      </w:r>
    </w:p>
    <w:p w14:paraId="078723C0">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1885ABF3">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0.29</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0B0E14F3">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宋体"/>
          <w:szCs w:val="32"/>
          <w:lang w:eastAsia="zh-CN"/>
        </w:rPr>
        <w:t>，</w:t>
      </w:r>
      <w:r>
        <w:rPr>
          <w:rFonts w:hint="eastAsia" w:ascii="仿宋_GB2312" w:hAnsi="宋体"/>
          <w:szCs w:val="32"/>
        </w:rPr>
        <w:t>其中：</w:t>
      </w:r>
    </w:p>
    <w:p w14:paraId="559F8596">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hAnsi="宋体"/>
          <w:szCs w:val="32"/>
        </w:rPr>
        <w:t>公务用车购置费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14:paraId="1A3038DE">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hAnsi="宋体"/>
          <w:szCs w:val="32"/>
        </w:rPr>
        <w:t>公务用车运行维护费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p>
    <w:p w14:paraId="4C8C4B03">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八、政府性基金预算支出情况说明</w:t>
      </w:r>
    </w:p>
    <w:p w14:paraId="5BEA690D">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highlight w:val="yellow"/>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0</w:t>
      </w:r>
      <w:r>
        <w:rPr>
          <w:rFonts w:hint="eastAsia" w:ascii="仿宋_GB2312" w:eastAsia="仿宋_GB2312"/>
          <w:sz w:val="32"/>
          <w:szCs w:val="32"/>
        </w:rPr>
        <w:t>万元，</w:t>
      </w:r>
      <w:r>
        <w:rPr>
          <w:rFonts w:hint="eastAsia" w:ascii="仿宋_GB2312"/>
          <w:sz w:val="32"/>
          <w:szCs w:val="32"/>
          <w:lang w:val="en-US" w:eastAsia="zh-CN"/>
        </w:rPr>
        <w:t>2026年单位预算无政府性基金预算</w:t>
      </w:r>
      <w:r>
        <w:rPr>
          <w:rFonts w:hint="eastAsia" w:ascii="仿宋_GB2312"/>
          <w:szCs w:val="32"/>
          <w:lang w:eastAsia="zh-CN"/>
        </w:rPr>
        <w:t>。</w:t>
      </w:r>
    </w:p>
    <w:p w14:paraId="7017E5DB">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692985E1">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仿宋_GB2312"/>
          <w:sz w:val="32"/>
          <w:szCs w:val="32"/>
          <w:lang w:eastAsia="zh-CN"/>
        </w:rPr>
        <w:t>我单位</w:t>
      </w:r>
      <w:r>
        <w:rPr>
          <w:rFonts w:hint="eastAsia" w:ascii="仿宋_GB2312"/>
          <w:szCs w:val="32"/>
        </w:rPr>
        <w:t>国有资本经营预算支出</w:t>
      </w:r>
      <w:r>
        <w:rPr>
          <w:rFonts w:hint="eastAsia" w:ascii="仿宋_GB2312" w:eastAsia="仿宋_GB2312"/>
          <w:sz w:val="32"/>
          <w:szCs w:val="32"/>
          <w:lang w:eastAsia="zh-CN"/>
        </w:rPr>
        <w:t>共</w:t>
      </w:r>
      <w:r>
        <w:rPr>
          <w:rFonts w:hint="eastAsia" w:ascii="仿宋_GB2312"/>
          <w:sz w:val="32"/>
          <w:szCs w:val="32"/>
          <w:lang w:val="en-US" w:eastAsia="zh-CN"/>
        </w:rPr>
        <w:t>0</w:t>
      </w:r>
      <w:r>
        <w:rPr>
          <w:rFonts w:hint="eastAsia" w:ascii="仿宋_GB2312" w:eastAsia="仿宋_GB2312"/>
          <w:sz w:val="32"/>
          <w:szCs w:val="32"/>
        </w:rPr>
        <w:t>万元，</w:t>
      </w:r>
      <w:r>
        <w:rPr>
          <w:rFonts w:hint="eastAsia" w:ascii="仿宋_GB2312"/>
          <w:sz w:val="32"/>
          <w:szCs w:val="32"/>
          <w:lang w:val="en-US" w:eastAsia="zh-CN"/>
        </w:rPr>
        <w:t>2026年单位预算无国有资本经营预算</w:t>
      </w:r>
      <w:r>
        <w:rPr>
          <w:rFonts w:hint="eastAsia" w:ascii="仿宋_GB2312"/>
          <w:szCs w:val="32"/>
          <w:lang w:eastAsia="zh-CN"/>
        </w:rPr>
        <w:t>。</w:t>
      </w:r>
    </w:p>
    <w:p w14:paraId="455AADAF">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513AFC78">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14:paraId="55A89F17">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21.33</w:t>
      </w:r>
      <w:r>
        <w:rPr>
          <w:rFonts w:hint="eastAsia" w:ascii="仿宋_GB2312" w:eastAsia="仿宋_GB2312"/>
          <w:sz w:val="32"/>
          <w:szCs w:val="32"/>
          <w:highlight w:val="none"/>
        </w:rPr>
        <w:t>万元，同比增</w:t>
      </w:r>
      <w:r>
        <w:rPr>
          <w:rFonts w:hint="eastAsia" w:ascii="仿宋_GB2312"/>
          <w:sz w:val="32"/>
          <w:szCs w:val="32"/>
          <w:highlight w:val="none"/>
          <w:lang w:val="en-US" w:eastAsia="zh-CN"/>
        </w:rPr>
        <w:t>长</w:t>
      </w:r>
      <w:bookmarkStart w:id="2" w:name="_GoBack"/>
      <w:bookmarkEnd w:id="2"/>
      <w:r>
        <w:rPr>
          <w:rFonts w:hint="eastAsia" w:ascii="仿宋_GB2312"/>
          <w:sz w:val="32"/>
          <w:szCs w:val="32"/>
          <w:highlight w:val="none"/>
          <w:lang w:val="en-US" w:eastAsia="zh-CN"/>
        </w:rPr>
        <w:t>1.09</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5.37</w:t>
      </w:r>
      <w:r>
        <w:rPr>
          <w:rFonts w:hint="eastAsia" w:ascii="仿宋_GB2312" w:eastAsia="仿宋_GB2312"/>
          <w:sz w:val="32"/>
          <w:szCs w:val="32"/>
          <w:highlight w:val="none"/>
        </w:rPr>
        <w:t>%</w:t>
      </w:r>
      <w:r>
        <w:rPr>
          <w:rFonts w:hint="eastAsia" w:ascii="仿宋_GB2312"/>
          <w:sz w:val="32"/>
          <w:szCs w:val="32"/>
          <w:highlight w:val="none"/>
          <w:lang w:eastAsia="zh-CN"/>
        </w:rPr>
        <w:t>，主要原因是</w:t>
      </w:r>
      <w:r>
        <w:rPr>
          <w:rFonts w:hint="eastAsia" w:ascii="仿宋_GB2312"/>
          <w:sz w:val="32"/>
          <w:szCs w:val="32"/>
          <w:lang w:val="en-US" w:eastAsia="zh-CN"/>
        </w:rPr>
        <w:t>2025年基数上调，年初预算按人数按比例增加</w:t>
      </w:r>
      <w:r>
        <w:rPr>
          <w:rFonts w:hint="eastAsia" w:ascii="仿宋_GB2312" w:eastAsia="仿宋_GB2312"/>
          <w:sz w:val="32"/>
          <w:szCs w:val="32"/>
          <w:highlight w:val="none"/>
        </w:rPr>
        <w:t>。主要包括办公费、印刷费、邮电费、差旅费、维修（护）费、会议费、培训费、公务接待费、</w:t>
      </w:r>
      <w:r>
        <w:rPr>
          <w:rFonts w:hint="eastAsia" w:ascii="仿宋_GB2312"/>
          <w:sz w:val="32"/>
          <w:szCs w:val="32"/>
          <w:highlight w:val="none"/>
          <w:lang w:val="en-US" w:eastAsia="zh-CN"/>
        </w:rPr>
        <w:t>工会经费</w:t>
      </w:r>
      <w:r>
        <w:rPr>
          <w:rFonts w:hint="eastAsia" w:ascii="仿宋_GB2312" w:eastAsia="仿宋_GB2312"/>
          <w:sz w:val="32"/>
          <w:szCs w:val="32"/>
          <w:highlight w:val="none"/>
        </w:rPr>
        <w:t>及其他商品和服务支出。</w:t>
      </w:r>
    </w:p>
    <w:p w14:paraId="41722D51">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4702068E">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1.86</w:t>
      </w:r>
      <w:r>
        <w:rPr>
          <w:rFonts w:hint="eastAsia" w:ascii="仿宋_GB2312" w:hAnsi="宋体"/>
          <w:szCs w:val="32"/>
        </w:rPr>
        <w:t>万元。其中：货物类采购</w:t>
      </w:r>
      <w:r>
        <w:rPr>
          <w:rFonts w:hint="eastAsia" w:ascii="仿宋_GB2312" w:hAnsi="宋体"/>
          <w:szCs w:val="32"/>
          <w:lang w:val="en-US" w:eastAsia="zh-CN"/>
        </w:rPr>
        <w:t>1.50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0.36</w:t>
      </w:r>
      <w:r>
        <w:rPr>
          <w:rFonts w:hint="eastAsia" w:ascii="仿宋_GB2312" w:hAnsi="宋体"/>
          <w:szCs w:val="32"/>
        </w:rPr>
        <w:t>万元。</w:t>
      </w:r>
    </w:p>
    <w:p w14:paraId="06A68134">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14:paraId="66DAD0BA">
      <w:pPr>
        <w:keepNext w:val="0"/>
        <w:keepLines w:val="0"/>
        <w:pageBreakBefore w:val="0"/>
        <w:numPr>
          <w:ilvl w:val="0"/>
          <w:numId w:val="0"/>
        </w:numPr>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sz w:val="32"/>
          <w:szCs w:val="32"/>
          <w:highlight w:val="none"/>
          <w:lang w:val="en-US" w:eastAsia="zh-CN"/>
        </w:rPr>
        <w:t>与上年持平</w:t>
      </w:r>
      <w:r>
        <w:rPr>
          <w:rFonts w:hint="eastAsia" w:ascii="仿宋_GB2312" w:eastAsia="仿宋_GB2312"/>
          <w:sz w:val="32"/>
          <w:szCs w:val="32"/>
          <w:highlight w:val="none"/>
        </w:rPr>
        <w:t>。</w:t>
      </w:r>
    </w:p>
    <w:p w14:paraId="131C2506">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14:paraId="628238D0">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hAnsi="Arial" w:eastAsia="黑体" w:cs="Arial"/>
          <w:b w:val="0"/>
          <w:bCs w:val="0"/>
          <w:kern w:val="0"/>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单位2026年</w:t>
      </w:r>
      <w:r>
        <w:rPr>
          <w:rFonts w:hint="eastAsia" w:ascii="仿宋_GB2312" w:hAnsi="宋体"/>
          <w:b w:val="0"/>
          <w:bCs w:val="0"/>
          <w:szCs w:val="32"/>
          <w:highlight w:val="none"/>
          <w:u w:val="none"/>
        </w:rPr>
        <w:t>无国有资产占用相关情况。</w:t>
      </w:r>
    </w:p>
    <w:p w14:paraId="0B22E824">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14:paraId="07B98EA1">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lang w:val="en-US" w:eastAsia="zh-CN"/>
        </w:rPr>
      </w:pPr>
      <w:r>
        <w:rPr>
          <w:rFonts w:hint="eastAsia" w:ascii="仿宋_GB2312"/>
          <w:sz w:val="32"/>
          <w:szCs w:val="32"/>
          <w:lang w:val="en-US" w:eastAsia="zh-CN"/>
        </w:rPr>
        <w:t>1.我单位2026年</w:t>
      </w:r>
      <w:r>
        <w:rPr>
          <w:rFonts w:hint="eastAsia" w:ascii="仿宋_GB2312" w:eastAsia="仿宋_GB2312"/>
          <w:sz w:val="32"/>
          <w:szCs w:val="32"/>
          <w:lang w:val="en-US" w:eastAsia="zh-CN"/>
        </w:rPr>
        <w:t>所有项目支出全面实施绩效目标管理，涉及本级项目</w:t>
      </w:r>
      <w:r>
        <w:rPr>
          <w:rFonts w:hint="eastAsia" w:ascii="仿宋_GB2312"/>
          <w:sz w:val="32"/>
          <w:szCs w:val="32"/>
          <w:lang w:val="en-US" w:eastAsia="zh-CN"/>
        </w:rPr>
        <w:t>1</w:t>
      </w:r>
      <w:r>
        <w:rPr>
          <w:rFonts w:hint="eastAsia" w:ascii="仿宋_GB2312" w:eastAsia="仿宋_GB2312"/>
          <w:sz w:val="32"/>
          <w:szCs w:val="32"/>
          <w:lang w:val="en-US" w:eastAsia="zh-CN"/>
        </w:rPr>
        <w:t>个，预算资金</w:t>
      </w:r>
      <w:r>
        <w:rPr>
          <w:rFonts w:hint="eastAsia" w:ascii="仿宋_GB2312"/>
          <w:sz w:val="32"/>
          <w:szCs w:val="32"/>
          <w:lang w:val="en-US" w:eastAsia="zh-CN"/>
        </w:rPr>
        <w:t>2</w:t>
      </w:r>
      <w:r>
        <w:rPr>
          <w:rFonts w:hint="eastAsia" w:ascii="仿宋_GB2312" w:eastAsia="仿宋_GB2312"/>
          <w:sz w:val="32"/>
          <w:szCs w:val="32"/>
          <w:lang w:val="en-US" w:eastAsia="zh-CN"/>
        </w:rPr>
        <w:t>万元。绩效目标情况详见报表（涉密项目等除外）。</w:t>
      </w:r>
    </w:p>
    <w:p w14:paraId="047474AD">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eastAsia="仿宋_GB2312"/>
          <w:sz w:val="32"/>
          <w:szCs w:val="32"/>
          <w:lang w:val="en-US" w:eastAsia="zh-CN"/>
        </w:rPr>
      </w:pPr>
      <w:r>
        <w:rPr>
          <w:rFonts w:hint="eastAsia" w:ascii="仿宋_GB2312"/>
          <w:sz w:val="32"/>
          <w:szCs w:val="32"/>
          <w:lang w:val="en-US" w:eastAsia="zh-CN"/>
        </w:rPr>
        <w:t>2.重点项目预算绩效目标说明。</w:t>
      </w:r>
    </w:p>
    <w:tbl>
      <w:tblPr>
        <w:tblStyle w:val="6"/>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7"/>
        <w:gridCol w:w="1171"/>
        <w:gridCol w:w="1549"/>
        <w:gridCol w:w="2398"/>
        <w:gridCol w:w="3730"/>
      </w:tblGrid>
      <w:tr w14:paraId="2B71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19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A57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2026年度部门预算柳江区项目支出绩效目标申报表</w:t>
            </w:r>
          </w:p>
        </w:tc>
      </w:tr>
      <w:tr w14:paraId="53CF5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19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BB890">
            <w:pPr>
              <w:jc w:val="center"/>
              <w:rPr>
                <w:rFonts w:hint="eastAsia" w:ascii="宋体" w:hAnsi="宋体" w:eastAsia="宋体" w:cs="宋体"/>
                <w:b/>
                <w:bCs/>
                <w:i w:val="0"/>
                <w:iCs w:val="0"/>
                <w:color w:val="000000"/>
                <w:sz w:val="24"/>
                <w:szCs w:val="24"/>
                <w:u w:val="none"/>
              </w:rPr>
            </w:pPr>
          </w:p>
        </w:tc>
      </w:tr>
      <w:tr w14:paraId="5EFF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7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B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图书馆免费开放资金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9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2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450206260412200012763</w:t>
            </w:r>
          </w:p>
        </w:tc>
      </w:tr>
      <w:tr w14:paraId="12CD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B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0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柳州市柳江区图书馆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3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项目主管单位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C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122-柳州市柳江区文化体育广电和旅游局</w:t>
            </w:r>
          </w:p>
        </w:tc>
      </w:tr>
      <w:tr w14:paraId="378C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1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7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2-阶段性项目</w:t>
            </w:r>
          </w:p>
        </w:tc>
      </w:tr>
      <w:tr w14:paraId="67E5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2F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28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资金来源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B0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r>
      <w:tr w14:paraId="4936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44F56">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FF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420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5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w:t>
            </w:r>
          </w:p>
        </w:tc>
      </w:tr>
      <w:tr w14:paraId="41BA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02CF7">
            <w:pPr>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5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其中：一般公共预算拨款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1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其中：上级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1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180000</w:t>
            </w:r>
          </w:p>
        </w:tc>
      </w:tr>
      <w:tr w14:paraId="71453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827BD">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B28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4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C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r>
      <w:tr w14:paraId="3C94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0D18A">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F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C60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2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5E38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37F6">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A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15C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A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4429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0DFAA">
            <w:pPr>
              <w:jc w:val="center"/>
              <w:rPr>
                <w:rFonts w:hint="eastAsia" w:ascii="宋体" w:hAnsi="宋体" w:eastAsia="宋体" w:cs="宋体"/>
                <w:i w:val="0"/>
                <w:iCs w:val="0"/>
                <w:color w:val="000000"/>
                <w:sz w:val="18"/>
                <w:szCs w:val="18"/>
                <w:u w:val="none"/>
              </w:rPr>
            </w:pPr>
          </w:p>
        </w:tc>
        <w:tc>
          <w:tcPr>
            <w:tcW w:w="3030" w:type="dxa"/>
            <w:gridSpan w:val="2"/>
            <w:tcBorders>
              <w:top w:val="single" w:color="000000" w:sz="4" w:space="0"/>
              <w:left w:val="single" w:color="000000" w:sz="4" w:space="0"/>
              <w:bottom w:val="nil"/>
              <w:right w:val="single" w:color="000000" w:sz="4" w:space="0"/>
            </w:tcBorders>
            <w:shd w:val="clear" w:color="auto" w:fill="auto"/>
            <w:vAlign w:val="center"/>
          </w:tcPr>
          <w:p w14:paraId="39BA9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079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5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251B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4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年度绩效目标</w:t>
            </w:r>
          </w:p>
        </w:tc>
        <w:tc>
          <w:tcPr>
            <w:tcW w:w="89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00A7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开展免费开放活动，丰富群众文化生活。</w:t>
            </w:r>
          </w:p>
        </w:tc>
      </w:tr>
      <w:tr w14:paraId="78D9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B3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项目年度绩效目标衡量指标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E4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AC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9C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指标内容</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F8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r>
      <w:tr w14:paraId="60D4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07FB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7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2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E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免费开放外聘人员数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C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＝4人</w:t>
            </w:r>
          </w:p>
        </w:tc>
      </w:tr>
      <w:tr w14:paraId="3B1F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4585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932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2ED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35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开展免费开放系列活动场次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8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≥10场次</w:t>
            </w:r>
          </w:p>
        </w:tc>
      </w:tr>
      <w:tr w14:paraId="7465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3BE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8E3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0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F4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免费开放活动覆盖率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4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1A5B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7D48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30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9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D6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E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2026年底前</w:t>
            </w:r>
          </w:p>
        </w:tc>
      </w:tr>
      <w:tr w14:paraId="4369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5922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02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8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9C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9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≤200000元</w:t>
            </w:r>
          </w:p>
        </w:tc>
      </w:tr>
      <w:tr w14:paraId="58FD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4ED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9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F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A0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群众文化生活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F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丰富</w:t>
            </w:r>
          </w:p>
        </w:tc>
      </w:tr>
      <w:tr w14:paraId="5220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952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4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5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8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1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bl>
    <w:p w14:paraId="45EEC4D8">
      <w:pPr>
        <w:pStyle w:val="2"/>
        <w:rPr>
          <w:rFonts w:hint="eastAsia" w:ascii="仿宋_GB2312" w:hAnsi="宋体"/>
          <w:szCs w:val="32"/>
          <w:highlight w:val="none"/>
          <w:lang w:val="en-US" w:eastAsia="zh-CN"/>
        </w:rPr>
      </w:pPr>
    </w:p>
    <w:p w14:paraId="6B13D9D5">
      <w:pPr>
        <w:pStyle w:val="2"/>
        <w:rPr>
          <w:rFonts w:hint="eastAsia" w:ascii="仿宋_GB2312" w:hAnsi="宋体"/>
          <w:szCs w:val="32"/>
          <w:highlight w:val="none"/>
          <w:lang w:val="en-US" w:eastAsia="zh-CN"/>
        </w:rPr>
      </w:pPr>
    </w:p>
    <w:p w14:paraId="0DF93F7D">
      <w:pPr>
        <w:pStyle w:val="2"/>
        <w:rPr>
          <w:rFonts w:hint="eastAsia" w:ascii="仿宋_GB2312" w:hAnsi="宋体"/>
          <w:szCs w:val="32"/>
          <w:highlight w:val="none"/>
          <w:lang w:val="en-US" w:eastAsia="zh-CN"/>
        </w:rPr>
      </w:pPr>
    </w:p>
    <w:p w14:paraId="4E876078">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第三部分：名词解释</w:t>
      </w:r>
    </w:p>
    <w:p w14:paraId="62181997">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1BEEF842">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312063F6">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90A94BC">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4E88D2D5">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五、基本支出：</w:t>
      </w:r>
      <w:r>
        <w:rPr>
          <w:rFonts w:hint="eastAsia" w:ascii="仿宋_GB2312" w:eastAsia="仿宋_GB2312"/>
          <w:sz w:val="32"/>
          <w:szCs w:val="32"/>
          <w:highlight w:val="none"/>
        </w:rPr>
        <w:t>指为保障机构正常运转、完成日常工作任务而发生的人员支出和公用支出。</w:t>
      </w:r>
    </w:p>
    <w:p w14:paraId="177C357B">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14:paraId="5A3D350D">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七、</w:t>
      </w:r>
      <w:r>
        <w:rPr>
          <w:rFonts w:hint="eastAsia" w:ascii="黑体" w:eastAsia="黑体"/>
          <w:sz w:val="32"/>
          <w:szCs w:val="32"/>
          <w:highlight w:val="none"/>
        </w:rPr>
        <w:t>“三公”经费：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A57858D">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八</w:t>
      </w:r>
      <w:r>
        <w:rPr>
          <w:rFonts w:hint="eastAsia" w:ascii="黑体" w:eastAsia="黑体"/>
          <w:sz w:val="32"/>
          <w:szCs w:val="32"/>
          <w:highlight w:val="none"/>
        </w:rPr>
        <w:t>、运行经费：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FC9B4C1">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黑体" w:eastAsia="黑体"/>
          <w:sz w:val="32"/>
          <w:szCs w:val="32"/>
          <w:highlight w:val="none"/>
        </w:rPr>
      </w:pPr>
      <w:r>
        <w:rPr>
          <w:rFonts w:hint="eastAsia" w:ascii="黑体" w:eastAsia="黑体"/>
          <w:sz w:val="32"/>
          <w:szCs w:val="32"/>
          <w:highlight w:val="none"/>
          <w:lang w:val="en-US" w:eastAsia="zh-CN"/>
        </w:rPr>
        <w:t>九</w:t>
      </w:r>
      <w:r>
        <w:rPr>
          <w:rFonts w:hint="eastAsia" w:ascii="黑体" w:eastAsia="黑体"/>
          <w:sz w:val="32"/>
          <w:szCs w:val="32"/>
          <w:highlight w:val="none"/>
        </w:rPr>
        <w:t>、支出类常用科目的说明</w:t>
      </w:r>
    </w:p>
    <w:p w14:paraId="603A1B59">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rPr>
        <w:t>1．文化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68819E32">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2326B4F7">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2FB01BA9">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hAnsi="宋体" w:eastAsia="仿宋_GB2312"/>
          <w:bCs/>
          <w:sz w:val="44"/>
          <w:szCs w:val="44"/>
          <w:highlight w:val="none"/>
        </w:rPr>
      </w:pPr>
      <w:r>
        <w:rPr>
          <w:rFonts w:hint="eastAsia" w:ascii="黑体" w:eastAsia="黑体"/>
          <w:sz w:val="32"/>
          <w:szCs w:val="32"/>
          <w:highlight w:val="none"/>
          <w:lang w:val="en-US" w:eastAsia="zh-CN"/>
        </w:rPr>
        <w:t>4</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A4A0B56">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柳州市柳江区图书馆</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4E2A6583">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B4A13CF">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4FD75B7D">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039EA7BF">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06B94219">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524D80CB">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1329725D">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7F2204D4">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6D0365AB">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03641116">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6DEC1FC0">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57F0229D">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2B4F784A">
      <w:pPr>
        <w:keepNext w:val="0"/>
        <w:keepLines w:val="0"/>
        <w:pageBreakBefore w:val="0"/>
        <w:kinsoku/>
        <w:wordWrap/>
        <w:overflowPunct/>
        <w:topLinePunct w:val="0"/>
        <w:autoSpaceDE/>
        <w:autoSpaceDN/>
        <w:bidi w:val="0"/>
        <w:spacing w:line="500" w:lineRule="exact"/>
        <w:ind w:firstLine="880" w:firstLineChars="200"/>
        <w:textAlignment w:val="auto"/>
        <w:rPr>
          <w:rFonts w:ascii="仿宋_GB2312" w:hAnsi="宋体" w:eastAsia="仿宋_GB2312"/>
          <w:bCs/>
          <w:sz w:val="44"/>
          <w:szCs w:val="44"/>
          <w:highlight w:val="none"/>
        </w:rPr>
      </w:pPr>
    </w:p>
    <w:p w14:paraId="6A4A6A1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D75E5"/>
    <w:rsid w:val="15DD7808"/>
    <w:rsid w:val="16130D2E"/>
    <w:rsid w:val="17A40C89"/>
    <w:rsid w:val="21690C6D"/>
    <w:rsid w:val="26735FEA"/>
    <w:rsid w:val="2D3869C9"/>
    <w:rsid w:val="2F0E7201"/>
    <w:rsid w:val="36190BE4"/>
    <w:rsid w:val="42192A5D"/>
    <w:rsid w:val="4A655E41"/>
    <w:rsid w:val="4E3B534E"/>
    <w:rsid w:val="50EF1F66"/>
    <w:rsid w:val="57B87109"/>
    <w:rsid w:val="59F847D7"/>
    <w:rsid w:val="5FDB6AFF"/>
    <w:rsid w:val="606543BF"/>
    <w:rsid w:val="6A3E1DEA"/>
    <w:rsid w:val="6DAE2E3A"/>
    <w:rsid w:val="6EFF6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1539</Words>
  <Characters>1588</Characters>
  <Lines>0</Lines>
  <Paragraphs>0</Paragraphs>
  <TotalTime>3</TotalTime>
  <ScaleCrop>false</ScaleCrop>
  <LinksUpToDate>false</LinksUpToDate>
  <CharactersWithSpaces>1589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Rancho</cp:lastModifiedBy>
  <dcterms:modified xsi:type="dcterms:W3CDTF">2026-05-12T09:10:16Z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eyJoZGlkIjoiNGJjMTQ3MjlhOTIzYzA2NWY1OTQ3ODRjNDEzZWExZGMiLCJ1c2VySWQiOiI1NTk4NDAzOTcifQ==</vt:lpwstr>
  </property>
  <property fmtid="{D5CDD505-2E9C-101B-9397-08002B2CF9AE}" pid="4" name="ICV">
    <vt:lpwstr>390785053B054AF3AF1B5585CD546566_13</vt:lpwstr>
  </property>
</Properties>
</file>