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440"/>
        <w:jc w:val="both"/>
        <w:textAlignment w:val="auto"/>
        <w:rPr>
          <w:rFonts w:hint="default" w:ascii="Times New Roman" w:hAnsi="Times New Roman" w:cs="Times New Roman"/>
          <w:i w:val="0"/>
          <w:caps w:val="0"/>
          <w:color w:val="000000"/>
          <w:spacing w:val="0"/>
          <w:sz w:val="44"/>
          <w:szCs w:val="44"/>
        </w:rPr>
      </w:pPr>
      <w:r>
        <w:rPr>
          <w:rFonts w:ascii="黑体" w:hAnsi="宋体" w:eastAsia="黑体" w:cs="黑体"/>
          <w:i w:val="0"/>
          <w:caps w:val="0"/>
          <w:color w:val="000000"/>
          <w:spacing w:val="0"/>
          <w:sz w:val="44"/>
          <w:szCs w:val="44"/>
        </w:rPr>
        <w:t>柳州市柳江区地方志编纂委员会办公室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0"/>
        <w:jc w:val="center"/>
        <w:textAlignment w:val="auto"/>
        <w:rPr>
          <w:rFonts w:hint="default" w:ascii="Times New Roman" w:hAnsi="Times New Roman" w:cs="Times New Roman"/>
          <w:i w:val="0"/>
          <w:caps w:val="0"/>
          <w:color w:val="000000"/>
          <w:spacing w:val="0"/>
          <w:sz w:val="44"/>
          <w:szCs w:val="44"/>
        </w:rPr>
      </w:pPr>
      <w:r>
        <w:rPr>
          <w:rFonts w:hint="eastAsia" w:ascii="黑体" w:hAnsi="宋体" w:eastAsia="黑体" w:cs="黑体"/>
          <w:i w:val="0"/>
          <w:caps w:val="0"/>
          <w:color w:val="000000"/>
          <w:spacing w:val="0"/>
          <w:sz w:val="44"/>
          <w:szCs w:val="44"/>
        </w:rPr>
        <w:t>（所属二层单位）2026年单位预算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0"/>
        <w:jc w:val="center"/>
        <w:textAlignment w:val="auto"/>
        <w:rPr>
          <w:rFonts w:hint="default" w:ascii="Times New Roman" w:hAnsi="Times New Roman" w:cs="Times New Roman"/>
          <w:i w:val="0"/>
          <w:caps w:val="0"/>
          <w:color w:val="000000"/>
          <w:spacing w:val="0"/>
          <w:sz w:val="44"/>
          <w:szCs w:val="44"/>
        </w:rPr>
      </w:pPr>
      <w:r>
        <w:rPr>
          <w:rFonts w:hint="eastAsia" w:ascii="黑体" w:hAnsi="宋体" w:eastAsia="黑体" w:cs="黑体"/>
          <w:i w:val="0"/>
          <w:caps w:val="0"/>
          <w:color w:val="000000"/>
          <w:spacing w:val="0"/>
          <w:sz w:val="44"/>
          <w:szCs w:val="44"/>
        </w:rPr>
        <w:t>预算公开说明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eastAsia" w:ascii="黑体" w:hAnsi="宋体" w:eastAsia="黑体" w:cs="黑体"/>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第一部分：单位概况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ascii="仿宋_GB2312" w:hAnsi="Times New Roman" w:eastAsia="仿宋_GB2312" w:cs="仿宋_GB2312"/>
          <w:i w:val="0"/>
          <w:caps w:val="0"/>
          <w:color w:val="000000"/>
          <w:spacing w:val="0"/>
          <w:sz w:val="32"/>
          <w:szCs w:val="32"/>
        </w:rPr>
        <w:t>一、单位主要职能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二、机构设置情况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第二部分：柳州市柳江区地方志编纂委员会办公室2026年单位预算情况说明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一、单位预算收支增减变化情况说明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二、单位收入总体情况说明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三、单位支出总体情况说明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四、财政拨款收支总体情况说明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五、一般公共预算支出情况说明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六、一般公共预算基本支出情况说明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七、一般公共预算“三公”经费支出情况说明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八、政府性基金预算支出情况说明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九、国有资本经营预算支出情况说明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十、其他重要事项情况说明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（一）机关运行经费安排情况说明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（二）政府采购预算安排情况说明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（三）政府购买服务情况说明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（四）国有资产占用情况说明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（五）预算绩效目标情况说明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第三部分：名词解释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第四部分：柳州市柳江区地方志编纂委员会办公室2026年单位预算报表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第一部分：单位概况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一、主要职责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ascii="仿宋" w:hAnsi="仿宋" w:eastAsia="仿宋" w:cs="仿宋"/>
          <w:i w:val="0"/>
          <w:caps w:val="0"/>
          <w:color w:val="000000"/>
          <w:spacing w:val="0"/>
          <w:sz w:val="32"/>
          <w:szCs w:val="32"/>
        </w:rPr>
        <w:t>（一）宣传、贯彻执行国家有关地方志工作法律、法规、规章和相关政策，根据自治区、市级地方志工作规划制订全区地方志工作目标规划纲要报区人民政府审批并组织实施，制订全区地方志编纂工作计划方案并组织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rPr>
        <w:t>（二）承担《柳江县志》（《柳江区志》）、《柳江年鉴》、《柳江地情资料年报》的总体设计、组稿、撰稿、编辑、总纂、报批和出版发行工作。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（三）负责组织、协调、指导、督促和检查全区各镇 、部门（行业）志和其他志书的编纂工作，审定、验收各镇、部门（行业）志稿及其他地方文献。</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（四）负责区情文献资料的搜集、整理、开发、利用，提供区情咨询服务。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（五）开展地方志理论研究，组织志鉴编纂的业务培训，总结交流志鉴编纂经验。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（六）对地方志书和地情资料书进行宣传、利用，发挥地方志书的存史、资政和教化作用。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（七）完成其他地方志工作和区委、区人民政府交办的其他工作。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二、机构设置情况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2"/>
          <w:sz w:val="32"/>
          <w:szCs w:val="32"/>
        </w:rPr>
        <w:t>柳州市柳江区地方志编纂委员会办公室为正科级公益一类事业单位，</w:t>
      </w:r>
      <w:r>
        <w:rPr>
          <w:rFonts w:hint="eastAsia" w:ascii="仿宋" w:hAnsi="仿宋" w:eastAsia="仿宋" w:cs="仿宋"/>
          <w:i w:val="0"/>
          <w:caps w:val="0"/>
          <w:color w:val="000000"/>
          <w:spacing w:val="0"/>
          <w:sz w:val="32"/>
          <w:szCs w:val="32"/>
        </w:rPr>
        <w:t>单位内设秘书股、业务股两个股室。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第二部分：柳州市柳江区地方志编纂委员会办公室2026年单位预算情况说明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一、单位收支总体情况说明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我单位总收入154.32万元，总支出 154.32 万元（不含财政拨款上年未列支结转收支数）。总收入较上年增长26.93%，主要原因是人员变动及调整工资相应增加人员经费预算。总支出较上年增长26.93%，主要原因是人员变动及调整工资相应增加人员经费预算。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二、单位收入总体情况说明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我单位总收入154.32万元，较上年增长增长26.93%，主要原因是人员变动及调整工资相应增加人员经费预算。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三、单位支出总体情况说明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我单位总支出154.32万元，较上年增长增长26.93%，主要原因是人员变动及调整工资相应增加人员经费预算。主要包括：新调入1人相应增加人员经费。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四、财政拨款收支总体情况说明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财政拨款总收入154.32万元，总支出154.32万元（不含财政拨款上年未列支结转收支数）。财政拨款总收入较上年增长26.93%，主要原因是人员变动及调整工资相应增加人员经费预算。财政拨款总支出较上年增长26.93%，主要原因是人员变动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五、一般公共预算支出情况说明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我单位一般公共预算支出共144.87万元，较上年增长29.02%，主要原因是人员变动及调整工资相应增加人员经费预算。具体情况为：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（1）一般公共服务类科目支出预算98.29万元，占支出总预算67.85%，同比增长22.74万元，同比增长30.10%，主要原因是人员变动及调整工资相应增加人员经费预算；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（2）</w:t>
      </w:r>
      <w:bookmarkStart w:id="0" w:name="OLE_LINK14"/>
      <w:r>
        <w:rPr>
          <w:rFonts w:hint="eastAsia" w:ascii="仿宋" w:hAnsi="仿宋" w:eastAsia="仿宋" w:cs="仿宋"/>
          <w:i w:val="0"/>
          <w:caps w:val="0"/>
          <w:color w:val="000000"/>
          <w:spacing w:val="0"/>
          <w:sz w:val="32"/>
          <w:szCs w:val="32"/>
        </w:rPr>
        <w:t>社会保障和就业类</w:t>
      </w:r>
      <w:bookmarkEnd w:id="0"/>
      <w:r>
        <w:rPr>
          <w:rFonts w:hint="eastAsia" w:ascii="仿宋" w:hAnsi="仿宋" w:eastAsia="仿宋" w:cs="仿宋"/>
          <w:i w:val="0"/>
          <w:caps w:val="0"/>
          <w:color w:val="000000"/>
          <w:spacing w:val="0"/>
          <w:sz w:val="32"/>
          <w:szCs w:val="32"/>
        </w:rPr>
        <w:t>科目支出预算29.21万元, 占支出总预算20.16%，</w:t>
      </w:r>
      <w:bookmarkStart w:id="1" w:name="OLE_LINK16"/>
      <w:r>
        <w:rPr>
          <w:rFonts w:hint="eastAsia" w:ascii="仿宋_GB2312" w:hAnsi="Times New Roman" w:eastAsia="仿宋_GB2312" w:cs="仿宋_GB2312"/>
          <w:i w:val="0"/>
          <w:caps w:val="0"/>
          <w:color w:val="000000"/>
          <w:spacing w:val="0"/>
          <w:sz w:val="32"/>
          <w:szCs w:val="32"/>
        </w:rPr>
        <w:t>同比增长4.97万元，同比增长20.5%，主要原因是人员增加及调整工资相应增加</w:t>
      </w:r>
      <w:bookmarkEnd w:id="1"/>
      <w:bookmarkStart w:id="2" w:name="OLE_LINK17"/>
      <w:r>
        <w:rPr>
          <w:rFonts w:hint="eastAsia" w:ascii="仿宋" w:hAnsi="仿宋" w:eastAsia="仿宋" w:cs="仿宋"/>
          <w:i w:val="0"/>
          <w:caps w:val="0"/>
          <w:color w:val="000000"/>
          <w:spacing w:val="0"/>
          <w:sz w:val="32"/>
          <w:szCs w:val="32"/>
        </w:rPr>
        <w:t>五险一金的</w:t>
      </w:r>
      <w:bookmarkEnd w:id="2"/>
      <w:bookmarkStart w:id="3" w:name="OLE_LINK18"/>
      <w:r>
        <w:rPr>
          <w:rFonts w:hint="eastAsia" w:ascii="仿宋" w:hAnsi="仿宋" w:eastAsia="仿宋" w:cs="仿宋"/>
          <w:i w:val="0"/>
          <w:caps w:val="0"/>
          <w:color w:val="000000"/>
          <w:spacing w:val="0"/>
          <w:sz w:val="32"/>
          <w:szCs w:val="32"/>
        </w:rPr>
        <w:t>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bookmarkEnd w:id="3"/>
      <w:r>
        <w:rPr>
          <w:rFonts w:hint="eastAsia" w:ascii="仿宋" w:hAnsi="仿宋" w:eastAsia="仿宋" w:cs="仿宋"/>
          <w:i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rPr>
        <w:t>（3）</w:t>
      </w:r>
      <w:bookmarkStart w:id="4" w:name="OLE_LINK21"/>
      <w:r>
        <w:rPr>
          <w:rFonts w:hint="eastAsia" w:ascii="仿宋" w:hAnsi="仿宋" w:eastAsia="仿宋" w:cs="仿宋"/>
          <w:i w:val="0"/>
          <w:caps w:val="0"/>
          <w:color w:val="000000"/>
          <w:spacing w:val="0"/>
          <w:sz w:val="32"/>
          <w:szCs w:val="32"/>
        </w:rPr>
        <w:t>卫生健康支出类</w:t>
      </w:r>
      <w:bookmarkEnd w:id="4"/>
      <w:r>
        <w:rPr>
          <w:rFonts w:hint="eastAsia" w:ascii="仿宋" w:hAnsi="仿宋" w:eastAsia="仿宋" w:cs="仿宋"/>
          <w:i w:val="0"/>
          <w:caps w:val="0"/>
          <w:color w:val="000000"/>
          <w:spacing w:val="0"/>
          <w:sz w:val="32"/>
          <w:szCs w:val="32"/>
        </w:rPr>
        <w:t>科目支出预算6.22万元，占支出总预算4.29%，</w:t>
      </w:r>
      <w:r>
        <w:rPr>
          <w:rFonts w:hint="eastAsia" w:ascii="仿宋_GB2312" w:hAnsi="Times New Roman" w:eastAsia="仿宋_GB2312" w:cs="仿宋_GB2312"/>
          <w:i w:val="0"/>
          <w:caps w:val="0"/>
          <w:color w:val="000000"/>
          <w:spacing w:val="0"/>
          <w:sz w:val="32"/>
          <w:szCs w:val="32"/>
        </w:rPr>
        <w:t>同比增长1.69万元，同比增长27.17%，主要原因是人员增加及调整工资相应增加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rPr>
        <w:t>（4）</w:t>
      </w:r>
      <w:bookmarkStart w:id="5" w:name="OLE_LINK31"/>
      <w:r>
        <w:rPr>
          <w:rFonts w:hint="eastAsia" w:ascii="仿宋" w:hAnsi="仿宋" w:eastAsia="仿宋" w:cs="仿宋"/>
          <w:i w:val="0"/>
          <w:caps w:val="0"/>
          <w:color w:val="000000"/>
          <w:spacing w:val="0"/>
          <w:sz w:val="32"/>
          <w:szCs w:val="32"/>
        </w:rPr>
        <w:t>住房保障支出类</w:t>
      </w:r>
      <w:bookmarkEnd w:id="5"/>
      <w:r>
        <w:rPr>
          <w:rFonts w:hint="eastAsia" w:ascii="仿宋" w:hAnsi="仿宋" w:eastAsia="仿宋" w:cs="仿宋"/>
          <w:i w:val="0"/>
          <w:caps w:val="0"/>
          <w:color w:val="000000"/>
          <w:spacing w:val="0"/>
          <w:sz w:val="32"/>
          <w:szCs w:val="32"/>
        </w:rPr>
        <w:t>科目支出预算11.15万元，占支出总预算 7.70%，</w:t>
      </w:r>
      <w:r>
        <w:rPr>
          <w:rFonts w:hint="eastAsia" w:ascii="仿宋_GB2312" w:hAnsi="Times New Roman" w:eastAsia="仿宋_GB2312" w:cs="仿宋_GB2312"/>
          <w:i w:val="0"/>
          <w:caps w:val="0"/>
          <w:color w:val="000000"/>
          <w:spacing w:val="0"/>
          <w:sz w:val="32"/>
          <w:szCs w:val="32"/>
        </w:rPr>
        <w:t>同比增长3.34万元，同比增长42.76%，主要原因是人员增加及调整工资相应增加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六、一般公共预算基本支出情况说明</w:t>
      </w:r>
    </w:p>
    <w:p>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firstLine="646"/>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我单位一般公共预算基本支出共144.87万元，较上年增长29.21 %，主要原因是人员变动及调整工资相应增加人员经费预算。具体情况为：</w:t>
      </w:r>
    </w:p>
    <w:p>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firstLine="646"/>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-基本工资 33.91万元，同比增长10.11万元，同比增长42.48%，主要原因是人员</w:t>
      </w:r>
      <w:bookmarkStart w:id="6" w:name="_GoBack"/>
      <w:bookmarkEnd w:id="6"/>
      <w:r>
        <w:rPr>
          <w:rFonts w:hint="eastAsia" w:ascii="仿宋_GB2312" w:hAnsi="Times New Roman" w:eastAsia="仿宋_GB2312" w:cs="仿宋_GB2312"/>
          <w:i w:val="0"/>
          <w:caps w:val="0"/>
          <w:color w:val="000000"/>
          <w:spacing w:val="0"/>
          <w:sz w:val="32"/>
          <w:szCs w:val="32"/>
        </w:rPr>
        <w:t>增加及调整工资相应增加人员经费预算；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-津贴补贴 21.79万元，同比增长4.44万元，同比增长23.59%，主要原因是人员增加及调整工资相应增加人员经费预算；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-奖金22.34万元，同比增长4.43万元，同比增长24.73%，主要原因是人员增加及调整工资相应增加人员经费预算；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-机关事业单位基本养老保险缴费 12.60万元，同比增长3.31万元，同比增长35.63%，主要原因是人员增加及调整工资相应增加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r>
        <w:rPr>
          <w:rFonts w:hint="eastAsia" w:ascii="仿宋_GB2312" w:hAnsi="Times New Roman" w:eastAsia="仿宋_GB2312" w:cs="仿宋_GB2312"/>
          <w:i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-职业年金缴费6.30万元，同比增长1.66万元，同比增长35.78%，主要原因是人员增加及调整工资相应增加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-职工基本医疗保险缴费 6.22万元，同比增长1.69万元，同比增长37.31%，主要原因是人员增加及调整工资相应增加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1"/>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-其他社会保障缴费 0.55万元，同比增长0.14万元，同比增长34.15%，主要原因是人员增加及调整工资相应增加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1"/>
        <w:jc w:val="left"/>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工资福利支出 -住房公积金11.15万元，同比增长3.34万元，同比增长42.76%，主要原因是人员增加及调整工资相应增加</w:t>
      </w:r>
      <w:r>
        <w:rPr>
          <w:rFonts w:hint="eastAsia" w:ascii="仿宋" w:hAnsi="仿宋" w:eastAsia="仿宋" w:cs="仿宋"/>
          <w:i w:val="0"/>
          <w:caps w:val="0"/>
          <w:color w:val="000000"/>
          <w:spacing w:val="0"/>
          <w:sz w:val="32"/>
          <w:szCs w:val="32"/>
        </w:rPr>
        <w:t>五险一金的缴费基数，相应的</w:t>
      </w:r>
      <w:r>
        <w:rPr>
          <w:rFonts w:hint="eastAsia" w:ascii="仿宋_GB2312" w:hAnsi="Times New Roman" w:eastAsia="仿宋_GB2312" w:cs="仿宋_GB2312"/>
          <w:i w:val="0"/>
          <w:caps w:val="0"/>
          <w:color w:val="000000"/>
          <w:spacing w:val="0"/>
          <w:sz w:val="32"/>
          <w:szCs w:val="32"/>
        </w:rPr>
        <w:t>增加</w:t>
      </w:r>
      <w:r>
        <w:rPr>
          <w:rFonts w:hint="eastAsia" w:ascii="仿宋" w:hAnsi="仿宋" w:eastAsia="仿宋" w:cs="仿宋"/>
          <w:i w:val="0"/>
          <w:caps w:val="0"/>
          <w:color w:val="000000"/>
          <w:spacing w:val="0"/>
          <w:sz w:val="32"/>
          <w:szCs w:val="32"/>
        </w:rPr>
        <w:t>缴纳的费用。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-办公费 1.47万元，同比增长0.24万元，同比增长19.51%，主要原因是增加一人相应增加经费预算；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-印刷费0.18万元，同比增长0.03万元，同比增长20%，主要原因是增加一人相应增加经费预算；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-邮电费1.48万元，同比增长0.29万元，同比增长24.37%，主要原因是增加一人相应增加经费预算；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-差旅费 2.64万元，同比增长0.44万元，同比增长20%，主要原因是增加一人相应增加经费预算；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-维修（护）费0.36万元，同比增长0.06万元，同比增长20%，主要原因是增加一人相应增加经费预算；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-会议费 0.12万元，同比增长0.02万元，同比增长16.67%，主要原因是增加一人相应增加经费预算；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-培训费 0.14万元，同比增长0.02万元，同比增长16.67%，主要原因是增加一人相应增加经费预算；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-公务接待费0.14万元，同比增长0.02万元，同比增长16.67%，主要原因是增加一人相应增加经费预算；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-工会经费1.58万元，同比增长0.42万元，同比增长36.21%，主要原因是增加一人相应增加经费预算；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-其他交通费用 6.48万元，同比增长1.44万元，同比增长28.57，主要原因是增加一人相应增加经费预算；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商品和服务支出 -其他商品和服务支出4.22万元，同比增长0.79万元，同比增长23.03%，主要原因是增加一人相应增加经费预算；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对个人和家庭的补助 -退休费9.95万元，与上年持平；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对个人和家庭的补助 -生活补助 1.24万元，与上年持平；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对个人和家庭的补助 -奖励金 0.01万元，与上年持平。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七、一般公共预算“三公”经费支出情况说明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我单位2026年一般公共预算安排的“三公”经费支出预算0.14万元，同口径比2025年增加同比增长0.02万元，同比增长16.67%%，具体如下：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1.因公出国（境）费2026年预算安排0万元，</w:t>
      </w:r>
      <w:r>
        <w:rPr>
          <w:rFonts w:hint="eastAsia" w:ascii="仿宋" w:hAnsi="仿宋" w:eastAsia="仿宋" w:cs="仿宋"/>
          <w:i w:val="0"/>
          <w:caps w:val="0"/>
          <w:color w:val="000000"/>
          <w:spacing w:val="0"/>
          <w:sz w:val="32"/>
          <w:szCs w:val="32"/>
        </w:rPr>
        <w:t>我单位无此项预算</w:t>
      </w:r>
      <w:r>
        <w:rPr>
          <w:rFonts w:hint="eastAsia" w:ascii="仿宋_GB2312" w:hAnsi="Times New Roman" w:eastAsia="仿宋_GB2312" w:cs="仿宋_GB2312"/>
          <w:i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2.公务接待费2026年预算安排0.14万元，比上年增加0.02万元，增长16.67%，增加的主要原因是增加一人相应增加经费预算。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3.公务用车购置及运行费2026年预算安排0万元，比上年增加0万元，增长0%，其中：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公务用车购置费2026年预算安排0万元，</w:t>
      </w:r>
      <w:r>
        <w:rPr>
          <w:rFonts w:hint="eastAsia" w:ascii="仿宋" w:hAnsi="仿宋" w:eastAsia="仿宋" w:cs="仿宋"/>
          <w:i w:val="0"/>
          <w:caps w:val="0"/>
          <w:color w:val="000000"/>
          <w:spacing w:val="0"/>
          <w:sz w:val="32"/>
          <w:szCs w:val="32"/>
        </w:rPr>
        <w:t>我单位无此项预算</w:t>
      </w:r>
      <w:r>
        <w:rPr>
          <w:rFonts w:hint="eastAsia" w:ascii="仿宋_GB2312" w:hAnsi="Times New Roman" w:eastAsia="仿宋_GB2312" w:cs="仿宋_GB2312"/>
          <w:i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公务用车运行维护费2026年预算安排0万元，</w:t>
      </w:r>
      <w:r>
        <w:rPr>
          <w:rFonts w:hint="eastAsia" w:ascii="仿宋" w:hAnsi="仿宋" w:eastAsia="仿宋" w:cs="仿宋"/>
          <w:i w:val="0"/>
          <w:caps w:val="0"/>
          <w:color w:val="000000"/>
          <w:spacing w:val="0"/>
          <w:sz w:val="32"/>
          <w:szCs w:val="32"/>
        </w:rPr>
        <w:t>我单位无此项预算</w:t>
      </w:r>
      <w:r>
        <w:rPr>
          <w:rFonts w:hint="eastAsia" w:ascii="仿宋_GB2312" w:hAnsi="Times New Roman" w:eastAsia="仿宋_GB2312" w:cs="仿宋_GB2312"/>
          <w:i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八、政府性基金预算支出情况说明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我单位政府性基金预算支出共9.45万元，与上年持平。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九、国有资本经营预算支出情况说明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我单位2026年部门预算无国有资本经营预算。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十、其他重要事项情况说明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ascii="楷体_GB2312" w:hAnsi="Times New Roman" w:eastAsia="楷体_GB2312" w:cs="楷体_GB2312"/>
          <w:i w:val="0"/>
          <w:caps w:val="0"/>
          <w:color w:val="000000"/>
          <w:spacing w:val="0"/>
          <w:sz w:val="32"/>
          <w:szCs w:val="32"/>
        </w:rPr>
        <w:t>（一）单位运行经费安排情况说明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48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 2026年本单位的运行经费预算共18.81万元，同比增长3.63万元，同比增长23.91%，主要原因是人员增加相应增加费用。主要包括办公费、印刷费、水电费、邮电费、邮电费、差旅费、维修（护）费、会议费、培训费、公务接待费、</w:t>
      </w:r>
      <w:r>
        <w:rPr>
          <w:rFonts w:hint="eastAsia" w:ascii="仿宋" w:hAnsi="仿宋" w:eastAsia="仿宋" w:cs="仿宋"/>
          <w:i w:val="0"/>
          <w:caps w:val="0"/>
          <w:color w:val="000000"/>
          <w:spacing w:val="0"/>
          <w:sz w:val="32"/>
          <w:szCs w:val="32"/>
        </w:rPr>
        <w:t>工会经费、其他交通费用</w:t>
      </w:r>
      <w:r>
        <w:rPr>
          <w:rFonts w:hint="eastAsia" w:ascii="仿宋_GB2312" w:hAnsi="Times New Roman" w:eastAsia="仿宋_GB2312" w:cs="仿宋_GB2312"/>
          <w:i w:val="0"/>
          <w:caps w:val="0"/>
          <w:color w:val="000000"/>
          <w:spacing w:val="0"/>
          <w:sz w:val="32"/>
          <w:szCs w:val="32"/>
        </w:rPr>
        <w:t>及其他商品和服务支出。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楷体_GB2312" w:hAnsi="Times New Roman" w:eastAsia="楷体_GB2312" w:cs="楷体_GB2312"/>
          <w:i w:val="0"/>
          <w:caps w:val="0"/>
          <w:color w:val="000000"/>
          <w:spacing w:val="0"/>
          <w:sz w:val="32"/>
          <w:szCs w:val="32"/>
        </w:rPr>
        <w:t>（二）政府采购预算安排情况说明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我单位2026年政府采购预算总金额6.67万元。其中：货物类采购6.67万元、工程类采购0万元、服务类采购0万元。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货物采购6.67万元，占政府采购预算100％。采购限额标准以上，200万元以下的货物和服务采购项目、400万元以下的工程采购项目，适宜为中小企业提供的采购预算6.67万元，面向中小企业预留金额6.67万元。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楷体_GB2312" w:hAnsi="Times New Roman" w:eastAsia="楷体_GB2312" w:cs="楷体_GB2312"/>
          <w:i w:val="0"/>
          <w:caps w:val="0"/>
          <w:color w:val="000000"/>
          <w:spacing w:val="0"/>
          <w:sz w:val="32"/>
          <w:szCs w:val="32"/>
        </w:rPr>
        <w:t>（三）政府购买服务情况说明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rPr>
        <w:t>我单位2026年部门预算无政府购买服务预算。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楷体_GB2312" w:hAnsi="Times New Roman" w:eastAsia="楷体_GB2312" w:cs="楷体_GB2312"/>
          <w:i w:val="0"/>
          <w:caps w:val="0"/>
          <w:color w:val="000000"/>
          <w:spacing w:val="0"/>
          <w:sz w:val="32"/>
          <w:szCs w:val="32"/>
        </w:rPr>
        <w:t>（四）国有资产占用情况说明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 w:hAnsi="仿宋" w:eastAsia="仿宋" w:cs="仿宋"/>
          <w:i w:val="0"/>
          <w:caps w:val="0"/>
          <w:color w:val="000000"/>
          <w:spacing w:val="0"/>
          <w:sz w:val="32"/>
          <w:szCs w:val="32"/>
        </w:rPr>
        <w:t>目前，本单位共有办公设备共1台（套）。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楷体_GB2312" w:hAnsi="Times New Roman" w:eastAsia="楷体_GB2312" w:cs="楷体_GB2312"/>
          <w:i w:val="0"/>
          <w:caps w:val="0"/>
          <w:color w:val="000000"/>
          <w:spacing w:val="0"/>
          <w:sz w:val="32"/>
          <w:szCs w:val="32"/>
        </w:rPr>
        <w:t>（五）预算绩效目标情况说明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1.我单位2026年所有项目支出全面实施绩效目标管理，涉及本级项目</w:t>
      </w:r>
      <w:r>
        <w:rPr>
          <w:rFonts w:hint="eastAsia" w:ascii="仿宋" w:hAnsi="仿宋" w:eastAsia="仿宋" w:cs="仿宋"/>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个，预算资金</w:t>
      </w:r>
      <w:r>
        <w:rPr>
          <w:rFonts w:hint="eastAsia" w:ascii="仿宋" w:hAnsi="仿宋" w:eastAsia="仿宋" w:cs="仿宋"/>
          <w:i w:val="0"/>
          <w:caps w:val="0"/>
          <w:color w:val="000000"/>
          <w:spacing w:val="0"/>
          <w:sz w:val="32"/>
          <w:szCs w:val="32"/>
        </w:rPr>
        <w:t>9.45</w:t>
      </w:r>
      <w:r>
        <w:rPr>
          <w:rFonts w:hint="eastAsia" w:ascii="仿宋_GB2312" w:hAnsi="Times New Roman" w:eastAsia="仿宋_GB2312" w:cs="仿宋_GB2312"/>
          <w:i w:val="0"/>
          <w:caps w:val="0"/>
          <w:color w:val="000000"/>
          <w:spacing w:val="0"/>
          <w:sz w:val="32"/>
          <w:szCs w:val="32"/>
        </w:rPr>
        <w:t>万元。绩效目标情况详见报表（涉密项目等除外）。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2.重点项目预算绩效目标说明。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 </w:t>
      </w:r>
    </w:p>
    <w:tbl>
      <w:tblPr>
        <w:tblW w:w="9125" w:type="dxa"/>
        <w:tblInd w:w="-12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
      <w:tblGrid>
        <w:gridCol w:w="1512"/>
        <w:gridCol w:w="1409"/>
        <w:gridCol w:w="1887"/>
        <w:gridCol w:w="1317"/>
        <w:gridCol w:w="30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975" w:hRule="atLeast"/>
        </w:trPr>
        <w:tc>
          <w:tcPr>
            <w:tcW w:w="9125" w:type="dxa"/>
            <w:gridSpan w:val="5"/>
            <w:tcBorders>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346" w:lineRule="atLeast"/>
              <w:ind w:left="0" w:right="0"/>
              <w:jc w:val="center"/>
              <w:textAlignment w:val="center"/>
              <w:rPr>
                <w:sz w:val="32"/>
                <w:szCs w:val="32"/>
              </w:rPr>
            </w:pPr>
            <w:r>
              <w:rPr>
                <w:rFonts w:hint="eastAsia" w:ascii="宋体" w:hAnsi="宋体" w:eastAsia="宋体" w:cs="宋体"/>
                <w:b/>
                <w:sz w:val="32"/>
                <w:szCs w:val="32"/>
                <w:bdr w:val="none" w:color="auto" w:sz="0" w:space="0"/>
              </w:rPr>
              <w:t>2026年度部门预算柳江区项目支出绩效目标申报表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项目名称</w:t>
            </w:r>
          </w:p>
        </w:tc>
        <w:tc>
          <w:tcPr>
            <w:tcW w:w="3296" w:type="dxa"/>
            <w:gridSpan w:val="2"/>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柳江年鉴</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项目编码</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800" w:hRule="atLeast"/>
        </w:trPr>
        <w:tc>
          <w:tcPr>
            <w:tcW w:w="1512" w:type="dxa"/>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项目实施单位</w:t>
            </w:r>
          </w:p>
        </w:tc>
        <w:tc>
          <w:tcPr>
            <w:tcW w:w="3296" w:type="dxa"/>
            <w:gridSpan w:val="2"/>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柳州市柳江区地方志编纂委员会办公室</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项目主管单位</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116-柳州市柳江区机关后勤服务中心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项目属性</w:t>
            </w:r>
          </w:p>
        </w:tc>
        <w:tc>
          <w:tcPr>
            <w:tcW w:w="7613" w:type="dxa"/>
            <w:gridSpan w:val="4"/>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1-经常性项目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restart"/>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资金总额</w:t>
            </w:r>
          </w:p>
        </w:tc>
        <w:tc>
          <w:tcPr>
            <w:tcW w:w="3296" w:type="dxa"/>
            <w:gridSpan w:val="2"/>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资金来源</w:t>
            </w:r>
          </w:p>
        </w:tc>
        <w:tc>
          <w:tcPr>
            <w:tcW w:w="4317" w:type="dxa"/>
            <w:gridSpan w:val="2"/>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金额(元)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3296" w:type="dxa"/>
            <w:gridSpan w:val="2"/>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合计</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rPr>
                <w:sz w:val="22"/>
                <w:szCs w:val="22"/>
              </w:rPr>
            </w:pPr>
            <w:r>
              <w:rPr>
                <w:rFonts w:hint="eastAsia" w:ascii="宋体" w:hAnsi="宋体" w:eastAsia="宋体" w:cs="宋体"/>
                <w:sz w:val="22"/>
                <w:szCs w:val="22"/>
                <w:bdr w:val="none" w:color="auto" w:sz="0" w:space="0"/>
              </w:rPr>
              <w:t> </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72000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3296" w:type="dxa"/>
            <w:gridSpan w:val="2"/>
            <w:vMerge w:val="restart"/>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其中：一般公共预算拨款</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其中：上级</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3296" w:type="dxa"/>
            <w:gridSpan w:val="2"/>
            <w:vMerge w:val="continue"/>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      本级</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3296" w:type="dxa"/>
            <w:gridSpan w:val="2"/>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 政府性基金</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rPr>
                <w:sz w:val="22"/>
                <w:szCs w:val="22"/>
              </w:rPr>
            </w:pPr>
            <w:r>
              <w:rPr>
                <w:rFonts w:hint="eastAsia" w:ascii="宋体" w:hAnsi="宋体" w:eastAsia="宋体" w:cs="宋体"/>
                <w:sz w:val="22"/>
                <w:szCs w:val="22"/>
                <w:bdr w:val="none" w:color="auto" w:sz="0" w:space="0"/>
              </w:rPr>
              <w:t> </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72000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60"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3296" w:type="dxa"/>
            <w:gridSpan w:val="2"/>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 国有资本经营预算</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rPr>
                <w:sz w:val="22"/>
                <w:szCs w:val="22"/>
              </w:rPr>
            </w:pPr>
            <w:r>
              <w:rPr>
                <w:rFonts w:hint="eastAsia" w:ascii="宋体" w:hAnsi="宋体" w:eastAsia="宋体" w:cs="宋体"/>
                <w:sz w:val="22"/>
                <w:szCs w:val="22"/>
                <w:bdr w:val="none" w:color="auto" w:sz="0" w:space="0"/>
              </w:rPr>
              <w:t> </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3296" w:type="dxa"/>
            <w:gridSpan w:val="2"/>
            <w:tcBorders>
              <w:top w:val="single" w:color="auto" w:sz="6" w:space="0"/>
              <w:left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 其他资金</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rPr>
                <w:sz w:val="22"/>
                <w:szCs w:val="22"/>
              </w:rPr>
            </w:pPr>
            <w:r>
              <w:rPr>
                <w:rFonts w:hint="eastAsia" w:ascii="宋体" w:hAnsi="宋体" w:eastAsia="宋体" w:cs="宋体"/>
                <w:sz w:val="22"/>
                <w:szCs w:val="22"/>
                <w:bdr w:val="none" w:color="auto" w:sz="0" w:space="0"/>
              </w:rPr>
              <w:t> </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900" w:hRule="atLeast"/>
        </w:trPr>
        <w:tc>
          <w:tcPr>
            <w:tcW w:w="1512" w:type="dxa"/>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年度绩效目标</w:t>
            </w:r>
          </w:p>
        </w:tc>
        <w:tc>
          <w:tcPr>
            <w:tcW w:w="7613" w:type="dxa"/>
            <w:gridSpan w:val="4"/>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＜＜柳江年鉴2025＞＞编辑完成，通过出版社审稿落实公开出版书号。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restart"/>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项目年度绩效目标衡量指标</w:t>
            </w:r>
          </w:p>
        </w:tc>
        <w:tc>
          <w:tcPr>
            <w:tcW w:w="1409"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一级指标</w:t>
            </w:r>
          </w:p>
        </w:tc>
        <w:tc>
          <w:tcPr>
            <w:tcW w:w="188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二级指标</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指标内容</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b/>
                <w:sz w:val="22"/>
                <w:szCs w:val="22"/>
                <w:bdr w:val="none" w:color="auto" w:sz="0" w:space="0"/>
              </w:rPr>
              <w:t>指标值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409" w:type="dxa"/>
            <w:vMerge w:val="restart"/>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产出指标</w:t>
            </w:r>
          </w:p>
        </w:tc>
        <w:tc>
          <w:tcPr>
            <w:tcW w:w="188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数量指标</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柳江年鉴2026卷印制</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≥300册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660"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409" w:type="dxa"/>
            <w:vMerge w:val="continue"/>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88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质量指标</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通过出版社审核获得公开出版书号</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获得公开出版书号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409" w:type="dxa"/>
            <w:vMerge w:val="continue"/>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88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时效指标</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完成编辑交付出版社审核</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2026年底前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378"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409" w:type="dxa"/>
            <w:vMerge w:val="continue"/>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88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成本指标</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控制在预算内</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≤72000元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600"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409"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效益指标</w:t>
            </w:r>
          </w:p>
        </w:tc>
        <w:tc>
          <w:tcPr>
            <w:tcW w:w="188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社会效益</w:t>
            </w:r>
          </w:p>
        </w:tc>
        <w:tc>
          <w:tcPr>
            <w:tcW w:w="1317" w:type="dxa"/>
            <w:tcBorders>
              <w:top w:val="single" w:color="auto" w:sz="6" w:space="0"/>
              <w:left w:val="single" w:color="auto" w:sz="6" w:space="0"/>
              <w:bottom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全面记录柳江2024年经济社会等各方面发展情况</w:t>
            </w:r>
          </w:p>
        </w:tc>
        <w:tc>
          <w:tcPr>
            <w:tcW w:w="3000" w:type="dxa"/>
            <w:tcBorders>
              <w:top w:val="single" w:color="auto" w:sz="6" w:space="0"/>
              <w:left w:val="single" w:color="auto" w:sz="6" w:space="0"/>
              <w:bottom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有助于各单位修志的时候查找资料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720" w:hRule="atLeast"/>
        </w:trPr>
        <w:tc>
          <w:tcPr>
            <w:tcW w:w="1512" w:type="dxa"/>
            <w:vMerge w:val="continue"/>
            <w:tcBorders>
              <w:top w:val="single" w:color="auto" w:sz="6" w:space="0"/>
              <w:bottom w:val="single" w:color="auto" w:sz="6" w:space="0"/>
              <w:right w:val="single" w:color="auto" w:sz="6" w:space="0"/>
            </w:tcBorders>
            <w:shd w:val="clear"/>
            <w:tcMar>
              <w:top w:w="15" w:type="dxa"/>
              <w:left w:w="8" w:type="dxa"/>
              <w:bottom w:w="0" w:type="dxa"/>
              <w:right w:w="8" w:type="dxa"/>
            </w:tcMar>
            <w:vAlign w:val="center"/>
          </w:tcPr>
          <w:p>
            <w:pPr>
              <w:rPr>
                <w:rFonts w:hint="eastAsia" w:ascii="宋体"/>
                <w:sz w:val="24"/>
                <w:szCs w:val="24"/>
              </w:rPr>
            </w:pPr>
          </w:p>
        </w:tc>
        <w:tc>
          <w:tcPr>
            <w:tcW w:w="1409" w:type="dxa"/>
            <w:tcBorders>
              <w:top w:val="single" w:color="auto" w:sz="6" w:space="0"/>
              <w:left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满意度指标</w:t>
            </w:r>
          </w:p>
        </w:tc>
        <w:tc>
          <w:tcPr>
            <w:tcW w:w="1887" w:type="dxa"/>
            <w:tcBorders>
              <w:top w:val="single" w:color="auto" w:sz="6" w:space="0"/>
              <w:left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服务对象满意度</w:t>
            </w:r>
          </w:p>
        </w:tc>
        <w:tc>
          <w:tcPr>
            <w:tcW w:w="1317" w:type="dxa"/>
            <w:tcBorders>
              <w:top w:val="single" w:color="auto" w:sz="6" w:space="0"/>
              <w:left w:val="single" w:color="auto" w:sz="6" w:space="0"/>
              <w:righ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textAlignment w:val="center"/>
              <w:rPr>
                <w:sz w:val="22"/>
                <w:szCs w:val="22"/>
              </w:rPr>
            </w:pPr>
            <w:r>
              <w:rPr>
                <w:rFonts w:hint="eastAsia" w:ascii="宋体" w:hAnsi="宋体" w:eastAsia="宋体" w:cs="宋体"/>
                <w:sz w:val="22"/>
                <w:szCs w:val="22"/>
                <w:bdr w:val="none" w:color="auto" w:sz="0" w:space="0"/>
              </w:rPr>
              <w:t>各单位对柳江年鉴满意</w:t>
            </w:r>
          </w:p>
        </w:tc>
        <w:tc>
          <w:tcPr>
            <w:tcW w:w="3000" w:type="dxa"/>
            <w:tcBorders>
              <w:top w:val="single" w:color="auto" w:sz="6" w:space="0"/>
              <w:left w:val="single" w:color="auto" w:sz="6" w:space="0"/>
            </w:tcBorders>
            <w:shd w:val="clear"/>
            <w:tcMar>
              <w:top w:w="15" w:type="dxa"/>
              <w:left w:w="8" w:type="dxa"/>
              <w:bottom w:w="0" w:type="dxa"/>
              <w:right w:w="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0" w:afterAutospacing="0" w:line="238" w:lineRule="atLeast"/>
              <w:ind w:left="0" w:right="0"/>
              <w:jc w:val="center"/>
              <w:textAlignment w:val="center"/>
              <w:rPr>
                <w:sz w:val="22"/>
                <w:szCs w:val="22"/>
              </w:rPr>
            </w:pPr>
            <w:r>
              <w:rPr>
                <w:rFonts w:hint="eastAsia" w:ascii="宋体" w:hAnsi="宋体" w:eastAsia="宋体" w:cs="宋体"/>
                <w:sz w:val="22"/>
                <w:szCs w:val="22"/>
                <w:bdr w:val="none" w:color="auto" w:sz="0" w:space="0"/>
              </w:rPr>
              <w:t>≤90%</w:t>
            </w:r>
          </w:p>
        </w:tc>
      </w:tr>
    </w:tbl>
    <w:p>
      <w:pPr>
        <w:pStyle w:val="6"/>
        <w:keepNext w:val="0"/>
        <w:keepLines w:val="0"/>
        <w:widowControl/>
        <w:suppressLineNumbers w:val="0"/>
        <w:spacing w:before="0" w:beforeAutospacing="0" w:after="160" w:afterAutospacing="0" w:line="560" w:lineRule="atLeast"/>
        <w:ind w:left="0" w:firstLine="0"/>
        <w:jc w:val="both"/>
        <w:rPr>
          <w:rFonts w:hint="default" w:ascii="Times New Roman" w:hAnsi="Times New Roman" w:cs="Times New Roman"/>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第三部分：名词解释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一、一般公共预算：</w:t>
      </w:r>
      <w:r>
        <w:rPr>
          <w:rFonts w:hint="eastAsia" w:ascii="仿宋_GB2312" w:hAnsi="Times New Roman" w:eastAsia="仿宋_GB2312" w:cs="仿宋_GB2312"/>
          <w:i w:val="0"/>
          <w:caps w:val="0"/>
          <w:color w:val="000000"/>
          <w:spacing w:val="0"/>
          <w:sz w:val="32"/>
          <w:szCs w:val="32"/>
        </w:rPr>
        <w:t>一般公共预算是对以税收为主体的财政收入，安排用于保障和改善民生、推动经济社会发展、维护国家安全、维持国家机构正常运转等方面的收支预算。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二、政府性基金预算：</w:t>
      </w:r>
      <w:r>
        <w:rPr>
          <w:rFonts w:hint="eastAsia" w:ascii="仿宋_GB2312" w:hAnsi="Times New Roman" w:eastAsia="仿宋_GB2312" w:cs="仿宋_GB2312"/>
          <w:i w:val="0"/>
          <w:caps w:val="0"/>
          <w:color w:val="000000"/>
          <w:spacing w:val="0"/>
          <w:sz w:val="32"/>
          <w:szCs w:val="32"/>
        </w:rPr>
        <w:t>政府性基金预算是对依照法律、行政法规的规定在一定期限内向特定对象征收、收取或者以其他方式筹集的资金，专项用于特定公共事业发展的收支预算。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三、国有资本经营预算</w:t>
      </w:r>
      <w:r>
        <w:rPr>
          <w:rFonts w:hint="eastAsia" w:ascii="仿宋_GB2312" w:hAnsi="Times New Roman" w:eastAsia="仿宋_GB2312" w:cs="仿宋_GB2312"/>
          <w:i w:val="0"/>
          <w:caps w:val="0"/>
          <w:color w:val="000000"/>
          <w:spacing w:val="0"/>
          <w:sz w:val="32"/>
          <w:szCs w:val="32"/>
        </w:rPr>
        <w:t>：国有资本经营预算是对国有资本收益做出支出安排的收支预算。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四、财政拨款收入：</w:t>
      </w:r>
      <w:r>
        <w:rPr>
          <w:rFonts w:hint="eastAsia" w:ascii="仿宋_GB2312" w:hAnsi="Times New Roman" w:eastAsia="仿宋_GB2312" w:cs="仿宋_GB2312"/>
          <w:i w:val="0"/>
          <w:caps w:val="0"/>
          <w:color w:val="000000"/>
          <w:spacing w:val="0"/>
          <w:sz w:val="32"/>
          <w:szCs w:val="32"/>
        </w:rPr>
        <w:t>指财政部门当年拨付的资金。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五、非税收入：</w:t>
      </w:r>
      <w:r>
        <w:rPr>
          <w:rFonts w:hint="eastAsia" w:ascii="仿宋_GB2312" w:hAnsi="Times New Roman" w:eastAsia="仿宋_GB2312" w:cs="仿宋_GB2312"/>
          <w:i w:val="0"/>
          <w:caps w:val="0"/>
          <w:color w:val="000000"/>
          <w:spacing w:val="0"/>
          <w:sz w:val="3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六、事业收入：</w:t>
      </w:r>
      <w:r>
        <w:rPr>
          <w:rFonts w:hint="eastAsia" w:ascii="仿宋_GB2312" w:hAnsi="Times New Roman" w:eastAsia="仿宋_GB2312" w:cs="仿宋_GB2312"/>
          <w:i w:val="0"/>
          <w:caps w:val="0"/>
          <w:color w:val="000000"/>
          <w:spacing w:val="0"/>
          <w:sz w:val="32"/>
          <w:szCs w:val="32"/>
        </w:rPr>
        <w:t>指事业单位开展专业业务活动及辅助活动所取得的收入。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七、经营收入：</w:t>
      </w:r>
      <w:r>
        <w:rPr>
          <w:rFonts w:hint="eastAsia" w:ascii="仿宋_GB2312" w:hAnsi="Times New Roman" w:eastAsia="仿宋_GB2312" w:cs="仿宋_GB2312"/>
          <w:i w:val="0"/>
          <w:caps w:val="0"/>
          <w:color w:val="000000"/>
          <w:spacing w:val="0"/>
          <w:sz w:val="32"/>
          <w:szCs w:val="32"/>
        </w:rPr>
        <w:t>指事业单位在专业业务活动及其辅助活动之外开展非独立核算经营活动取得的收入。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八、其他收入：</w:t>
      </w:r>
      <w:r>
        <w:rPr>
          <w:rFonts w:hint="eastAsia" w:ascii="仿宋_GB2312" w:hAnsi="Times New Roman" w:eastAsia="仿宋_GB2312" w:cs="仿宋_GB2312"/>
          <w:i w:val="0"/>
          <w:caps w:val="0"/>
          <w:color w:val="000000"/>
          <w:spacing w:val="0"/>
          <w:sz w:val="32"/>
          <w:szCs w:val="32"/>
        </w:rPr>
        <w:t>指除上述“财政拨款收入”、“事业收入”、“经营收入”等以外的收入。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九、上年结转和结余：</w:t>
      </w:r>
      <w:r>
        <w:rPr>
          <w:rFonts w:hint="eastAsia" w:ascii="仿宋_GB2312" w:hAnsi="Times New Roman" w:eastAsia="仿宋_GB2312" w:cs="仿宋_GB2312"/>
          <w:i w:val="0"/>
          <w:caps w:val="0"/>
          <w:color w:val="000000"/>
          <w:spacing w:val="0"/>
          <w:sz w:val="32"/>
          <w:szCs w:val="32"/>
        </w:rPr>
        <w:t>指以前年度尚未完成、结转到本年按有关规定继续使用的资金。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十、基本支出：</w:t>
      </w:r>
      <w:r>
        <w:rPr>
          <w:rFonts w:hint="eastAsia" w:ascii="仿宋_GB2312" w:hAnsi="Times New Roman" w:eastAsia="仿宋_GB2312" w:cs="仿宋_GB2312"/>
          <w:i w:val="0"/>
          <w:caps w:val="0"/>
          <w:color w:val="000000"/>
          <w:spacing w:val="0"/>
          <w:sz w:val="32"/>
          <w:szCs w:val="32"/>
        </w:rPr>
        <w:t>指为保障机构正常运转、完成日常工作任务而发生的人员支出和公用支出。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十一、项目支出：</w:t>
      </w:r>
      <w:r>
        <w:rPr>
          <w:rFonts w:hint="eastAsia" w:ascii="仿宋_GB2312" w:hAnsi="Times New Roman" w:eastAsia="仿宋_GB2312" w:cs="仿宋_GB2312"/>
          <w:i w:val="0"/>
          <w:caps w:val="0"/>
          <w:color w:val="000000"/>
          <w:spacing w:val="0"/>
          <w:sz w:val="32"/>
          <w:szCs w:val="32"/>
        </w:rPr>
        <w:t>指在基本支出之外为完成特定行政任务和事业发展目标所发生的支出。 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十二、经营支出：</w:t>
      </w:r>
      <w:r>
        <w:rPr>
          <w:rFonts w:hint="eastAsia" w:ascii="仿宋_GB2312" w:hAnsi="Times New Roman" w:eastAsia="仿宋_GB2312" w:cs="仿宋_GB2312"/>
          <w:i w:val="0"/>
          <w:caps w:val="0"/>
          <w:color w:val="000000"/>
          <w:spacing w:val="0"/>
          <w:sz w:val="32"/>
          <w:szCs w:val="32"/>
        </w:rPr>
        <w:t>指事业单位在专业业务活动及其辅助活动之外开展非独立核算经营活动发生的支出。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十三、“三公”经费：</w:t>
      </w:r>
      <w:r>
        <w:rPr>
          <w:rFonts w:hint="eastAsia" w:ascii="仿宋_GB2312" w:hAnsi="Times New Roman" w:eastAsia="仿宋_GB2312" w:cs="仿宋_GB2312"/>
          <w:i w:val="0"/>
          <w:caps w:val="0"/>
          <w:color w:val="000000"/>
          <w:spacing w:val="0"/>
          <w:sz w:val="32"/>
          <w:szCs w:val="32"/>
        </w:rPr>
        <w:t>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十四、运行经费：</w:t>
      </w:r>
      <w:r>
        <w:rPr>
          <w:rFonts w:hint="eastAsia" w:ascii="仿宋_GB2312" w:hAnsi="Times New Roman" w:eastAsia="仿宋_GB2312" w:cs="仿宋_GB2312"/>
          <w:i w:val="0"/>
          <w:caps w:val="0"/>
          <w:color w:val="000000"/>
          <w:spacing w:val="0"/>
          <w:sz w:val="3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十五、支出类常用科目的说明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1．一般公共服务</w:t>
      </w:r>
      <w:r>
        <w:rPr>
          <w:rFonts w:hint="eastAsia" w:ascii="仿宋_GB2312" w:hAnsi="Times New Roman" w:eastAsia="仿宋_GB2312" w:cs="仿宋_GB2312"/>
          <w:i w:val="0"/>
          <w:caps w:val="0"/>
          <w:color w:val="000000"/>
          <w:spacing w:val="0"/>
          <w:sz w:val="32"/>
          <w:szCs w:val="32"/>
        </w:rPr>
        <w:t>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2．国防  </w:t>
      </w:r>
      <w:r>
        <w:rPr>
          <w:rFonts w:hint="eastAsia" w:ascii="仿宋_GB2312" w:hAnsi="Times New Roman" w:eastAsia="仿宋_GB2312" w:cs="仿宋_GB2312"/>
          <w:i w:val="0"/>
          <w:caps w:val="0"/>
          <w:color w:val="000000"/>
          <w:spacing w:val="0"/>
          <w:sz w:val="32"/>
          <w:szCs w:val="32"/>
        </w:rPr>
        <w:t>反映政府用于国防方面的支出。主要包括：现役部队、国防动员等。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3．公共安全</w:t>
      </w:r>
      <w:r>
        <w:rPr>
          <w:rFonts w:hint="eastAsia" w:ascii="仿宋_GB2312" w:hAnsi="Times New Roman" w:eastAsia="仿宋_GB2312" w:cs="仿宋_GB2312"/>
          <w:i w:val="0"/>
          <w:caps w:val="0"/>
          <w:color w:val="000000"/>
          <w:spacing w:val="0"/>
          <w:sz w:val="32"/>
          <w:szCs w:val="32"/>
        </w:rPr>
        <w:t>  反映政府维护社会公共安全方面的支出。主要包括：武装警察部队、公安、国家安全、检察、法院、司法、监狱、强制隔离戒毒、国家保密等。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4．教育</w:t>
      </w:r>
      <w:r>
        <w:rPr>
          <w:rFonts w:hint="eastAsia" w:ascii="仿宋_GB2312" w:hAnsi="Times New Roman" w:eastAsia="仿宋_GB2312" w:cs="仿宋_GB2312"/>
          <w:i w:val="0"/>
          <w:caps w:val="0"/>
          <w:color w:val="000000"/>
          <w:spacing w:val="0"/>
          <w:sz w:val="32"/>
          <w:szCs w:val="32"/>
        </w:rPr>
        <w:t>  反映政府教育支出情况。主要包括：教育管理事务、普通教育、职业教育、成人教育、广播电视教育、留学教育、特殊教育、进修及培训、教育费附加安排的支出等。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5．科学技术</w:t>
      </w:r>
      <w:r>
        <w:rPr>
          <w:rFonts w:hint="eastAsia" w:ascii="仿宋_GB2312" w:hAnsi="Times New Roman" w:eastAsia="仿宋_GB2312" w:cs="仿宋_GB2312"/>
          <w:i w:val="0"/>
          <w:caps w:val="0"/>
          <w:color w:val="000000"/>
          <w:spacing w:val="0"/>
          <w:sz w:val="32"/>
          <w:szCs w:val="32"/>
        </w:rPr>
        <w:t>  反映用于科学技术方面的支出。主要包括：科学技术管理事务、基础研究、应用研究、技术研究与开发、科技条件与服务、社会科学、科学技术普及、科技交流与合作等。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6．文化旅游体育与传媒</w:t>
      </w:r>
      <w:r>
        <w:rPr>
          <w:rFonts w:hint="eastAsia" w:ascii="仿宋_GB2312" w:hAnsi="Times New Roman" w:eastAsia="仿宋_GB2312" w:cs="仿宋_GB2312"/>
          <w:i w:val="0"/>
          <w:caps w:val="0"/>
          <w:color w:val="000000"/>
          <w:spacing w:val="0"/>
          <w:sz w:val="32"/>
          <w:szCs w:val="32"/>
        </w:rPr>
        <w:t>  反映政府在文化、旅游、文物、体育、广播影视、电影、新闻出版等方面的支出。主要包括：文化和旅游、文物、体育、新闻出版电影等。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7．社会保障和就业  </w:t>
      </w:r>
      <w:r>
        <w:rPr>
          <w:rFonts w:hint="eastAsia" w:ascii="仿宋_GB2312" w:hAnsi="Times New Roman" w:eastAsia="仿宋_GB2312" w:cs="仿宋_GB2312"/>
          <w:i w:val="0"/>
          <w:caps w:val="0"/>
          <w:color w:val="000000"/>
          <w:spacing w:val="0"/>
          <w:sz w:val="3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8．卫生健康 </w:t>
      </w:r>
      <w:r>
        <w:rPr>
          <w:rFonts w:hint="eastAsia" w:ascii="仿宋_GB2312" w:hAnsi="Times New Roman" w:eastAsia="仿宋_GB2312" w:cs="仿宋_GB2312"/>
          <w:i w:val="0"/>
          <w:caps w:val="0"/>
          <w:color w:val="000000"/>
          <w:spacing w:val="0"/>
          <w:sz w:val="32"/>
          <w:szCs w:val="32"/>
        </w:rPr>
        <w:t> 反映政府卫生健康方面的支出。主要包括：卫生健康管理事务、公立医院、基层医疗卫生机构、公共卫生、中医药、计划生育事务等。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6"/>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9．节能环保</w:t>
      </w:r>
      <w:r>
        <w:rPr>
          <w:rFonts w:hint="eastAsia" w:ascii="仿宋_GB2312" w:hAnsi="Times New Roman" w:eastAsia="仿宋_GB2312" w:cs="仿宋_GB2312"/>
          <w:i w:val="0"/>
          <w:caps w:val="0"/>
          <w:color w:val="000000"/>
          <w:spacing w:val="0"/>
          <w:sz w:val="32"/>
          <w:szCs w:val="32"/>
        </w:rPr>
        <w:t>  反映政府环境保护支出。主要包括：环境保护管理事务、环境监测与监察、污染防治、自然生态保护、天然林保护、退耕还林、风沙荒漠治理、退牧还草、已垦草原退耕还草等。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6"/>
        <w:jc w:val="both"/>
        <w:textAlignment w:val="auto"/>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rPr>
        <w:t>10．城乡社区  </w:t>
      </w:r>
      <w:r>
        <w:rPr>
          <w:rFonts w:hint="eastAsia" w:ascii="仿宋_GB2312" w:hAnsi="Times New Roman" w:eastAsia="仿宋_GB2312" w:cs="仿宋_GB2312"/>
          <w:i w:val="0"/>
          <w:caps w:val="0"/>
          <w:color w:val="000000"/>
          <w:spacing w:val="0"/>
          <w:sz w:val="3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b/>
          <w:i w:val="0"/>
          <w:caps w:val="0"/>
          <w:color w:val="000000"/>
          <w:spacing w:val="0"/>
          <w:sz w:val="32"/>
          <w:szCs w:val="32"/>
        </w:rPr>
        <w:t>11.</w:t>
      </w:r>
      <w:r>
        <w:rPr>
          <w:rFonts w:hint="eastAsia" w:ascii="黑体" w:hAnsi="宋体" w:eastAsia="黑体" w:cs="黑体"/>
          <w:i w:val="0"/>
          <w:caps w:val="0"/>
          <w:color w:val="000000"/>
          <w:spacing w:val="0"/>
          <w:sz w:val="32"/>
          <w:szCs w:val="32"/>
        </w:rPr>
        <w:t>住房保障</w:t>
      </w:r>
      <w:r>
        <w:rPr>
          <w:rFonts w:hint="eastAsia" w:ascii="仿宋_GB2312" w:hAnsi="Times New Roman" w:eastAsia="仿宋_GB2312" w:cs="仿宋_GB2312"/>
          <w:i w:val="0"/>
          <w:caps w:val="0"/>
          <w:color w:val="000000"/>
          <w:spacing w:val="0"/>
          <w:sz w:val="32"/>
          <w:szCs w:val="32"/>
        </w:rPr>
        <w:t> 反映政府用于住房方面的支出。具体包括保障性安居工程支出、住房改革支出、城乡社区住宅支出</w:t>
      </w:r>
      <w:r>
        <w:rPr>
          <w:rFonts w:hint="eastAsia" w:ascii="仿宋_GB2312" w:hAnsi="Times New Roman" w:cs="仿宋_GB2312"/>
          <w:i w:val="0"/>
          <w:caps w:val="0"/>
          <w:color w:val="000000"/>
          <w:spacing w:val="0"/>
          <w:sz w:val="32"/>
          <w:szCs w:val="32"/>
          <w:lang w:val="en-US" w:eastAsia="zh-CN"/>
        </w:rPr>
        <w:t>等。</w:t>
      </w:r>
      <w:r>
        <w:rPr>
          <w:rFonts w:hint="eastAsia" w:ascii="黑体" w:hAnsi="宋体" w:eastAsia="黑体" w:cs="黑体"/>
          <w:i w:val="0"/>
          <w:caps w:val="0"/>
          <w:color w:val="000000"/>
          <w:spacing w:val="0"/>
          <w:sz w:val="32"/>
          <w:szCs w:val="32"/>
        </w:rPr>
        <w:t> </w:t>
      </w:r>
      <w:r>
        <w:rPr>
          <w:rFonts w:hint="eastAsia" w:ascii="黑体" w:hAnsi="宋体" w:eastAsia="黑体" w:cs="黑体"/>
          <w:i w:val="0"/>
          <w:caps w:val="0"/>
          <w:color w:val="000000"/>
          <w:spacing w:val="0"/>
          <w:sz w:val="32"/>
          <w:szCs w:val="32"/>
          <w:lang w:val="en-US" w:eastAsia="zh-CN"/>
        </w:rPr>
        <w:t xml:space="preserve">   </w:t>
      </w:r>
      <w:r>
        <w:rPr>
          <w:rFonts w:hint="eastAsia" w:ascii="黑体" w:hAnsi="宋体" w:eastAsia="黑体" w:cs="黑体"/>
          <w:i w:val="0"/>
          <w:caps w:val="0"/>
          <w:color w:val="000000"/>
          <w:spacing w:val="0"/>
          <w:sz w:val="32"/>
          <w:szCs w:val="32"/>
        </w:rPr>
        <w:t>第四部分：</w:t>
      </w:r>
      <w:r>
        <w:rPr>
          <w:rFonts w:hint="eastAsia" w:ascii="仿宋" w:hAnsi="仿宋" w:eastAsia="仿宋" w:cs="仿宋"/>
          <w:i w:val="0"/>
          <w:caps w:val="0"/>
          <w:color w:val="000000"/>
          <w:spacing w:val="0"/>
          <w:sz w:val="32"/>
          <w:szCs w:val="32"/>
        </w:rPr>
        <w:t>柳州市柳江区机关后勤服务中心</w:t>
      </w:r>
      <w:r>
        <w:rPr>
          <w:rFonts w:hint="eastAsia" w:ascii="黑体" w:hAnsi="宋体" w:eastAsia="黑体" w:cs="黑体"/>
          <w:i w:val="0"/>
          <w:caps w:val="0"/>
          <w:color w:val="000000"/>
          <w:spacing w:val="0"/>
          <w:sz w:val="32"/>
          <w:szCs w:val="32"/>
        </w:rPr>
        <w:t>（部门）2026年部门预算报表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表1：部门收支总体情况表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表2：部门收入总体情况表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表3：部门支出总体情况表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表4：财政拨款收支总体情况表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表5：一般公共预算支出情况表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表6：一般公共预算基本支出情况表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表7：财政拨款“三公”经费、会议费和培训费支出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160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表8：政府性基金预算支出情况表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表9：国有资本经营预算支出情况表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rPr>
        <w:t>表10：政府采购预算表（详见附表）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p>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66978"/>
    <w:rsid w:val="06E85DB3"/>
    <w:rsid w:val="14600782"/>
    <w:rsid w:val="15DD7808"/>
    <w:rsid w:val="1E7F350C"/>
    <w:rsid w:val="1F851436"/>
    <w:rsid w:val="20FB5DDB"/>
    <w:rsid w:val="21690C6D"/>
    <w:rsid w:val="2E005751"/>
    <w:rsid w:val="2F0E7201"/>
    <w:rsid w:val="2F723222"/>
    <w:rsid w:val="31987F5D"/>
    <w:rsid w:val="36190BE4"/>
    <w:rsid w:val="49713C1E"/>
    <w:rsid w:val="4B7A411E"/>
    <w:rsid w:val="4E3B534E"/>
    <w:rsid w:val="55785C12"/>
    <w:rsid w:val="59E821C9"/>
    <w:rsid w:val="606543BF"/>
    <w:rsid w:val="6A3E1DEA"/>
    <w:rsid w:val="6DAE2E3A"/>
    <w:rsid w:val="72AF1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宋体" w:cs="Times New Roman"/>
      <w:szCs w:val="24"/>
    </w:rPr>
  </w:style>
  <w:style w:type="paragraph" w:styleId="3">
    <w:name w:val="Plain Text"/>
    <w:basedOn w:val="1"/>
    <w:qFormat/>
    <w:uiPriority w:val="0"/>
    <w:rPr>
      <w:rFonts w:ascii="宋体" w:hAnsi="Courier New" w:cs="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9</TotalTime>
  <ScaleCrop>false</ScaleCrop>
  <LinksUpToDate>false</LinksUpToDate>
  <CharactersWithSpaces>7181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区后勤服务中心</cp:lastModifiedBy>
  <dcterms:modified xsi:type="dcterms:W3CDTF">2026-03-25T01:46:15Z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