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2023年柳江区预算绩效管理工作开展情况</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2023年是全面贯彻</w:t>
      </w:r>
      <w:bookmarkStart w:id="0" w:name="_GoBack"/>
      <w:bookmarkEnd w:id="0"/>
      <w:r>
        <w:rPr>
          <w:rFonts w:hint="default" w:ascii="Times New Roman" w:hAnsi="Times New Roman" w:eastAsia="仿宋_GB2312" w:cs="Times New Roman"/>
          <w:sz w:val="32"/>
          <w:szCs w:val="32"/>
          <w:highlight w:val="none"/>
          <w:lang w:val="en-US" w:eastAsia="zh-CN"/>
        </w:rPr>
        <w:t>党的二十大精神的开局之年，是我区基本建成“三全”预算绩效管理体系的关键之年。我局以习近平新时代中国特色社会主义思想为指导，深入贯彻党的二十大精神，认真落实自治区财政厅、区委、区政府的决策部署，紧紧围绕“三全”预算绩效管理体系建设目标，做好2023年工作。现将有关情况说明如下：</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持续完善预算绩效管理制度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根据上级有关文件精神，结合我区工作实际，及时出台系列相关规章制度及操作细则，2023年修订了《柳州市柳江区本级部门预算绩效管理工作考核办法》，进一步完善了预算绩效管理制度体系。</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cs="Times New Roman"/>
          <w:kern w:val="2"/>
          <w:sz w:val="32"/>
          <w:szCs w:val="32"/>
          <w:highlight w:val="none"/>
          <w:lang w:val="en-US" w:eastAsia="zh-CN" w:bidi="ar-SA"/>
        </w:rPr>
      </w:pPr>
      <w:r>
        <w:rPr>
          <w:rFonts w:hint="default" w:ascii="Times New Roman" w:hAnsi="Times New Roman" w:cs="Times New Roman"/>
          <w:lang w:val="en-US" w:eastAsia="zh-CN"/>
        </w:rPr>
        <w:t xml:space="preserve"> </w:t>
      </w:r>
      <w:r>
        <w:rPr>
          <w:rFonts w:hint="default" w:ascii="Times New Roman" w:hAnsi="Times New Roman" w:eastAsia="黑体" w:cs="Times New Roman"/>
          <w:kern w:val="2"/>
          <w:sz w:val="32"/>
          <w:szCs w:val="32"/>
          <w:highlight w:val="none"/>
          <w:lang w:val="en-US" w:eastAsia="zh-CN" w:bidi="ar-SA"/>
        </w:rPr>
        <w:t xml:space="preserve">    二、</w:t>
      </w:r>
      <w:r>
        <w:rPr>
          <w:rFonts w:hint="default" w:ascii="Times New Roman" w:hAnsi="Times New Roman" w:cs="Times New Roman"/>
          <w:kern w:val="2"/>
          <w:sz w:val="32"/>
          <w:szCs w:val="32"/>
          <w:highlight w:val="none"/>
          <w:lang w:val="en-US" w:eastAsia="zh-CN" w:bidi="ar-SA"/>
        </w:rPr>
        <w:t>全面提升预算绩效管理实效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（一）加强绩效目标管理。</w:t>
      </w:r>
      <w:r>
        <w:rPr>
          <w:rFonts w:hint="default" w:ascii="Times New Roman" w:hAnsi="Times New Roman" w:eastAsia="仿宋_GB2312" w:cs="Times New Roman"/>
          <w:sz w:val="32"/>
          <w:szCs w:val="32"/>
          <w:highlight w:val="none"/>
          <w:lang w:val="en-US" w:eastAsia="zh-CN"/>
        </w:rPr>
        <w:t>部门整体及项目支出全部编制绩效目标，绩效目标与预算同步申报、同步审核、同步批复。组织相关部门开展重点预算项目支出绩效目标集中审核工作，</w:t>
      </w:r>
      <w:r>
        <w:rPr>
          <w:rFonts w:hint="default" w:ascii="Times New Roman" w:hAnsi="Times New Roman" w:eastAsia="仿宋_GB2312" w:cs="Times New Roman"/>
          <w:sz w:val="32"/>
          <w:szCs w:val="32"/>
          <w:highlight w:val="none"/>
          <w:lang w:val="en-US" w:eastAsia="zh-CN"/>
        </w:rPr>
        <w:t>将重点预算项目支出绩效目标申报表呈报区人大常委会审核。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（二）推进事前绩效评估。</w:t>
      </w:r>
      <w:r>
        <w:rPr>
          <w:rFonts w:hint="default" w:ascii="Times New Roman" w:hAnsi="Times New Roman" w:eastAsia="仿宋_GB2312" w:cs="Times New Roman"/>
          <w:sz w:val="32"/>
          <w:szCs w:val="32"/>
          <w:highlight w:val="none"/>
          <w:lang w:val="en-US" w:eastAsia="zh-CN"/>
        </w:rPr>
        <w:t>2023年要求各预算部门严格对本级新增重大政策和1000万及以上项目进行事前绩效评估，将评估结果作为申请预算的必备条件，未按照规定评估或评估未通过的不得申请预算。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（三）开展绩效自评及自评抽查工作。</w:t>
      </w:r>
      <w:r>
        <w:rPr>
          <w:rFonts w:hint="default" w:ascii="Times New Roman" w:hAnsi="Times New Roman" w:eastAsia="仿宋_GB2312" w:cs="Times New Roman"/>
          <w:sz w:val="32"/>
          <w:szCs w:val="32"/>
          <w:highlight w:val="none"/>
          <w:lang w:val="en-US" w:eastAsia="zh-CN"/>
        </w:rPr>
        <w:t>坚持“谁管理、谁使用、谁负责”的原则，组织全区所有一级预算部门开展部门整体支出自评和预算项目支出自评工作，覆盖率100%。在部门自评的基础上，选取2023年度2个部门整体支出和5个专项资金开展财政重点绩效评价，并将评价结果与后续资金安排挂钩，力促财政资金使用效益不断提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（四）实行事中重点跟踪监控。</w:t>
      </w:r>
      <w:r>
        <w:rPr>
          <w:rFonts w:hint="default" w:ascii="Times New Roman" w:hAnsi="Times New Roman" w:eastAsia="仿宋_GB2312" w:cs="Times New Roman"/>
          <w:sz w:val="32"/>
          <w:szCs w:val="32"/>
          <w:highlight w:val="none"/>
          <w:lang w:val="en-US" w:eastAsia="zh-CN"/>
        </w:rPr>
        <w:t>组织开展2023年全区各预算部门预算绩效运行监控工作，选取财政重点监控2个项目，涉及金额共计2,710万元，</w:t>
      </w:r>
      <w:r>
        <w:rPr>
          <w:rFonts w:hint="default" w:ascii="Times New Roman" w:hAnsi="Times New Roman" w:eastAsia="仿宋_GB2312" w:cs="Times New Roman"/>
          <w:sz w:val="32"/>
          <w:szCs w:val="32"/>
          <w:highlight w:val="none"/>
          <w:lang w:val="en-US" w:eastAsia="zh-CN"/>
        </w:rPr>
        <w:t>根据监控结果作为后续资金拨付和预算调整的重要参考依据</w:t>
      </w:r>
      <w:r>
        <w:rPr>
          <w:rFonts w:hint="default" w:ascii="Times New Roman" w:hAnsi="Times New Roman" w:eastAsia="仿宋_GB2312" w:cs="Times New Roman"/>
          <w:sz w:val="32"/>
          <w:szCs w:val="32"/>
          <w:highlight w:val="none"/>
          <w:lang w:val="en-US" w:eastAsia="zh-CN"/>
        </w:rPr>
        <w:t>，督促相关部门及时制定整改、处置措施予以纠正。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（五）做好绩效信息公开工作。</w:t>
      </w:r>
      <w:r>
        <w:rPr>
          <w:rFonts w:hint="default" w:ascii="Times New Roman" w:hAnsi="Times New Roman" w:eastAsia="仿宋_GB2312" w:cs="Times New Roman"/>
          <w:sz w:val="32"/>
          <w:szCs w:val="32"/>
          <w:highlight w:val="none"/>
          <w:lang w:val="en-US" w:eastAsia="zh-CN"/>
        </w:rPr>
        <w:t>预算绩效目标信息公开与年初预算</w:t>
      </w:r>
      <w:r>
        <w:rPr>
          <w:rFonts w:hint="default" w:ascii="Times New Roman" w:hAnsi="Times New Roman" w:eastAsia="仿宋_GB2312" w:cs="Times New Roman"/>
          <w:sz w:val="32"/>
          <w:szCs w:val="32"/>
          <w:highlight w:val="none"/>
          <w:lang w:val="en-US" w:eastAsia="zh-CN"/>
        </w:rPr>
        <w:t>批复</w:t>
      </w:r>
      <w:r>
        <w:rPr>
          <w:rFonts w:hint="default" w:ascii="Times New Roman" w:hAnsi="Times New Roman" w:eastAsia="仿宋_GB2312" w:cs="Times New Roman"/>
          <w:sz w:val="32"/>
          <w:szCs w:val="32"/>
          <w:highlight w:val="none"/>
          <w:lang w:val="en-US" w:eastAsia="zh-CN"/>
        </w:rPr>
        <w:t>公开同步布置</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绩效评价结果信息公开与</w:t>
      </w:r>
      <w:r>
        <w:rPr>
          <w:rFonts w:hint="default" w:ascii="Times New Roman" w:hAnsi="Times New Roman" w:eastAsia="仿宋_GB2312" w:cs="Times New Roman"/>
          <w:sz w:val="32"/>
          <w:szCs w:val="32"/>
          <w:highlight w:val="none"/>
          <w:lang w:val="en-US" w:eastAsia="zh-CN"/>
        </w:rPr>
        <w:t>部门</w:t>
      </w:r>
      <w:r>
        <w:rPr>
          <w:rFonts w:hint="default" w:ascii="Times New Roman" w:hAnsi="Times New Roman" w:eastAsia="仿宋_GB2312" w:cs="Times New Roman"/>
          <w:sz w:val="32"/>
          <w:szCs w:val="32"/>
          <w:highlight w:val="none"/>
          <w:lang w:val="en-US" w:eastAsia="zh-CN"/>
        </w:rPr>
        <w:t>决算公开同步开展，并在柳江区门户网公开</w:t>
      </w:r>
      <w:r>
        <w:rPr>
          <w:rFonts w:hint="default" w:ascii="Times New Roman" w:hAnsi="Times New Roman" w:eastAsia="仿宋_GB2312"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（六）加强区直部门预算绩效工作考核。</w:t>
      </w:r>
      <w:r>
        <w:rPr>
          <w:rFonts w:hint="default" w:ascii="Times New Roman" w:hAnsi="Times New Roman" w:eastAsia="仿宋_GB2312" w:cs="Times New Roman"/>
          <w:sz w:val="32"/>
          <w:szCs w:val="32"/>
          <w:highlight w:val="none"/>
          <w:lang w:val="en-US" w:eastAsia="zh-CN"/>
        </w:rPr>
        <w:t>将区直部门预算绩效管理的基础工作管理、绩效目标管理、运行监控 、绩效评价、结果运用等全过程预算绩效管理工作纳入2023年区直部门绩效考核范围，强化预算绩效管理工作的约束力。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z w:val="32"/>
          <w:szCs w:val="32"/>
          <w:highlight w:val="none"/>
          <w:lang w:val="en-US" w:eastAsia="zh-CN"/>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-122555</wp:posOffset>
              </wp:positionV>
              <wp:extent cx="635635" cy="2686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635635" cy="268605"/>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9.65pt;height:21.15pt;width:50.05pt;mso-position-horizontal:outside;mso-position-horizontal-relative:margin;z-index:251658240;mso-width-relative:page;mso-height-relative:page;" filled="f" stroked="f" coordsize="21600,21600" o:gfxdata="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">
              <v:fill on="f" focussize="0,0"/>
              <v:stroke on="f" weight="0.5pt"/>
              <v:imagedata o:title=""/>
              <o:lock v:ext="edit" aspectratio="f"/>
              <v:textbox inset="0mm,0mm,0mm,0mm">
                <w:txbxContent>
                  <w:p>
                    <w:pPr>
                      <w:pStyle w:val="7"/>
                      <w:rPr>
                        <w:rFonts w:hint="eastAsia" w:eastAsiaTheme="minorEastAsia"/>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tentative="0">
      <w:start w:val="1"/>
      <w:numFmt w:val="bullet"/>
      <w:pStyle w:val="6"/>
      <w:lvlText w:val=""/>
      <w:lvlJc w:val="left"/>
      <w:pPr>
        <w:tabs>
          <w:tab w:val="left" w:pos="360"/>
        </w:tabs>
        <w:ind w:left="360" w:hanging="360" w:hangingChars="200"/>
      </w:pPr>
      <w:rPr>
        <w:rFonts w:hint="default" w:ascii="Wingdings" w:hAnsi="Wingdings"/>
      </w:rPr>
    </w:lvl>
  </w:abstractNum>
  <w:abstractNum w:abstractNumId="1">
    <w:nsid w:val="766B45F3"/>
    <w:multiLevelType w:val="singleLevel"/>
    <w:tmpl w:val="766B45F3"/>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399"/>
    <w:rsid w:val="0001065A"/>
    <w:rsid w:val="00066213"/>
    <w:rsid w:val="00070FEC"/>
    <w:rsid w:val="000B2946"/>
    <w:rsid w:val="001324DA"/>
    <w:rsid w:val="00146345"/>
    <w:rsid w:val="001B739A"/>
    <w:rsid w:val="001F370A"/>
    <w:rsid w:val="002147D1"/>
    <w:rsid w:val="00261BE4"/>
    <w:rsid w:val="002E03DA"/>
    <w:rsid w:val="00362F58"/>
    <w:rsid w:val="003C5FF4"/>
    <w:rsid w:val="003E75CD"/>
    <w:rsid w:val="0045053C"/>
    <w:rsid w:val="0046360A"/>
    <w:rsid w:val="00490D8A"/>
    <w:rsid w:val="0049417F"/>
    <w:rsid w:val="004963C1"/>
    <w:rsid w:val="004F0632"/>
    <w:rsid w:val="004F2385"/>
    <w:rsid w:val="00504479"/>
    <w:rsid w:val="00511448"/>
    <w:rsid w:val="00530517"/>
    <w:rsid w:val="00556B6B"/>
    <w:rsid w:val="00590774"/>
    <w:rsid w:val="005B2E71"/>
    <w:rsid w:val="005C38AA"/>
    <w:rsid w:val="005E02FA"/>
    <w:rsid w:val="00625BEB"/>
    <w:rsid w:val="00630F6F"/>
    <w:rsid w:val="006505B6"/>
    <w:rsid w:val="006A51BF"/>
    <w:rsid w:val="006B79CD"/>
    <w:rsid w:val="006C262C"/>
    <w:rsid w:val="006E13A5"/>
    <w:rsid w:val="006E57D6"/>
    <w:rsid w:val="00701FEF"/>
    <w:rsid w:val="00735309"/>
    <w:rsid w:val="00766747"/>
    <w:rsid w:val="007B4EFF"/>
    <w:rsid w:val="007F5B8D"/>
    <w:rsid w:val="0081119D"/>
    <w:rsid w:val="00820455"/>
    <w:rsid w:val="00881D2B"/>
    <w:rsid w:val="008966A2"/>
    <w:rsid w:val="008B7F56"/>
    <w:rsid w:val="008E6ED5"/>
    <w:rsid w:val="008F053B"/>
    <w:rsid w:val="008F49F2"/>
    <w:rsid w:val="00936938"/>
    <w:rsid w:val="00980399"/>
    <w:rsid w:val="009F36E5"/>
    <w:rsid w:val="00A224AF"/>
    <w:rsid w:val="00A4130D"/>
    <w:rsid w:val="00A473F2"/>
    <w:rsid w:val="00A71DD8"/>
    <w:rsid w:val="00A87411"/>
    <w:rsid w:val="00AF4D02"/>
    <w:rsid w:val="00BB12FB"/>
    <w:rsid w:val="00BB3F9A"/>
    <w:rsid w:val="00BE176A"/>
    <w:rsid w:val="00BF7F4C"/>
    <w:rsid w:val="00C26326"/>
    <w:rsid w:val="00C45448"/>
    <w:rsid w:val="00C53AB2"/>
    <w:rsid w:val="00C56D68"/>
    <w:rsid w:val="00CD698F"/>
    <w:rsid w:val="00CF6BB8"/>
    <w:rsid w:val="00D71A6F"/>
    <w:rsid w:val="00DF4BDA"/>
    <w:rsid w:val="00E002E1"/>
    <w:rsid w:val="00E00682"/>
    <w:rsid w:val="00E077F9"/>
    <w:rsid w:val="00E27FDA"/>
    <w:rsid w:val="00EB26CC"/>
    <w:rsid w:val="00EB430C"/>
    <w:rsid w:val="00EC322A"/>
    <w:rsid w:val="00EC3E3F"/>
    <w:rsid w:val="00EE7CDD"/>
    <w:rsid w:val="00F740A6"/>
    <w:rsid w:val="00F97F66"/>
    <w:rsid w:val="00FB0B2B"/>
    <w:rsid w:val="00FB0D11"/>
    <w:rsid w:val="027705FF"/>
    <w:rsid w:val="040E51F1"/>
    <w:rsid w:val="05264C9A"/>
    <w:rsid w:val="056C62D6"/>
    <w:rsid w:val="05834F38"/>
    <w:rsid w:val="05EA6D7D"/>
    <w:rsid w:val="079B59C2"/>
    <w:rsid w:val="07CB01B0"/>
    <w:rsid w:val="0A8571E9"/>
    <w:rsid w:val="0C095380"/>
    <w:rsid w:val="0E2D2043"/>
    <w:rsid w:val="0FD30A9B"/>
    <w:rsid w:val="11D6524A"/>
    <w:rsid w:val="151A21C7"/>
    <w:rsid w:val="15B8498C"/>
    <w:rsid w:val="18B73AFD"/>
    <w:rsid w:val="19FA6416"/>
    <w:rsid w:val="1B442088"/>
    <w:rsid w:val="1C1B409B"/>
    <w:rsid w:val="1DA267E0"/>
    <w:rsid w:val="1EA66822"/>
    <w:rsid w:val="23AD6B34"/>
    <w:rsid w:val="2767485C"/>
    <w:rsid w:val="28FC69F0"/>
    <w:rsid w:val="29F22DEF"/>
    <w:rsid w:val="2B3A3EA4"/>
    <w:rsid w:val="2DCE3319"/>
    <w:rsid w:val="2E207DD7"/>
    <w:rsid w:val="2FFA609B"/>
    <w:rsid w:val="32317FC4"/>
    <w:rsid w:val="32B959CC"/>
    <w:rsid w:val="343372D1"/>
    <w:rsid w:val="35446AE8"/>
    <w:rsid w:val="357450C9"/>
    <w:rsid w:val="3C6C3EDC"/>
    <w:rsid w:val="3DDF6DE2"/>
    <w:rsid w:val="40377E64"/>
    <w:rsid w:val="403B649E"/>
    <w:rsid w:val="41BB660E"/>
    <w:rsid w:val="4352552A"/>
    <w:rsid w:val="46406526"/>
    <w:rsid w:val="46622A9C"/>
    <w:rsid w:val="47232547"/>
    <w:rsid w:val="49D63EBB"/>
    <w:rsid w:val="4E324C14"/>
    <w:rsid w:val="4E4C3C8A"/>
    <w:rsid w:val="4ED42FB1"/>
    <w:rsid w:val="504A4BBE"/>
    <w:rsid w:val="52975C8D"/>
    <w:rsid w:val="53267670"/>
    <w:rsid w:val="53310423"/>
    <w:rsid w:val="58B3158A"/>
    <w:rsid w:val="592B2B76"/>
    <w:rsid w:val="5A1E7F32"/>
    <w:rsid w:val="5B771B33"/>
    <w:rsid w:val="5F6A4439"/>
    <w:rsid w:val="60855D2B"/>
    <w:rsid w:val="60CB7543"/>
    <w:rsid w:val="6152583E"/>
    <w:rsid w:val="62B02D24"/>
    <w:rsid w:val="640E37C8"/>
    <w:rsid w:val="67CB23F1"/>
    <w:rsid w:val="6D2F745F"/>
    <w:rsid w:val="70F3542C"/>
    <w:rsid w:val="773C5C46"/>
    <w:rsid w:val="7A795886"/>
    <w:rsid w:val="7C481CC6"/>
    <w:rsid w:val="7D302DF5"/>
    <w:rsid w:val="7EE049FA"/>
    <w:rsid w:val="7F6B5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1"/>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caption"/>
    <w:next w:val="1"/>
    <w:qFormat/>
    <w:uiPriority w:val="0"/>
    <w:pPr>
      <w:widowControl w:val="0"/>
      <w:spacing w:line="560" w:lineRule="exact"/>
      <w:ind w:firstLine="420" w:firstLineChars="200"/>
      <w:jc w:val="both"/>
    </w:pPr>
    <w:rPr>
      <w:rFonts w:ascii="Arial" w:hAnsi="Arial" w:eastAsia="黑体" w:cs="Times New Roman"/>
      <w:kern w:val="2"/>
      <w:sz w:val="20"/>
      <w:szCs w:val="24"/>
      <w:lang w:val="en-US" w:eastAsia="zh-CN" w:bidi="ar-SA"/>
    </w:rPr>
  </w:style>
  <w:style w:type="paragraph" w:styleId="4">
    <w:name w:val="Body Text First Indent"/>
    <w:basedOn w:val="5"/>
    <w:link w:val="13"/>
    <w:unhideWhenUsed/>
    <w:qFormat/>
    <w:uiPriority w:val="99"/>
    <w:pPr>
      <w:ind w:firstLine="420" w:firstLineChars="100"/>
    </w:pPr>
  </w:style>
  <w:style w:type="paragraph" w:styleId="5">
    <w:name w:val="Body Text"/>
    <w:basedOn w:val="1"/>
    <w:link w:val="12"/>
    <w:unhideWhenUsed/>
    <w:qFormat/>
    <w:uiPriority w:val="99"/>
    <w:pPr>
      <w:spacing w:after="120"/>
    </w:pPr>
  </w:style>
  <w:style w:type="paragraph" w:styleId="6">
    <w:name w:val="List Bullet"/>
    <w:basedOn w:val="1"/>
    <w:unhideWhenUsed/>
    <w:qFormat/>
    <w:uiPriority w:val="99"/>
    <w:pPr>
      <w:numPr>
        <w:ilvl w:val="0"/>
        <w:numId w:val="1"/>
      </w:numPr>
      <w:contextualSpacing/>
    </w:p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1">
    <w:name w:val="标题 1 Char"/>
    <w:basedOn w:val="9"/>
    <w:link w:val="3"/>
    <w:qFormat/>
    <w:uiPriority w:val="9"/>
    <w:rPr>
      <w:b/>
      <w:bCs/>
      <w:kern w:val="44"/>
      <w:sz w:val="44"/>
      <w:szCs w:val="44"/>
    </w:rPr>
  </w:style>
  <w:style w:type="character" w:customStyle="1" w:styleId="12">
    <w:name w:val="正文文本 Char"/>
    <w:basedOn w:val="9"/>
    <w:link w:val="5"/>
    <w:qFormat/>
    <w:uiPriority w:val="99"/>
  </w:style>
  <w:style w:type="character" w:customStyle="1" w:styleId="13">
    <w:name w:val="正文首行缩进 Char"/>
    <w:basedOn w:val="12"/>
    <w:link w:val="4"/>
    <w:qFormat/>
    <w:uiPriority w:val="99"/>
  </w:style>
  <w:style w:type="character" w:customStyle="1" w:styleId="14">
    <w:name w:val="页眉 Char"/>
    <w:basedOn w:val="9"/>
    <w:link w:val="8"/>
    <w:qFormat/>
    <w:uiPriority w:val="99"/>
    <w:rPr>
      <w:kern w:val="2"/>
      <w:sz w:val="18"/>
      <w:szCs w:val="18"/>
    </w:rPr>
  </w:style>
  <w:style w:type="character" w:customStyle="1" w:styleId="15">
    <w:name w:val="页脚 Char"/>
    <w:basedOn w:val="9"/>
    <w:link w:val="7"/>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494</Words>
  <Characters>2818</Characters>
  <Lines>23</Lines>
  <Paragraphs>6</Paragraphs>
  <TotalTime>8</TotalTime>
  <ScaleCrop>false</ScaleCrop>
  <LinksUpToDate>false</LinksUpToDate>
  <CharactersWithSpaces>3306</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2022-10-26T00:30:00Z</dcterms:created>
  <dc:creator>admin</dc:creator>
  <cp:lastModifiedBy>Administrator</cp:lastModifiedBy>
  <cp:lastPrinted>2024-02-21T09:06:00Z</cp:lastPrinted>
  <dcterms:modified xsi:type="dcterms:W3CDTF">2024-08-14T02:09:42Z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