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ind w:firstLine="0"/>
        <w:jc w:val="left"/>
        <w:rPr>
          <w:rFonts w:hint="eastAsia" w:ascii="黑体" w:hAnsi="黑体" w:eastAsia="黑体"/>
          <w:sz w:val="32"/>
          <w:szCs w:val="32"/>
          <w:lang w:val="en-US" w:eastAsia="zh-CN"/>
        </w:rPr>
      </w:pPr>
      <w:r>
        <w:rPr>
          <w:rFonts w:hint="eastAsia" w:ascii="黑体" w:hAnsi="黑体" w:eastAsia="黑体"/>
          <w:sz w:val="32"/>
          <w:szCs w:val="32"/>
          <w:lang w:eastAsia="zh-CN"/>
        </w:rPr>
        <w:t>柳江财政〔2025〕13号</w:t>
      </w:r>
      <w:bookmarkStart w:id="1" w:name="_GoBack"/>
      <w:bookmarkEnd w:id="1"/>
      <w:r>
        <w:rPr>
          <w:rFonts w:hint="eastAsia" w:ascii="黑体" w:hAnsi="黑体" w:eastAsia="黑体"/>
          <w:sz w:val="32"/>
          <w:szCs w:val="32"/>
          <w:lang w:eastAsia="zh-CN"/>
        </w:rPr>
        <w:t>附件</w:t>
      </w:r>
      <w:r>
        <w:rPr>
          <w:rFonts w:hint="eastAsia" w:ascii="黑体" w:hAnsi="黑体" w:eastAsia="黑体"/>
          <w:sz w:val="32"/>
          <w:szCs w:val="32"/>
          <w:lang w:val="en-US" w:eastAsia="zh-CN"/>
        </w:rPr>
        <w:t>1—3</w:t>
      </w:r>
    </w:p>
    <w:p>
      <w:pPr>
        <w:adjustRightInd w:val="0"/>
        <w:snapToGrid w:val="0"/>
        <w:spacing w:line="400" w:lineRule="exact"/>
        <w:ind w:firstLine="0"/>
        <w:jc w:val="left"/>
        <w:rPr>
          <w:rFonts w:hint="eastAsia" w:ascii="黑体" w:hAnsi="黑体" w:eastAsia="黑体"/>
          <w:sz w:val="32"/>
          <w:szCs w:val="32"/>
          <w:lang w:val="en-US" w:eastAsia="zh-CN"/>
        </w:rPr>
      </w:pPr>
    </w:p>
    <w:p>
      <w:pPr>
        <w:adjustRightInd w:val="0"/>
        <w:snapToGrid w:val="0"/>
        <w:spacing w:line="6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default" w:ascii="方正小标宋简体" w:hAnsi="方正小标宋简体" w:eastAsia="方正小标宋简体" w:cs="方正小标宋简体"/>
          <w:bCs/>
          <w:sz w:val="36"/>
          <w:szCs w:val="36"/>
          <w:lang w:val="en"/>
        </w:rPr>
        <w:t>4</w:t>
      </w:r>
      <w:r>
        <w:rPr>
          <w:rFonts w:hint="eastAsia" w:ascii="方正小标宋简体" w:hAnsi="方正小标宋简体" w:eastAsia="方正小标宋简体" w:cs="方正小标宋简体"/>
          <w:bCs/>
          <w:sz w:val="36"/>
          <w:szCs w:val="36"/>
        </w:rPr>
        <w:t>年度国有企业财务会计决算报表编制说明</w:t>
      </w:r>
    </w:p>
    <w:p>
      <w:pPr>
        <w:pStyle w:val="6"/>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w:t>
      </w:r>
      <w:r>
        <w:rPr>
          <w:rFonts w:hint="eastAsia" w:ascii="仿宋_GB2312" w:hAnsi="仿宋" w:eastAsia="仿宋_GB2312"/>
          <w:sz w:val="24"/>
          <w:szCs w:val="24"/>
          <w:lang w:eastAsia="zh-CN"/>
        </w:rPr>
        <w:t>和实际情况</w:t>
      </w:r>
      <w:r>
        <w:rPr>
          <w:rFonts w:hint="eastAsia" w:ascii="仿宋_GB2312" w:hAnsi="仿宋" w:eastAsia="仿宋_GB2312"/>
          <w:sz w:val="24"/>
          <w:szCs w:val="24"/>
        </w:rPr>
        <w:t>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－20</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w:t>
      </w:r>
      <w:r>
        <w:rPr>
          <w:rFonts w:hint="eastAsia" w:ascii="仿宋_GB2312" w:hAnsi="仿宋" w:eastAsia="仿宋_GB2312"/>
          <w:sz w:val="24"/>
          <w:szCs w:val="24"/>
        </w:rPr>
        <w:t>〔</w:t>
      </w:r>
      <w:r>
        <w:rPr>
          <w:rFonts w:hint="eastAsia" w:ascii="仿宋_GB2312" w:hAnsi="宋体" w:eastAsia="仿宋_GB2312"/>
          <w:bCs/>
          <w:sz w:val="24"/>
          <w:szCs w:val="24"/>
        </w:rPr>
        <w:t>2011</w:t>
      </w:r>
      <w:r>
        <w:rPr>
          <w:rFonts w:hint="eastAsia" w:ascii="仿宋_GB2312" w:hAnsi="仿宋" w:eastAsia="仿宋_GB2312"/>
          <w:sz w:val="24"/>
          <w:szCs w:val="24"/>
        </w:rPr>
        <w:t>〕</w:t>
      </w:r>
      <w:r>
        <w:rPr>
          <w:rFonts w:hint="eastAsia" w:ascii="仿宋_GB2312" w:hAnsi="宋体" w:eastAsia="仿宋_GB2312"/>
          <w:bCs/>
          <w:sz w:val="24"/>
          <w:szCs w:val="24"/>
        </w:rPr>
        <w:t>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9</w:t>
      </w:r>
      <w:r>
        <w:rPr>
          <w:rFonts w:hint="eastAsia" w:ascii="仿宋_GB2312" w:hAnsi="仿宋" w:eastAsia="仿宋_GB2312"/>
          <w:sz w:val="24"/>
          <w:szCs w:val="24"/>
        </w:rPr>
        <w:t>.设立年份:指企业（单位）工商注册登记或批准成立的具体年份。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10</w:t>
      </w:r>
      <w:r>
        <w:rPr>
          <w:rFonts w:hint="eastAsia" w:ascii="仿宋_GB2312" w:hAnsi="仿宋" w:eastAsia="仿宋_GB2312"/>
          <w:sz w:val="24"/>
          <w:szCs w:val="24"/>
        </w:rPr>
        <w:t>.上年企业代码:由本企业上一年度填报本套报表时，录入的“组织机构代码——本企业代码”和上年“报表类型码”共19位码组成。如为新报单位，此代码不填。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11</w:t>
      </w:r>
      <w:r>
        <w:rPr>
          <w:rFonts w:hint="eastAsia" w:ascii="仿宋_GB2312" w:hAnsi="仿宋" w:eastAsia="仿宋_GB2312"/>
          <w:sz w:val="24"/>
          <w:szCs w:val="24"/>
        </w:rPr>
        <w:t>.上报因素:反映企业连续上报情况，或以前年度未填报企业财务决算报表、从本年度起纳入企业财务决算报表填报范围的新报原因。具体标识含义如下: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12</w:t>
      </w:r>
      <w:r>
        <w:rPr>
          <w:rFonts w:hint="eastAsia" w:ascii="仿宋_GB2312" w:hAnsi="仿宋" w:eastAsia="仿宋_GB2312"/>
          <w:sz w:val="24"/>
          <w:szCs w:val="24"/>
        </w:rPr>
        <w:t>.报表类型码:指企业根据实际情况选择的报表类型码，具体包括: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13</w:t>
      </w:r>
      <w:r>
        <w:rPr>
          <w:rFonts w:hint="eastAsia" w:ascii="仿宋_GB2312" w:hAnsi="仿宋" w:eastAsia="仿宋_GB2312"/>
          <w:sz w:val="24"/>
          <w:szCs w:val="24"/>
        </w:rPr>
        <w:t>.执行会计准则情况代码：根据企业目前所执行的企业会计准则、《企业会计制度》等会计核算制度的实际情况填列。具体代码为: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14</w:t>
      </w:r>
      <w:r>
        <w:rPr>
          <w:rFonts w:hint="eastAsia" w:ascii="仿宋_GB2312" w:hAnsi="仿宋" w:eastAsia="仿宋_GB2312"/>
          <w:sz w:val="24"/>
          <w:szCs w:val="24"/>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15</w:t>
      </w:r>
      <w:r>
        <w:rPr>
          <w:rFonts w:hint="eastAsia" w:ascii="仿宋_GB2312" w:hAnsi="仿宋" w:eastAsia="仿宋_GB2312"/>
          <w:sz w:val="24"/>
          <w:szCs w:val="24"/>
        </w:rPr>
        <w:t>.是否纳入国有资本经营预算:直接向财政部门上交利润或分红的企业选择“</w:t>
      </w:r>
      <w:r>
        <w:rPr>
          <w:rFonts w:hint="eastAsia" w:ascii="仿宋_GB2312" w:hAnsi="仿宋" w:eastAsia="仿宋_GB2312"/>
          <w:sz w:val="24"/>
          <w:szCs w:val="24"/>
          <w:lang w:val="en-US" w:eastAsia="zh-CN"/>
        </w:rPr>
        <w:t>1</w:t>
      </w:r>
      <w:r>
        <w:rPr>
          <w:rFonts w:hint="eastAsia" w:ascii="仿宋_GB2312" w:hAnsi="仿宋" w:eastAsia="仿宋_GB2312"/>
          <w:sz w:val="24"/>
          <w:szCs w:val="24"/>
        </w:rPr>
        <w:t>国资收益交纳主体本级”，一般为一级企业或企业集团；国资收益交纳主体的下属企业选择“</w:t>
      </w:r>
      <w:r>
        <w:rPr>
          <w:rFonts w:hint="eastAsia" w:ascii="仿宋_GB2312" w:hAnsi="仿宋" w:eastAsia="仿宋_GB2312"/>
          <w:sz w:val="24"/>
          <w:szCs w:val="24"/>
          <w:lang w:val="en-US" w:eastAsia="zh-CN"/>
        </w:rPr>
        <w:t>2</w:t>
      </w:r>
      <w:r>
        <w:rPr>
          <w:rFonts w:hint="eastAsia" w:ascii="仿宋_GB2312" w:hAnsi="仿宋" w:eastAsia="仿宋_GB2312"/>
          <w:sz w:val="24"/>
          <w:szCs w:val="24"/>
        </w:rPr>
        <w:t>纳入国资收益交纳主体合并范围”， 其他单位选“</w:t>
      </w:r>
      <w:r>
        <w:rPr>
          <w:rFonts w:hint="eastAsia" w:ascii="仿宋_GB2312" w:hAnsi="仿宋" w:eastAsia="仿宋_GB2312"/>
          <w:sz w:val="24"/>
          <w:szCs w:val="24"/>
          <w:lang w:val="en-US" w:eastAsia="zh-CN"/>
        </w:rPr>
        <w:t>3</w:t>
      </w:r>
      <w:r>
        <w:rPr>
          <w:rFonts w:hint="eastAsia" w:ascii="仿宋_GB2312" w:hAnsi="仿宋" w:eastAsia="仿宋_GB2312"/>
          <w:sz w:val="24"/>
          <w:szCs w:val="24"/>
        </w:rPr>
        <w:t>未纳入国资预算范围”。</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16</w:t>
      </w:r>
      <w:r>
        <w:rPr>
          <w:rFonts w:hint="eastAsia" w:ascii="仿宋_GB2312" w:hAnsi="仿宋" w:eastAsia="仿宋_GB2312"/>
          <w:sz w:val="24"/>
          <w:szCs w:val="24"/>
        </w:rPr>
        <w:t>.上交国有资本收益类别:纳入国有资本经营预算实施范围的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17</w:t>
      </w:r>
      <w:r>
        <w:rPr>
          <w:rFonts w:hint="eastAsia" w:ascii="仿宋_GB2312" w:hAnsi="仿宋" w:eastAsia="仿宋_GB2312"/>
          <w:sz w:val="24"/>
          <w:szCs w:val="24"/>
        </w:rPr>
        <w:t>.混合所有制企业：指本企业资本构成含有非公成分。非公成分包括除公司职工之外的自然人、民营企业、外资企业、投资基金等。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18</w:t>
      </w:r>
      <w:r>
        <w:rPr>
          <w:rFonts w:hint="eastAsia" w:ascii="仿宋_GB2312" w:hAnsi="仿宋" w:eastAsia="仿宋_GB2312"/>
          <w:sz w:val="24"/>
          <w:szCs w:val="24"/>
        </w:rPr>
        <w:t>.员工持股企业：指存在本企业职工持有本企业股权情况的企业。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19</w:t>
      </w:r>
      <w:r>
        <w:rPr>
          <w:rFonts w:hint="eastAsia" w:ascii="仿宋_GB2312" w:hAnsi="仿宋" w:eastAsia="仿宋_GB2312"/>
          <w:sz w:val="24"/>
          <w:szCs w:val="24"/>
        </w:rPr>
        <w:t>.文化企业: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20</w:t>
      </w:r>
      <w:r>
        <w:rPr>
          <w:rFonts w:hint="eastAsia" w:ascii="仿宋_GB2312" w:hAnsi="仿宋" w:eastAsia="仿宋_GB2312"/>
          <w:sz w:val="24"/>
          <w:szCs w:val="24"/>
        </w:rPr>
        <w:t>.备用码:根据实际需要可自行规定填报内容。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75.其他权益工具:反映企业发行的除普通股以外分类为权益工具的金融工具的账面价值。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6"/>
        <w:tblW w:w="8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7"/>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6"/>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w:t>
      </w:r>
      <w:r>
        <w:rPr>
          <w:rFonts w:hint="eastAsia" w:ascii="仿宋_GB2312" w:hAnsi="仿宋" w:eastAsia="仿宋_GB2312"/>
          <w:bCs/>
          <w:sz w:val="24"/>
          <w:szCs w:val="24"/>
          <w:lang w:eastAsia="zh-CN"/>
        </w:rPr>
        <w:t>企业</w:t>
      </w:r>
      <w:r>
        <w:rPr>
          <w:rFonts w:hint="eastAsia" w:ascii="仿宋_GB2312" w:hAnsi="仿宋" w:eastAsia="仿宋_GB2312"/>
          <w:bCs/>
          <w:sz w:val="24"/>
          <w:szCs w:val="24"/>
        </w:rPr>
        <w:t>按照《企业会计准则第22号——金融工具确认和计量》相关规定对分类为以摊余成本计量的金融资产和分类为以公允价值计量且其变动计入其他综合收益的金融资产按照实际利率法计算的利息收入。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.△汇兑收益:反映外币交易因汇率变动而产生的损益以及外汇衍生金融工具产生的损益。如为</w:t>
      </w:r>
      <w:r>
        <w:rPr>
          <w:rFonts w:hint="eastAsia" w:ascii="仿宋_GB2312" w:hAnsi="仿宋" w:eastAsia="仿宋_GB2312"/>
          <w:bCs/>
          <w:sz w:val="24"/>
          <w:szCs w:val="24"/>
          <w:lang w:eastAsia="zh-CN"/>
        </w:rPr>
        <w:t>净</w:t>
      </w:r>
      <w:r>
        <w:rPr>
          <w:rFonts w:hint="eastAsia" w:ascii="仿宋_GB2312" w:hAnsi="仿宋" w:eastAsia="仿宋_GB2312"/>
          <w:bCs/>
          <w:sz w:val="24"/>
          <w:szCs w:val="24"/>
        </w:rPr>
        <w:t>损失，以“-”号填列。仅由金融企业填列。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6"/>
        <w:tblW w:w="7684" w:type="dxa"/>
        <w:jc w:val="center"/>
        <w:tblInd w:w="0" w:type="dxa"/>
        <w:tblLayout w:type="fixed"/>
        <w:tblCellMar>
          <w:top w:w="0" w:type="dxa"/>
          <w:left w:w="108" w:type="dxa"/>
          <w:bottom w:w="0" w:type="dxa"/>
          <w:right w:w="108" w:type="dxa"/>
        </w:tblCellMar>
      </w:tblPr>
      <w:tblGrid>
        <w:gridCol w:w="806"/>
        <w:gridCol w:w="3476"/>
        <w:gridCol w:w="3402"/>
      </w:tblGrid>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Layout w:type="fixed"/>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Layout w:type="fixed"/>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15.收到的税费返还:反映企业收到返还的增值税、消费税、所得税等各种税费。本项目可根据“库存现金”“银行存款”“税金及附加”“营业外收入”“其他应收款”等科目的记录分析填列。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医疗、失业、工伤等社会保险费、补充养老保险费、补充医疗保险费、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7"/>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6"/>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6"/>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6"/>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6"/>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6"/>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③弥补亏损:反映企业以实收资本、资本公积</w:t>
      </w:r>
      <w:r>
        <w:rPr>
          <w:rFonts w:hint="eastAsia" w:ascii="仿宋_GB2312" w:hAnsi="仿宋" w:eastAsia="仿宋_GB2312"/>
          <w:bCs/>
          <w:sz w:val="24"/>
          <w:szCs w:val="24"/>
          <w:lang w:eastAsia="zh-CN"/>
        </w:rPr>
        <w:t>和</w:t>
      </w:r>
      <w:r>
        <w:rPr>
          <w:rFonts w:hint="eastAsia" w:ascii="仿宋_GB2312" w:hAnsi="仿宋" w:eastAsia="仿宋_GB2312"/>
          <w:bCs/>
          <w:sz w:val="24"/>
          <w:szCs w:val="24"/>
        </w:rPr>
        <w:t>盈余公积弥补亏损的金额。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行“期初余额”栏；5行第2栏=财企01表13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行“期初余额”栏；5行第3栏=财企01表13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行“期初余额”栏；5行第（2+3+4）栏=财企01表1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行“期初余额”栏；5行第5栏=财企01表13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行“期初余额”栏；5行第6栏=财企01表13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行“期初余额”栏；5行第7栏=财企01表1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行“期初余额”栏；5行第8栏=财企01表1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行“期初余额”栏；5行第9栏=财企01表1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行“期初余额”栏；5行第10栏=财企01表14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行“期初余额”栏；5行第11栏=财企01表1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行“期初余额”栏；5行第12栏=财企01表1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行“期初余额”栏；5行第13栏=财企01表1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行“期初余额”栏；5行第14栏=财企01表1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6"/>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rPr>
        <w:t>财企0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行+31行7栏=财企01表140行（"期末余额"栏-"期初余额"栏）（合理性）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股东撤资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行-137行）]期初余额</w:t>
      </w:r>
      <w:r>
        <w:rPr>
          <w:rFonts w:hint="eastAsia" w:ascii="仿宋_GB2312" w:hAnsi="宋体" w:eastAsia="仿宋_GB2312"/>
          <w:bCs/>
          <w:sz w:val="24"/>
          <w:szCs w:val="24"/>
        </w:rPr>
        <w:t>（合理性）；29行</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w:t>
      </w:r>
      <w:r>
        <w:rPr>
          <w:rFonts w:hint="eastAsia" w:ascii="仿宋_GB2312" w:hAnsi="宋体" w:eastAsia="仿宋_GB2312"/>
          <w:bCs/>
          <w:sz w:val="24"/>
          <w:szCs w:val="24"/>
        </w:rPr>
        <w:t>期末余额（合理性）。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1"/>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6"/>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融工具确认和计量》等准则，以预期信用损失为基础，对分类为以摊余成本计量的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和以公允价值计量且其变动计入其他综合收益的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进行会计处理并确认</w:t>
      </w:r>
      <w:r>
        <w:rPr>
          <w:rFonts w:hint="eastAsia" w:ascii="仿宋_GB2312" w:hAnsi="仿宋" w:eastAsia="仿宋_GB2312"/>
          <w:bCs/>
          <w:sz w:val="24"/>
          <w:szCs w:val="24"/>
          <w:lang w:eastAsia="zh-CN"/>
        </w:rPr>
        <w:t>的</w:t>
      </w:r>
      <w:r>
        <w:rPr>
          <w:rFonts w:hint="eastAsia" w:ascii="仿宋_GB2312" w:hAnsi="仿宋" w:eastAsia="仿宋_GB2312"/>
          <w:bCs/>
          <w:sz w:val="24"/>
          <w:szCs w:val="24"/>
        </w:rPr>
        <w:t>损失准备。当期应冲减的金额在“本期计提额”中以负数形式反映。</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1"/>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3.1行1栏≥2行1栏；1行11栏≥2行11栏；1、3、4、6、7、8、9、10、11栏≥0。</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行“期末余额”栏(合理性）；21行10栏≥财企05表12行(合理性）；若财企05表12行不为0，则21行6栏不为0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21行（6栏-2栏）=财企02表（3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第33行反映企业实际向境外（含港澳台地区）缴纳的税费金额。</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5.应交数/应补数:反映企业应交的增值税、消费税、资源税、城建税、烟叶税、关税、企业所得税、教育费附加、石油特别收益金及其他税费。该栏小于0时按负数填列。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6.已交数/已补数:反映企业实际上交的增值税、消费税、资源税、城建税、烟叶税、关税、企业所得税、教育费附加、石油特别收益金及其他税费。该栏小于0时按负数填列。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实际支付补充养老保险（含年金）总额:反映企业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实际支付补充医疗保险总额:反映企业按照《财政部关于企业为职工购买保险有关财务处理问题的通知》（财企〔2003〕61号）、《企业财务通则》（财政部令第41号）的有关规定实际支付的补充医疗保险金额，只反映由企业承担的部分。</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6"/>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10.实际缴纳境外税费总额:反映企业在境外（含港澳台地区）实际缴纳的税费总额。</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6"/>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本表主要反映企业本年高质量发展、产值、投资收益、固定资产投资、固定资产折旧、环境保护及生态恢复支出、捐赠、工业总产值、劳动总产值等情况。</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6"/>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6.工业总产值:按报告期内企业实际生产的按销售价格计算的工业产品总量。仅由工业企业填列。</w:t>
      </w:r>
    </w:p>
    <w:p>
      <w:pPr>
        <w:pStyle w:val="6"/>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指各种生产活动所创造的新增价值，按照收入法即由劳动者报酬、生产税、固定资产折旧和营业盈余四个部分组成。各部分与会计指标的基本对应关系如下:</w:t>
      </w:r>
    </w:p>
    <w:p>
      <w:pPr>
        <w:pStyle w:val="6"/>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6"/>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生产税:主要包括本年应交的增值税、税金及附加等，参照“应交税费总额”减“应交企业所得税”口径。</w:t>
      </w:r>
    </w:p>
    <w:p>
      <w:pPr>
        <w:pStyle w:val="6"/>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6"/>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3行≥4行；3行≥7行；4行≥8行；5行≥6行；7行≥8行；11行=（12+13+14）行；15行=（16+19+22）行；16行≥（17+18）行；19行≥（20+21）行；23行≥24行；25行≥（26+27+28+29+30+31+32）行；33行=（34+35+36）行；38行≥（39+40+41）行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42行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43+47</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行；43行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44行；44行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45+46</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行；48</w:t>
      </w:r>
      <w:r>
        <w:rPr>
          <w:rFonts w:hint="eastAsia" w:ascii="仿宋_GB2312" w:hAnsi="仿宋" w:eastAsia="仿宋_GB2312"/>
          <w:bCs/>
          <w:color w:val="000000"/>
          <w:sz w:val="24"/>
          <w:szCs w:val="24"/>
          <w:highlight w:val="none"/>
        </w:rPr>
        <w:t>行≥0（合理性）</w:t>
      </w:r>
      <w:r>
        <w:rPr>
          <w:rFonts w:hint="eastAsia" w:ascii="仿宋_GB2312" w:hAnsi="仿宋" w:eastAsia="仿宋_GB2312"/>
          <w:bCs/>
          <w:sz w:val="24"/>
          <w:szCs w:val="24"/>
        </w:rPr>
        <w:t>。若封面“报表类型码”为0或2或3或4或5，且封面“执行新准则”中是否执行新金融工具准则为2,则27行=0、28行=0、29行=0、30行=0、31行=0</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49行=（50+51+52+53）行；52</w:t>
      </w:r>
      <w:r>
        <w:rPr>
          <w:rFonts w:hint="eastAsia" w:ascii="仿宋_GB2312" w:hAnsi="仿宋" w:eastAsia="仿宋_GB2312"/>
          <w:bCs/>
          <w:sz w:val="24"/>
          <w:szCs w:val="24"/>
        </w:rPr>
        <w:t>行=37行。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9行“本年数”栏=财企04表14行第14栏（合理性）；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10行“本年数”栏=0-财企04表15行第14栏（合理性）；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rPr>
        <w:t>25行=财企02表</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行=财企09表29行</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行“本年数”栏=财企07表(</w:t>
      </w:r>
      <w:r>
        <w:rPr>
          <w:rFonts w:hint="eastAsia" w:ascii="仿宋_GB2312" w:hAnsi="宋体" w:eastAsia="仿宋_GB2312"/>
          <w:bCs/>
          <w:color w:val="000000"/>
          <w:sz w:val="24"/>
          <w:szCs w:val="24"/>
        </w:rPr>
        <w:t>1行应交数-10行应交数</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行=财企02表（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r>
        <w:rPr>
          <w:rFonts w:hint="eastAsia"/>
        </w:rPr>
        <w:t xml:space="preserve"> </w:t>
      </w:r>
      <w:r>
        <w:rPr>
          <w:rFonts w:hint="eastAsia" w:ascii="仿宋_GB2312" w:hAnsi="仿宋" w:eastAsia="仿宋_GB2312"/>
          <w:bCs/>
          <w:sz w:val="24"/>
          <w:szCs w:val="24"/>
        </w:rPr>
        <w:t>。</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及福利性补助:反映企业本年度实际发放的离退休人员养老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及各项补助，不包括离退休人员通过社会保险经办机构领取的基本养老金以及企业支付给离退休人员的医药费。</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上一任期绩效年薪本年延期兑现部分、当年兑现的中长期激励收益等。基本年薪是指企业负责人年度基本收入，绩效年薪是指与企业负责人经营业绩考核结果相联系的收入，本年兑现的中长期激励收益是指根据经薪酬审核部门批准的股权激励计划，负责人行权或兑现取得的收益，以及任期激励收入。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6"/>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6"/>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应交数/应补数”栏＞0，则12行＞0（合理性）；若财企07表25行＞0，则13行＞0（合理性）；若财企07表17行“应交数/应补数”栏＞0，则14行＞0（合理性）；若财企07表26行＞0，则15行＞0（合理性）；若财企07表18行“应交数/应补数”栏＞0，则16行＞0（合理性）；若财企07表19行“应交数/应补数”栏＞0，则17行＞0（合理性）；若12行＞0，则财企07表16行“应交数/应补数”栏＞0（合理性）；若13行＞0，则财企07表25行＞0（合理性）；若14行＞0，则财企07表17行“应交数/应补数”栏＞0（合理性）；若15行＞0，则财企07表26行＞0（合理性）；若16行＞0，则财企07表18行“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行“应交数/应补数”栏＞0（合理性）。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本表主要反映企业（包括金融企业）各项带息负债本金情况。补充资料反映企业的带息负债成本情况、计入权益的融资情况以及债券发行情况。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6"/>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6"/>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6"/>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6"/>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6"/>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ind w:firstLine="480"/>
        <w:jc w:val="left"/>
        <w:rPr>
          <w:rFonts w:hint="eastAsia" w:ascii="仿宋_GB2312" w:hAnsi="宋体" w:eastAsia="仿宋_GB2312"/>
          <w:bCs/>
          <w:sz w:val="24"/>
          <w:highlight w:val="none"/>
        </w:rPr>
      </w:pPr>
      <w:r>
        <w:rPr>
          <w:rFonts w:hint="eastAsia" w:ascii="仿宋_GB2312" w:hAnsi="宋体" w:eastAsia="仿宋_GB2312"/>
          <w:bCs/>
          <w:sz w:val="24"/>
          <w:highlight w:val="none"/>
        </w:rPr>
        <w:t>12.</w:t>
      </w:r>
      <w:r>
        <w:rPr>
          <w:rFonts w:hint="eastAsia" w:ascii="仿宋_GB2312" w:hAnsi="宋体" w:eastAsia="仿宋_GB2312"/>
          <w:bCs/>
          <w:sz w:val="24"/>
          <w:highlight w:val="none"/>
          <w:lang w:eastAsia="zh-CN"/>
        </w:rPr>
        <w:t>债券本金余额：</w:t>
      </w:r>
      <w:r>
        <w:rPr>
          <w:rFonts w:hint="eastAsia" w:ascii="仿宋_GB2312" w:hAnsi="宋体" w:eastAsia="仿宋_GB2312"/>
          <w:bCs/>
          <w:sz w:val="24"/>
          <w:highlight w:val="none"/>
        </w:rPr>
        <w:t>反映企业截至本年末发行的各类债券（含企业债券、公司债券、非金融企业债务融资工具、金融债券等）本金余额，既包括负债类债券，也包括计入权益的债券，既包括非金融子企业发行的债券，也包括金融子企业发行的债券。其中，“一年内到期债券”反映企业一年内将到期的负债类债券和权益类债券本金，权益类债券到期日按基础年期判断，若基础年期未赎回，根据谨慎性原则，按下一个延续期判断到期日。</w:t>
      </w:r>
    </w:p>
    <w:p>
      <w:pPr>
        <w:tabs>
          <w:tab w:val="left" w:pos="3795"/>
        </w:tabs>
        <w:spacing w:line="440" w:lineRule="exact"/>
        <w:ind w:firstLine="480"/>
        <w:jc w:val="left"/>
        <w:rPr>
          <w:rFonts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境外发行外币债券余额：反映企业集团所属境内外子企业截至本年末在境外发行的外币债券（含永续债券）票面本金余额,以人民币填列。各明细项按各类债券的实际币种填列。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w:t>
      </w:r>
      <w:r>
        <w:rPr>
          <w:rFonts w:hint="eastAsia" w:ascii="仿宋_GB2312" w:hAnsi="宋体" w:eastAsia="仿宋_GB2312"/>
          <w:bCs/>
          <w:sz w:val="24"/>
          <w:lang w:val="en-US" w:eastAsia="zh-CN"/>
        </w:rPr>
        <w:t>4</w:t>
      </w:r>
      <w:r>
        <w:rPr>
          <w:rFonts w:hint="eastAsia" w:ascii="仿宋_GB2312" w:hAnsi="宋体" w:eastAsia="仿宋_GB2312"/>
          <w:bCs/>
          <w:sz w:val="24"/>
        </w:rPr>
        <w:t>.境外发行人民币债券余额：反映企业集团所属境内外子企业截至本年末在境外发行的人民币债券（含永续债券）票面本金余额。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6"/>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若28行＞0，则30行＞0</w:t>
      </w:r>
      <w:r>
        <w:rPr>
          <w:rFonts w:hint="eastAsia" w:ascii="仿宋_GB2312" w:hAnsi="宋体" w:eastAsia="仿宋_GB2312"/>
          <w:bCs/>
          <w:sz w:val="24"/>
          <w:lang w:eastAsia="zh-CN"/>
        </w:rPr>
        <w:t>；</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44行；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45行；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46行；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47行；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51行</w:t>
      </w:r>
      <w:r>
        <w:rPr>
          <w:rFonts w:hint="eastAsia" w:ascii="仿宋_GB2312" w:hAnsi="宋体" w:eastAsia="仿宋_GB2312"/>
          <w:bCs/>
          <w:sz w:val="24"/>
        </w:rPr>
        <w:t>。</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r>
        <w:rPr>
          <w:rFonts w:hint="default" w:ascii="仿宋_GB2312" w:hAnsi="宋体" w:eastAsia="仿宋_GB2312"/>
          <w:bCs/>
          <w:sz w:val="24"/>
          <w:lang w:val="en"/>
        </w:rPr>
        <w:t>财企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（28-29）行=财企02表26行“本期金额”栏（合理性）；33行≥财企01表136行；34行≥财企01表137行。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footerReference r:id="rId3"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27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w:t>
                          </w:r>
                        </w:p>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ind w:right="27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w:t>
                    </w:r>
                  </w:p>
                  <w:p>
                    <w:pPr>
                      <w:pStyle w:val="9"/>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3FB90CD"/>
    <w:rsid w:val="16ED1601"/>
    <w:rsid w:val="174F881F"/>
    <w:rsid w:val="19BC1FAB"/>
    <w:rsid w:val="1BE44AFE"/>
    <w:rsid w:val="1E74CA96"/>
    <w:rsid w:val="1F521DEE"/>
    <w:rsid w:val="1FF7FCBB"/>
    <w:rsid w:val="1FFE45C0"/>
    <w:rsid w:val="2BF64554"/>
    <w:rsid w:val="2DBFCF7E"/>
    <w:rsid w:val="2F7F7DFC"/>
    <w:rsid w:val="34C7DA76"/>
    <w:rsid w:val="361EB4CF"/>
    <w:rsid w:val="36EF1122"/>
    <w:rsid w:val="37F2F1CB"/>
    <w:rsid w:val="3938514D"/>
    <w:rsid w:val="3A5C0299"/>
    <w:rsid w:val="3BDFA3EE"/>
    <w:rsid w:val="3C9F2F44"/>
    <w:rsid w:val="3E6F43C2"/>
    <w:rsid w:val="3EEF78A4"/>
    <w:rsid w:val="3EF65381"/>
    <w:rsid w:val="3F6F02FC"/>
    <w:rsid w:val="3FBFF460"/>
    <w:rsid w:val="3FCF606C"/>
    <w:rsid w:val="3FE15E42"/>
    <w:rsid w:val="3FEA0D90"/>
    <w:rsid w:val="3FEF2DD4"/>
    <w:rsid w:val="3FF431E8"/>
    <w:rsid w:val="473DFE39"/>
    <w:rsid w:val="47EDDD78"/>
    <w:rsid w:val="4BF5CF41"/>
    <w:rsid w:val="4DE365EB"/>
    <w:rsid w:val="4DFEB92B"/>
    <w:rsid w:val="4E7FEBB7"/>
    <w:rsid w:val="4F6F5C38"/>
    <w:rsid w:val="4FAF702F"/>
    <w:rsid w:val="53BF7280"/>
    <w:rsid w:val="53DB80F6"/>
    <w:rsid w:val="54FF0675"/>
    <w:rsid w:val="57936F93"/>
    <w:rsid w:val="57AB629A"/>
    <w:rsid w:val="59FF2F4A"/>
    <w:rsid w:val="5B2D2A77"/>
    <w:rsid w:val="5B6F0F48"/>
    <w:rsid w:val="5BFFA863"/>
    <w:rsid w:val="5DD70F00"/>
    <w:rsid w:val="5EAF762D"/>
    <w:rsid w:val="5EB519C7"/>
    <w:rsid w:val="5F374FAD"/>
    <w:rsid w:val="5F3F7428"/>
    <w:rsid w:val="5F6E8FBF"/>
    <w:rsid w:val="5F7F4BC6"/>
    <w:rsid w:val="5F8FB03C"/>
    <w:rsid w:val="5FBF84E4"/>
    <w:rsid w:val="5FDF4D92"/>
    <w:rsid w:val="6260480D"/>
    <w:rsid w:val="67BFA6E5"/>
    <w:rsid w:val="67D91E2B"/>
    <w:rsid w:val="67FD1BA4"/>
    <w:rsid w:val="6A5FAD55"/>
    <w:rsid w:val="6AAB7F10"/>
    <w:rsid w:val="6AEE9F96"/>
    <w:rsid w:val="6AFAEE52"/>
    <w:rsid w:val="6B6EA91C"/>
    <w:rsid w:val="6B7BB832"/>
    <w:rsid w:val="6CFA67B8"/>
    <w:rsid w:val="6D1BC1AB"/>
    <w:rsid w:val="6EE7F12B"/>
    <w:rsid w:val="6EEFE995"/>
    <w:rsid w:val="6EF65220"/>
    <w:rsid w:val="6FC67D83"/>
    <w:rsid w:val="6FEF5A4A"/>
    <w:rsid w:val="6FFE063A"/>
    <w:rsid w:val="705A02B6"/>
    <w:rsid w:val="712AAED3"/>
    <w:rsid w:val="71C43840"/>
    <w:rsid w:val="72BF3115"/>
    <w:rsid w:val="737736D0"/>
    <w:rsid w:val="73A229F4"/>
    <w:rsid w:val="73BB731B"/>
    <w:rsid w:val="73DD7DDF"/>
    <w:rsid w:val="74EE749F"/>
    <w:rsid w:val="75F5A476"/>
    <w:rsid w:val="76411C29"/>
    <w:rsid w:val="76FBBAB0"/>
    <w:rsid w:val="77067C8A"/>
    <w:rsid w:val="773F7DBE"/>
    <w:rsid w:val="777EB6CD"/>
    <w:rsid w:val="779722A2"/>
    <w:rsid w:val="77BB5E3C"/>
    <w:rsid w:val="77BE1212"/>
    <w:rsid w:val="77BFA164"/>
    <w:rsid w:val="77CF491D"/>
    <w:rsid w:val="77F30D03"/>
    <w:rsid w:val="77FF5853"/>
    <w:rsid w:val="7B731D26"/>
    <w:rsid w:val="7B7928B9"/>
    <w:rsid w:val="7B7EF06E"/>
    <w:rsid w:val="7B7F2212"/>
    <w:rsid w:val="7BAA86AD"/>
    <w:rsid w:val="7BEC88AB"/>
    <w:rsid w:val="7BECB4F4"/>
    <w:rsid w:val="7BF74A62"/>
    <w:rsid w:val="7BFD62E0"/>
    <w:rsid w:val="7C7D2B7F"/>
    <w:rsid w:val="7CFF593C"/>
    <w:rsid w:val="7D536A12"/>
    <w:rsid w:val="7D8D6446"/>
    <w:rsid w:val="7E8E22EE"/>
    <w:rsid w:val="7EDF1FA8"/>
    <w:rsid w:val="7EEBC819"/>
    <w:rsid w:val="7EF72C77"/>
    <w:rsid w:val="7EFB5264"/>
    <w:rsid w:val="7EFB9182"/>
    <w:rsid w:val="7F735B9F"/>
    <w:rsid w:val="7F7CE293"/>
    <w:rsid w:val="7F7FA030"/>
    <w:rsid w:val="7FBCB1BA"/>
    <w:rsid w:val="7FCFA15C"/>
    <w:rsid w:val="7FDEC626"/>
    <w:rsid w:val="7FDF3313"/>
    <w:rsid w:val="7FE6A621"/>
    <w:rsid w:val="7FE84FB6"/>
    <w:rsid w:val="7FEDCFC8"/>
    <w:rsid w:val="7FEFC4B3"/>
    <w:rsid w:val="7FEFE9E4"/>
    <w:rsid w:val="7FF73F8B"/>
    <w:rsid w:val="7FF77486"/>
    <w:rsid w:val="7FFFE7E7"/>
    <w:rsid w:val="8BFF5326"/>
    <w:rsid w:val="8FBEC97D"/>
    <w:rsid w:val="8FFB12F8"/>
    <w:rsid w:val="94F76684"/>
    <w:rsid w:val="979707C1"/>
    <w:rsid w:val="99E7DBFB"/>
    <w:rsid w:val="9BE5AEB6"/>
    <w:rsid w:val="9D3FD19E"/>
    <w:rsid w:val="9DBEDD7E"/>
    <w:rsid w:val="9DDE13D8"/>
    <w:rsid w:val="9E316ED5"/>
    <w:rsid w:val="9E46A406"/>
    <w:rsid w:val="9EEBA07D"/>
    <w:rsid w:val="9F730F9F"/>
    <w:rsid w:val="A6CD2EEB"/>
    <w:rsid w:val="A78B3E65"/>
    <w:rsid w:val="AEFFB4C6"/>
    <w:rsid w:val="AF93D4E3"/>
    <w:rsid w:val="AFD7C8E4"/>
    <w:rsid w:val="AFDED8C2"/>
    <w:rsid w:val="AFEFD1C8"/>
    <w:rsid w:val="B5F6AFA5"/>
    <w:rsid w:val="B5F7FD34"/>
    <w:rsid w:val="B6F75547"/>
    <w:rsid w:val="B75284AF"/>
    <w:rsid w:val="B7BFBC70"/>
    <w:rsid w:val="B9E7CE0D"/>
    <w:rsid w:val="BADD0052"/>
    <w:rsid w:val="BAF37164"/>
    <w:rsid w:val="BBBC1C63"/>
    <w:rsid w:val="BBF729F4"/>
    <w:rsid w:val="BBF9A7E5"/>
    <w:rsid w:val="BC7F76C8"/>
    <w:rsid w:val="BDFFB7BB"/>
    <w:rsid w:val="BEB6E21A"/>
    <w:rsid w:val="BED7F7B9"/>
    <w:rsid w:val="BEFF625A"/>
    <w:rsid w:val="BEFFDFB3"/>
    <w:rsid w:val="BF6F7512"/>
    <w:rsid w:val="BFFD45A3"/>
    <w:rsid w:val="CE7796B2"/>
    <w:rsid w:val="CE99D390"/>
    <w:rsid w:val="CEFF7064"/>
    <w:rsid w:val="CF7C9C89"/>
    <w:rsid w:val="CFCF14ED"/>
    <w:rsid w:val="CFFF2CF4"/>
    <w:rsid w:val="D51DA477"/>
    <w:rsid w:val="D67F1AD0"/>
    <w:rsid w:val="D74FAEED"/>
    <w:rsid w:val="D7F74F5D"/>
    <w:rsid w:val="D7FA05A6"/>
    <w:rsid w:val="DB8FFDC8"/>
    <w:rsid w:val="DBFFA674"/>
    <w:rsid w:val="DCBF9966"/>
    <w:rsid w:val="DCFD672A"/>
    <w:rsid w:val="DD362E16"/>
    <w:rsid w:val="DDFD3C11"/>
    <w:rsid w:val="DDFDC203"/>
    <w:rsid w:val="DEF39630"/>
    <w:rsid w:val="DF7382C8"/>
    <w:rsid w:val="DF7B670D"/>
    <w:rsid w:val="DFDED268"/>
    <w:rsid w:val="DFDF8252"/>
    <w:rsid w:val="DFF70FFA"/>
    <w:rsid w:val="DFFFB8D7"/>
    <w:rsid w:val="E1EE005D"/>
    <w:rsid w:val="E6BDA704"/>
    <w:rsid w:val="E79DC6BF"/>
    <w:rsid w:val="E7B7C215"/>
    <w:rsid w:val="E7D7B559"/>
    <w:rsid w:val="EB59914E"/>
    <w:rsid w:val="EBF808D1"/>
    <w:rsid w:val="EBFF518F"/>
    <w:rsid w:val="EEAE6927"/>
    <w:rsid w:val="EEDF2677"/>
    <w:rsid w:val="EEF92EB3"/>
    <w:rsid w:val="EF7D3219"/>
    <w:rsid w:val="EF9B8D0E"/>
    <w:rsid w:val="F0DED660"/>
    <w:rsid w:val="F2FB9471"/>
    <w:rsid w:val="F45E23C3"/>
    <w:rsid w:val="F5FF606C"/>
    <w:rsid w:val="F6FCF240"/>
    <w:rsid w:val="F73B674E"/>
    <w:rsid w:val="F75FC83F"/>
    <w:rsid w:val="F7BB86A3"/>
    <w:rsid w:val="F7DF914C"/>
    <w:rsid w:val="F7E3FEAF"/>
    <w:rsid w:val="F7F063F9"/>
    <w:rsid w:val="F7F65E4B"/>
    <w:rsid w:val="F7FA3086"/>
    <w:rsid w:val="F8FEEA7D"/>
    <w:rsid w:val="F9D1F2AD"/>
    <w:rsid w:val="FACF784E"/>
    <w:rsid w:val="FAFE756D"/>
    <w:rsid w:val="FBADF661"/>
    <w:rsid w:val="FBC70E46"/>
    <w:rsid w:val="FBFE37D3"/>
    <w:rsid w:val="FBFF3144"/>
    <w:rsid w:val="FC77ED79"/>
    <w:rsid w:val="FCCE2FCD"/>
    <w:rsid w:val="FCFB6BC3"/>
    <w:rsid w:val="FDF72843"/>
    <w:rsid w:val="FDF75CF0"/>
    <w:rsid w:val="FDFDBE09"/>
    <w:rsid w:val="FDFF67A2"/>
    <w:rsid w:val="FE7F7D3B"/>
    <w:rsid w:val="FEB38CD9"/>
    <w:rsid w:val="FEBDE469"/>
    <w:rsid w:val="FEFFD67F"/>
    <w:rsid w:val="FF3B76D5"/>
    <w:rsid w:val="FF3DC90C"/>
    <w:rsid w:val="FF7723E0"/>
    <w:rsid w:val="FF7FA40D"/>
    <w:rsid w:val="FF7FB7DA"/>
    <w:rsid w:val="FF7FC23F"/>
    <w:rsid w:val="FFA502D8"/>
    <w:rsid w:val="FFA720F9"/>
    <w:rsid w:val="FFB31A68"/>
    <w:rsid w:val="FFBE28AD"/>
    <w:rsid w:val="FFDEE3D2"/>
    <w:rsid w:val="FFDF493C"/>
    <w:rsid w:val="FFEBF481"/>
    <w:rsid w:val="FFEFAEC8"/>
    <w:rsid w:val="FFF7EB1F"/>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7"/>
    <w:unhideWhenUsed/>
    <w:qFormat/>
    <w:uiPriority w:val="99"/>
    <w:rPr>
      <w:b/>
      <w:bCs/>
    </w:rPr>
  </w:style>
  <w:style w:type="paragraph" w:styleId="3">
    <w:name w:val="annotation text"/>
    <w:basedOn w:val="1"/>
    <w:link w:val="26"/>
    <w:unhideWhenUsed/>
    <w:qFormat/>
    <w:uiPriority w:val="99"/>
    <w:pPr>
      <w:jc w:val="left"/>
    </w:pPr>
  </w:style>
  <w:style w:type="paragraph" w:styleId="4">
    <w:name w:val="Document Map"/>
    <w:basedOn w:val="1"/>
    <w:link w:val="25"/>
    <w:unhideWhenUsed/>
    <w:qFormat/>
    <w:uiPriority w:val="99"/>
    <w:rPr>
      <w:rFonts w:ascii="宋体"/>
      <w:sz w:val="18"/>
      <w:szCs w:val="18"/>
    </w:rPr>
  </w:style>
  <w:style w:type="paragraph" w:styleId="5">
    <w:name w:val="Body Text Indent"/>
    <w:basedOn w:val="1"/>
    <w:link w:val="22"/>
    <w:qFormat/>
    <w:uiPriority w:val="0"/>
    <w:pPr>
      <w:spacing w:after="120"/>
      <w:ind w:left="420" w:leftChars="200"/>
    </w:pPr>
    <w:rPr>
      <w:rFonts w:ascii="Times New Roman" w:hAnsi="Times New Roman"/>
      <w:szCs w:val="24"/>
    </w:rPr>
  </w:style>
  <w:style w:type="paragraph" w:styleId="6">
    <w:name w:val="Plain Text"/>
    <w:basedOn w:val="1"/>
    <w:link w:val="21"/>
    <w:qFormat/>
    <w:uiPriority w:val="0"/>
    <w:rPr>
      <w:rFonts w:ascii="宋体" w:hAnsi="Courier New"/>
      <w:szCs w:val="20"/>
    </w:rPr>
  </w:style>
  <w:style w:type="paragraph" w:styleId="7">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8">
    <w:name w:val="Balloon Text"/>
    <w:basedOn w:val="1"/>
    <w:link w:val="23"/>
    <w:semiHidden/>
    <w:qFormat/>
    <w:uiPriority w:val="0"/>
    <w:rPr>
      <w:rFonts w:ascii="Times New Roman" w:hAnsi="Times New Roman"/>
      <w:sz w:val="18"/>
      <w:szCs w:val="18"/>
    </w:rPr>
  </w:style>
  <w:style w:type="paragraph" w:styleId="9">
    <w:name w:val="footer"/>
    <w:basedOn w:val="1"/>
    <w:link w:val="19"/>
    <w:unhideWhenUsed/>
    <w:qFormat/>
    <w:uiPriority w:val="99"/>
    <w:pPr>
      <w:tabs>
        <w:tab w:val="center" w:pos="4153"/>
        <w:tab w:val="right" w:pos="8306"/>
      </w:tabs>
      <w:snapToGrid w:val="0"/>
      <w:jc w:val="left"/>
    </w:pPr>
    <w:rPr>
      <w:kern w:val="0"/>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Indent 3"/>
    <w:basedOn w:val="1"/>
    <w:link w:val="24"/>
    <w:unhideWhenUsed/>
    <w:qFormat/>
    <w:uiPriority w:val="0"/>
    <w:pPr>
      <w:spacing w:after="120"/>
      <w:ind w:left="420" w:leftChars="200"/>
    </w:pPr>
    <w:rPr>
      <w:sz w:val="16"/>
      <w:szCs w:val="16"/>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5">
    <w:name w:val="annotation reference"/>
    <w:basedOn w:val="14"/>
    <w:unhideWhenUsed/>
    <w:qFormat/>
    <w:uiPriority w:val="99"/>
    <w:rPr>
      <w:sz w:val="21"/>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link w:val="10"/>
    <w:qFormat/>
    <w:uiPriority w:val="0"/>
    <w:rPr>
      <w:sz w:val="18"/>
      <w:szCs w:val="18"/>
    </w:rPr>
  </w:style>
  <w:style w:type="character" w:customStyle="1" w:styleId="19">
    <w:name w:val="页脚 Char"/>
    <w:link w:val="9"/>
    <w:qFormat/>
    <w:uiPriority w:val="99"/>
    <w:rPr>
      <w:sz w:val="18"/>
      <w:szCs w:val="18"/>
    </w:rPr>
  </w:style>
  <w:style w:type="character" w:customStyle="1" w:styleId="20">
    <w:name w:val="正文文本缩进 2 Char"/>
    <w:link w:val="7"/>
    <w:qFormat/>
    <w:uiPriority w:val="0"/>
    <w:rPr>
      <w:rFonts w:ascii="仿宋_GB2312" w:hAnsi="Times New Roman" w:eastAsia="仿宋_GB2312"/>
      <w:kern w:val="2"/>
      <w:sz w:val="28"/>
    </w:rPr>
  </w:style>
  <w:style w:type="character" w:customStyle="1" w:styleId="21">
    <w:name w:val="纯文本 Char"/>
    <w:link w:val="6"/>
    <w:qFormat/>
    <w:uiPriority w:val="0"/>
    <w:rPr>
      <w:rFonts w:ascii="宋体" w:hAnsi="Courier New"/>
      <w:kern w:val="2"/>
      <w:sz w:val="21"/>
    </w:rPr>
  </w:style>
  <w:style w:type="character" w:customStyle="1" w:styleId="22">
    <w:name w:val="正文文本缩进 Char"/>
    <w:link w:val="5"/>
    <w:qFormat/>
    <w:uiPriority w:val="0"/>
    <w:rPr>
      <w:rFonts w:ascii="Times New Roman" w:hAnsi="Times New Roman"/>
      <w:kern w:val="2"/>
      <w:sz w:val="21"/>
      <w:szCs w:val="24"/>
    </w:rPr>
  </w:style>
  <w:style w:type="character" w:customStyle="1" w:styleId="23">
    <w:name w:val="批注框文本 Char"/>
    <w:link w:val="8"/>
    <w:semiHidden/>
    <w:qFormat/>
    <w:uiPriority w:val="0"/>
    <w:rPr>
      <w:rFonts w:ascii="Times New Roman" w:hAnsi="Times New Roman"/>
      <w:kern w:val="2"/>
      <w:sz w:val="18"/>
      <w:szCs w:val="18"/>
    </w:rPr>
  </w:style>
  <w:style w:type="character" w:customStyle="1" w:styleId="24">
    <w:name w:val="正文文本缩进 3 Char"/>
    <w:link w:val="11"/>
    <w:qFormat/>
    <w:uiPriority w:val="0"/>
    <w:rPr>
      <w:kern w:val="2"/>
      <w:sz w:val="16"/>
      <w:szCs w:val="16"/>
    </w:rPr>
  </w:style>
  <w:style w:type="character" w:customStyle="1" w:styleId="25">
    <w:name w:val="文档结构图 Char"/>
    <w:link w:val="4"/>
    <w:semiHidden/>
    <w:qFormat/>
    <w:uiPriority w:val="99"/>
    <w:rPr>
      <w:rFonts w:ascii="宋体"/>
      <w:kern w:val="2"/>
      <w:sz w:val="18"/>
      <w:szCs w:val="18"/>
    </w:rPr>
  </w:style>
  <w:style w:type="character" w:customStyle="1" w:styleId="26">
    <w:name w:val="批注文字 Char"/>
    <w:basedOn w:val="14"/>
    <w:link w:val="3"/>
    <w:qFormat/>
    <w:uiPriority w:val="99"/>
    <w:rPr>
      <w:kern w:val="2"/>
      <w:sz w:val="21"/>
      <w:szCs w:val="22"/>
    </w:rPr>
  </w:style>
  <w:style w:type="character" w:customStyle="1" w:styleId="27">
    <w:name w:val="批注主题 Char"/>
    <w:basedOn w:val="26"/>
    <w:link w:val="2"/>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7424</Words>
  <Characters>42322</Characters>
  <Lines>352</Lines>
  <Paragraphs>99</Paragraphs>
  <ScaleCrop>false</ScaleCrop>
  <LinksUpToDate>false</LinksUpToDate>
  <CharactersWithSpaces>49647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2018-11-27T09:02:00Z</dcterms:created>
  <dc:creator>雨林木风</dc:creator>
  <cp:lastModifiedBy>Administrator</cp:lastModifiedBy>
  <cp:lastPrinted>2022-01-31T17:09:00Z</cp:lastPrinted>
  <dcterms:modified xsi:type="dcterms:W3CDTF">2025-02-07T02:03:45Z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