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附件12</w:t>
      </w:r>
    </w:p>
    <w:p>
      <w:pPr>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到户产业以奖代补发放情况统计表</w:t>
      </w:r>
    </w:p>
    <w:bookmarkEnd w:id="0"/>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89"/>
        <w:gridCol w:w="1089"/>
        <w:gridCol w:w="1375"/>
        <w:gridCol w:w="803"/>
        <w:gridCol w:w="1090"/>
        <w:gridCol w:w="1091"/>
        <w:gridCol w:w="1091"/>
        <w:gridCol w:w="1091"/>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restart"/>
          </w:tcPr>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县（区）</w:t>
            </w:r>
          </w:p>
        </w:tc>
        <w:tc>
          <w:tcPr>
            <w:tcW w:w="1089" w:type="dxa"/>
            <w:vMerge w:val="restart"/>
          </w:tcPr>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年度</w:t>
            </w:r>
          </w:p>
        </w:tc>
        <w:tc>
          <w:tcPr>
            <w:tcW w:w="10903" w:type="dxa"/>
            <w:gridSpan w:val="10"/>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发放户数、直接受益人数</w:t>
            </w:r>
          </w:p>
        </w:tc>
        <w:tc>
          <w:tcPr>
            <w:tcW w:w="1091" w:type="dxa"/>
            <w:vMerge w:val="restart"/>
          </w:tcPr>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已发放奖补资金（元）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2464" w:type="dxa"/>
            <w:gridSpan w:val="2"/>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脱贫户</w:t>
            </w:r>
            <w:r>
              <w:rPr>
                <w:rFonts w:hint="eastAsia"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b/>
                <w:color w:val="000000" w:themeColor="text1"/>
                <w:sz w:val="24"/>
                <w:szCs w:val="24"/>
                <w14:textFill>
                  <w14:solidFill>
                    <w14:schemeClr w14:val="tx1"/>
                  </w14:solidFill>
                </w14:textFill>
              </w:rPr>
              <w:t>（不含监测户对象）</w:t>
            </w:r>
          </w:p>
        </w:tc>
        <w:tc>
          <w:tcPr>
            <w:tcW w:w="8439" w:type="dxa"/>
            <w:gridSpan w:val="8"/>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监测对象</w:t>
            </w:r>
          </w:p>
        </w:tc>
        <w:tc>
          <w:tcPr>
            <w:tcW w:w="1091" w:type="dxa"/>
            <w:vMerge w:val="continue"/>
          </w:tcPr>
          <w:p>
            <w:pPr>
              <w:jc w:val="left"/>
              <w:rPr>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restart"/>
          </w:tcPr>
          <w:p>
            <w:pPr>
              <w:jc w:val="center"/>
              <w:rPr>
                <w:rFonts w:ascii="Times New Roman" w:hAnsi="Times New Roman" w:eastAsia="仿宋_GB2312" w:cs="Times New Roman"/>
                <w:b/>
                <w:color w:val="000000" w:themeColor="text1"/>
                <w:sz w:val="24"/>
                <w:szCs w:val="24"/>
                <w14:textFill>
                  <w14:solidFill>
                    <w14:schemeClr w14:val="tx1"/>
                  </w14:solidFill>
                </w14:textFill>
              </w:rPr>
            </w:pPr>
          </w:p>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户数</w:t>
            </w:r>
          </w:p>
        </w:tc>
        <w:tc>
          <w:tcPr>
            <w:tcW w:w="1375" w:type="dxa"/>
            <w:vMerge w:val="restart"/>
          </w:tcPr>
          <w:p>
            <w:pPr>
              <w:jc w:val="center"/>
              <w:rPr>
                <w:rFonts w:ascii="Times New Roman" w:hAnsi="Times New Roman" w:eastAsia="仿宋_GB2312" w:cs="Times New Roman"/>
                <w:b/>
                <w:color w:val="000000" w:themeColor="text1"/>
                <w:sz w:val="24"/>
                <w:szCs w:val="24"/>
                <w14:textFill>
                  <w14:solidFill>
                    <w14:schemeClr w14:val="tx1"/>
                  </w14:solidFill>
                </w14:textFill>
              </w:rPr>
            </w:pPr>
          </w:p>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人数</w:t>
            </w:r>
          </w:p>
        </w:tc>
        <w:tc>
          <w:tcPr>
            <w:tcW w:w="1893" w:type="dxa"/>
            <w:gridSpan w:val="2"/>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脱贫不稳定户</w:t>
            </w:r>
          </w:p>
        </w:tc>
        <w:tc>
          <w:tcPr>
            <w:tcW w:w="2182" w:type="dxa"/>
            <w:gridSpan w:val="2"/>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边缘易致贫户</w:t>
            </w:r>
          </w:p>
        </w:tc>
        <w:tc>
          <w:tcPr>
            <w:tcW w:w="4364" w:type="dxa"/>
            <w:gridSpan w:val="4"/>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突发严重困难户（户数）</w:t>
            </w:r>
          </w:p>
        </w:tc>
        <w:tc>
          <w:tcPr>
            <w:tcW w:w="1091" w:type="dxa"/>
            <w:vMerge w:val="continue"/>
          </w:tcPr>
          <w:p>
            <w:pPr>
              <w:jc w:val="left"/>
              <w:rPr>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375"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803" w:type="dxa"/>
            <w:vMerge w:val="restart"/>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户数</w:t>
            </w:r>
          </w:p>
        </w:tc>
        <w:tc>
          <w:tcPr>
            <w:tcW w:w="1090" w:type="dxa"/>
            <w:vMerge w:val="restart"/>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人数</w:t>
            </w:r>
          </w:p>
        </w:tc>
        <w:tc>
          <w:tcPr>
            <w:tcW w:w="1091" w:type="dxa"/>
            <w:vMerge w:val="restart"/>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户数</w:t>
            </w:r>
          </w:p>
        </w:tc>
        <w:tc>
          <w:tcPr>
            <w:tcW w:w="1091" w:type="dxa"/>
            <w:vMerge w:val="restart"/>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人数</w:t>
            </w:r>
          </w:p>
        </w:tc>
        <w:tc>
          <w:tcPr>
            <w:tcW w:w="2182" w:type="dxa"/>
            <w:gridSpan w:val="2"/>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原来为脱贫户</w:t>
            </w:r>
          </w:p>
        </w:tc>
        <w:tc>
          <w:tcPr>
            <w:tcW w:w="2182" w:type="dxa"/>
            <w:gridSpan w:val="2"/>
          </w:tcPr>
          <w:p>
            <w:pPr>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原来为普通农户</w:t>
            </w:r>
          </w:p>
        </w:tc>
        <w:tc>
          <w:tcPr>
            <w:tcW w:w="1091" w:type="dxa"/>
            <w:vMerge w:val="continue"/>
          </w:tcPr>
          <w:p>
            <w:pPr>
              <w:jc w:val="left"/>
              <w:rPr>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375"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803"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0"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vMerge w:val="continue"/>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户数</w:t>
            </w: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人数</w:t>
            </w: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户数</w:t>
            </w: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人数</w:t>
            </w:r>
          </w:p>
        </w:tc>
        <w:tc>
          <w:tcPr>
            <w:tcW w:w="1091" w:type="dxa"/>
            <w:vMerge w:val="continue"/>
          </w:tcPr>
          <w:p>
            <w:pPr>
              <w:jc w:val="left"/>
              <w:rPr>
                <w:rFonts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柳江区合计</w:t>
            </w: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375"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803"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0"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p>
            <w:pPr>
              <w:jc w:val="left"/>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XX镇</w:t>
            </w: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375"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803"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0"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89"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375"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803"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0"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b/>
                <w:color w:val="000000" w:themeColor="text1"/>
                <w:sz w:val="24"/>
                <w:szCs w:val="24"/>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89"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89"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375"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803"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0"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89"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89"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375"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803"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0"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c>
          <w:tcPr>
            <w:tcW w:w="1091" w:type="dxa"/>
          </w:tcPr>
          <w:p>
            <w:pPr>
              <w:jc w:val="left"/>
              <w:rPr>
                <w:rFonts w:ascii="Times New Roman" w:hAnsi="Times New Roman" w:eastAsia="仿宋_GB2312" w:cs="Times New Roman"/>
                <w:color w:val="000000" w:themeColor="text1"/>
                <w:sz w:val="32"/>
                <w:szCs w:val="32"/>
                <w14:textFill>
                  <w14:solidFill>
                    <w14:schemeClr w14:val="tx1"/>
                  </w14:solidFill>
                </w14:textFill>
              </w:rPr>
            </w:pPr>
          </w:p>
        </w:tc>
      </w:tr>
    </w:tbl>
    <w:p>
      <w:pPr>
        <w:rPr>
          <w:rFonts w:hint="eastAsia" w:ascii="仿宋_GB2312" w:hAnsi="方正小标宋_GBK" w:eastAsia="仿宋_GB2312" w:cs="方正小标宋_GBK"/>
          <w:color w:val="000000" w:themeColor="text1"/>
          <w:spacing w:val="6"/>
          <w:kern w:val="0"/>
          <w:sz w:val="24"/>
          <w:szCs w:val="24"/>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_GB2312" w:hAnsi="方正小标宋_GBK" w:eastAsia="仿宋_GB2312" w:cs="方正小标宋_GBK"/>
          <w:color w:val="000000" w:themeColor="text1"/>
          <w:spacing w:val="6"/>
          <w:kern w:val="0"/>
          <w:sz w:val="24"/>
          <w:szCs w:val="24"/>
          <w14:textFill>
            <w14:solidFill>
              <w14:schemeClr w14:val="tx1"/>
            </w14:solidFill>
          </w14:textFill>
        </w:rPr>
        <w:t>填表说明：1.发放对象归类按其申请获得奖补发放时的对象类型归类；2.同一户当年度获得两次及以上次数奖补，户数只计一次，发放资金叠加；3.直接受益人数根据发放户在全国防返贫监测信息系统登记的人口数进行统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71CEE"/>
    <w:rsid w:val="2ED7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0" w:line="360" w:lineRule="auto"/>
      <w:ind w:firstLine="720" w:firstLineChars="200"/>
      <w:jc w:val="left"/>
    </w:pPr>
    <w:rPr>
      <w:rFonts w:ascii="宋体" w:hAnsi="宋体" w:eastAsia="Calibri" w:cs="宋体"/>
      <w:b/>
      <w:bCs/>
      <w:kern w:val="0"/>
      <w:sz w:val="28"/>
      <w:lang w:eastAsia="en-US"/>
    </w:rPr>
  </w:style>
  <w:style w:type="paragraph" w:styleId="3">
    <w:name w:val="Body Text"/>
    <w:basedOn w:val="1"/>
    <w:next w:val="1"/>
    <w:unhideWhenUsed/>
    <w:qFormat/>
    <w:uiPriority w:val="99"/>
    <w:pPr>
      <w:spacing w:after="12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2023-12-08T09:46:00Z</dcterms:created>
  <dc:creator>西早木草心</dc:creator>
  <cp:lastModifiedBy>西早木草心</cp:lastModifiedBy>
  <dcterms:modified xsi:type="dcterms:W3CDTF">2023-12-08T09:46:37Z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DB68D0536A944BEF82EAD715C905AE0A</vt:lpwstr>
  </property>
</Properties>
</file>