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ascii="仿宋_GB2312" w:eastAsia="仿宋_GB2312"/>
          <w:sz w:val="32"/>
        </w:rPr>
      </w:pPr>
    </w:p>
    <w:p>
      <w:pPr>
        <w:spacing w:line="640" w:lineRule="exact"/>
        <w:jc w:val="center"/>
        <w:rPr>
          <w:rFonts w:ascii="仿宋_GB2312" w:eastAsia="仿宋_GB2312"/>
          <w:sz w:val="32"/>
        </w:rPr>
      </w:pPr>
    </w:p>
    <w:p>
      <w:pPr>
        <w:spacing w:line="640" w:lineRule="exact"/>
        <w:jc w:val="center"/>
        <w:rPr>
          <w:rFonts w:ascii="仿宋_GB2312" w:eastAsia="仿宋_GB2312"/>
          <w:sz w:val="32"/>
        </w:rPr>
      </w:pPr>
    </w:p>
    <w:p>
      <w:pPr>
        <w:spacing w:line="640" w:lineRule="exact"/>
        <w:rPr>
          <w:rFonts w:ascii="仿宋_GB2312" w:eastAsia="仿宋_GB2312"/>
          <w:sz w:val="32"/>
        </w:rPr>
      </w:pPr>
    </w:p>
    <w:p>
      <w:pPr>
        <w:spacing w:line="540" w:lineRule="exact"/>
        <w:jc w:val="center"/>
        <w:rPr>
          <w:rFonts w:ascii="仿宋" w:hAnsi="仿宋" w:eastAsia="仿宋"/>
          <w:sz w:val="30"/>
          <w:szCs w:val="30"/>
        </w:rPr>
      </w:pPr>
    </w:p>
    <w:p>
      <w:pPr>
        <w:spacing w:line="640" w:lineRule="exact"/>
        <w:jc w:val="center"/>
        <w:rPr>
          <w:rFonts w:ascii="仿宋_GB2312" w:eastAsia="仿宋_GB2312"/>
          <w:color w:val="auto"/>
          <w:sz w:val="32"/>
        </w:rPr>
      </w:pPr>
      <w:r>
        <w:rPr>
          <w:rFonts w:hint="eastAsia" w:ascii="仿宋_GB2312" w:eastAsia="仿宋_GB2312"/>
          <w:color w:val="auto"/>
          <w:sz w:val="32"/>
        </w:rPr>
        <w:t>江审基建环审字〔</w:t>
      </w:r>
      <w:r>
        <w:rPr>
          <w:rFonts w:ascii="仿宋_GB2312" w:eastAsia="仿宋_GB2312"/>
          <w:color w:val="auto"/>
          <w:sz w:val="32"/>
        </w:rPr>
        <w:t>2020</w:t>
      </w:r>
      <w:r>
        <w:rPr>
          <w:rFonts w:hint="eastAsia" w:ascii="仿宋_GB2312" w:eastAsia="仿宋_GB2312"/>
          <w:color w:val="auto"/>
          <w:sz w:val="32"/>
        </w:rPr>
        <w:t>〕</w:t>
      </w:r>
      <w:r>
        <w:rPr>
          <w:rFonts w:hint="eastAsia" w:ascii="仿宋_GB2312" w:eastAsia="仿宋_GB2312"/>
          <w:color w:val="auto"/>
          <w:sz w:val="32"/>
          <w:lang w:val="en-US" w:eastAsia="zh-CN"/>
        </w:rPr>
        <w:t>6</w:t>
      </w:r>
      <w:r>
        <w:rPr>
          <w:rFonts w:hint="eastAsia" w:ascii="仿宋_GB2312" w:eastAsia="仿宋_GB2312"/>
          <w:color w:val="auto"/>
          <w:sz w:val="32"/>
        </w:rPr>
        <w:t>号</w:t>
      </w:r>
    </w:p>
    <w:p>
      <w:pPr>
        <w:pStyle w:val="3"/>
        <w:spacing w:line="540" w:lineRule="exact"/>
        <w:rPr>
          <w:color w:val="auto"/>
          <w:sz w:val="28"/>
          <w:szCs w:val="28"/>
        </w:rPr>
      </w:pPr>
    </w:p>
    <w:p>
      <w:pPr>
        <w:pStyle w:val="6"/>
        <w:rPr>
          <w:rFonts w:hint="eastAsia" w:ascii="宋体" w:hAnsi="宋体" w:eastAsia="宋体" w:cs="Times New Roman"/>
          <w:bCs w:val="0"/>
          <w:color w:val="auto"/>
        </w:rPr>
      </w:pPr>
      <w:r>
        <w:rPr>
          <w:rFonts w:hint="eastAsia" w:ascii="宋体" w:hAnsi="宋体" w:eastAsia="宋体" w:cs="Times New Roman"/>
          <w:bCs w:val="0"/>
          <w:color w:val="auto"/>
        </w:rPr>
        <w:t>关于宜柳高速新增柳州进德互通工程</w:t>
      </w:r>
      <w:bookmarkStart w:id="0" w:name="_GoBack"/>
      <w:bookmarkEnd w:id="0"/>
      <w:r>
        <w:rPr>
          <w:rFonts w:hint="eastAsia" w:ascii="宋体" w:hAnsi="宋体" w:eastAsia="宋体" w:cs="Times New Roman"/>
          <w:bCs w:val="0"/>
          <w:color w:val="auto"/>
        </w:rPr>
        <w:t>项目</w:t>
      </w:r>
    </w:p>
    <w:p>
      <w:pPr>
        <w:pStyle w:val="6"/>
        <w:rPr>
          <w:rFonts w:hint="eastAsia" w:ascii="宋体" w:hAnsi="宋体" w:eastAsia="宋体" w:cs="Times New Roman"/>
          <w:bCs w:val="0"/>
          <w:color w:val="auto"/>
        </w:rPr>
      </w:pPr>
      <w:r>
        <w:rPr>
          <w:rFonts w:hint="eastAsia" w:ascii="宋体" w:hAnsi="宋体" w:eastAsia="宋体" w:cs="Times New Roman"/>
          <w:bCs w:val="0"/>
          <w:color w:val="auto"/>
        </w:rPr>
        <w:t>环境影响报告表的批复</w:t>
      </w:r>
    </w:p>
    <w:p>
      <w:pPr>
        <w:pStyle w:val="6"/>
        <w:spacing w:line="360" w:lineRule="exact"/>
        <w:rPr>
          <w:color w:val="auto"/>
          <w:sz w:val="30"/>
          <w:szCs w:val="30"/>
        </w:rPr>
      </w:pPr>
    </w:p>
    <w:p>
      <w:pPr>
        <w:spacing w:line="540" w:lineRule="exact"/>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柳州市城市投资建设发展有限公司：</w:t>
      </w:r>
    </w:p>
    <w:p>
      <w:pPr>
        <w:pStyle w:val="6"/>
        <w:jc w:val="left"/>
        <w:rPr>
          <w:rFonts w:ascii="仿宋_GB2312" w:eastAsia="仿宋_GB2312"/>
          <w:color w:val="auto"/>
          <w:sz w:val="32"/>
        </w:rPr>
      </w:pPr>
      <w:r>
        <w:rPr>
          <w:rFonts w:hint="eastAsia" w:ascii="仿宋_GB2312" w:eastAsia="仿宋_GB2312"/>
          <w:color w:val="auto"/>
          <w:sz w:val="32"/>
          <w:lang w:val="en-US" w:eastAsia="zh-CN"/>
        </w:rPr>
        <w:t xml:space="preserve">   </w:t>
      </w:r>
      <w:r>
        <w:rPr>
          <w:rFonts w:hint="eastAsia" w:ascii="仿宋_GB2312" w:eastAsia="仿宋_GB2312"/>
          <w:color w:val="auto"/>
          <w:sz w:val="32"/>
        </w:rPr>
        <w:t>你公司报来</w:t>
      </w:r>
      <w:r>
        <w:rPr>
          <w:rFonts w:hint="eastAsia" w:ascii="仿宋_GB2312" w:hAnsi="Times New Roman" w:eastAsia="仿宋_GB2312" w:cs="Times New Roman"/>
          <w:color w:val="auto"/>
          <w:sz w:val="32"/>
        </w:rPr>
        <w:t>《关于宜柳高速新增柳州进德互通工程项目环境影响报告表》</w:t>
      </w:r>
      <w:r>
        <w:rPr>
          <w:rFonts w:hint="eastAsia" w:ascii="仿宋_GB2312" w:eastAsia="仿宋_GB2312"/>
          <w:color w:val="auto"/>
          <w:sz w:val="32"/>
        </w:rPr>
        <w:t>（以下简称《报告表》）收悉。经我局审核，现批复如下：</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eastAsia="仿宋_GB2312"/>
          <w:bCs/>
          <w:color w:val="auto"/>
          <w:sz w:val="32"/>
          <w:szCs w:val="44"/>
        </w:rPr>
        <w:t>一、项目位于</w:t>
      </w:r>
      <w:r>
        <w:rPr>
          <w:rFonts w:hint="eastAsia" w:ascii="仿宋_GB2312" w:hAnsi="Times New Roman" w:eastAsia="仿宋_GB2312" w:cs="Times New Roman"/>
          <w:bCs/>
          <w:color w:val="auto"/>
          <w:sz w:val="32"/>
          <w:szCs w:val="44"/>
        </w:rPr>
        <w:t>柳州市柳江区</w:t>
      </w:r>
      <w:r>
        <w:rPr>
          <w:rFonts w:hint="eastAsia" w:ascii="仿宋_GB2312" w:eastAsia="仿宋_GB2312" w:cs="Times New Roman"/>
          <w:bCs/>
          <w:color w:val="auto"/>
          <w:sz w:val="32"/>
          <w:szCs w:val="44"/>
          <w:lang w:eastAsia="zh-CN"/>
        </w:rPr>
        <w:t>进德镇</w:t>
      </w:r>
      <w:r>
        <w:rPr>
          <w:rFonts w:hint="eastAsia" w:ascii="仿宋_GB2312" w:hAnsi="Times New Roman" w:eastAsia="仿宋_GB2312" w:cs="Times New Roman"/>
          <w:bCs/>
          <w:color w:val="auto"/>
          <w:sz w:val="32"/>
          <w:szCs w:val="44"/>
        </w:rPr>
        <w:t>，距离柳江区城约5公里，距柳州市进德物流园区约1公里，与现状的柳江出入口距离约7.2公里，与新兴出入口距离约9.2公里</w:t>
      </w:r>
      <w:r>
        <w:rPr>
          <w:rFonts w:hint="eastAsia" w:ascii="仿宋_GB2312" w:eastAsia="仿宋_GB2312" w:cs="Times New Roman"/>
          <w:bCs/>
          <w:color w:val="auto"/>
          <w:sz w:val="32"/>
          <w:szCs w:val="44"/>
          <w:lang w:eastAsia="zh-CN"/>
        </w:rPr>
        <w:t>。</w:t>
      </w:r>
      <w:r>
        <w:rPr>
          <w:rFonts w:hint="eastAsia" w:ascii="仿宋_GB2312" w:eastAsia="仿宋_GB2312"/>
          <w:bCs/>
          <w:color w:val="auto"/>
          <w:sz w:val="32"/>
          <w:szCs w:val="44"/>
        </w:rPr>
        <w:t>项目属于新建</w:t>
      </w:r>
      <w:r>
        <w:rPr>
          <w:rFonts w:hint="eastAsia" w:ascii="仿宋_GB2312" w:eastAsia="仿宋_GB2312"/>
          <w:bCs/>
          <w:color w:val="auto"/>
          <w:sz w:val="32"/>
          <w:szCs w:val="44"/>
          <w:lang w:eastAsia="zh-CN"/>
        </w:rPr>
        <w:t>工程</w:t>
      </w:r>
      <w:r>
        <w:rPr>
          <w:rFonts w:hint="eastAsia" w:ascii="仿宋_GB2312" w:eastAsia="仿宋_GB2312"/>
          <w:bCs/>
          <w:color w:val="auto"/>
          <w:sz w:val="32"/>
          <w:szCs w:val="44"/>
        </w:rPr>
        <w:t>，项目建设</w:t>
      </w:r>
      <w:r>
        <w:rPr>
          <w:rFonts w:hint="eastAsia" w:ascii="仿宋_GB2312" w:eastAsia="仿宋_GB2312"/>
          <w:bCs/>
          <w:color w:val="auto"/>
          <w:sz w:val="32"/>
          <w:szCs w:val="44"/>
          <w:lang w:eastAsia="zh-CN"/>
        </w:rPr>
        <w:t>工程</w:t>
      </w:r>
      <w:r>
        <w:rPr>
          <w:rFonts w:hint="eastAsia" w:ascii="仿宋_GB2312" w:eastAsia="仿宋_GB2312"/>
          <w:bCs/>
          <w:color w:val="auto"/>
          <w:sz w:val="32"/>
          <w:szCs w:val="44"/>
        </w:rPr>
        <w:t>主要包括：</w:t>
      </w:r>
      <w:r>
        <w:rPr>
          <w:rFonts w:hint="eastAsia" w:ascii="仿宋_GB2312" w:eastAsia="仿宋_GB2312"/>
          <w:bCs/>
          <w:color w:val="auto"/>
          <w:sz w:val="32"/>
          <w:szCs w:val="44"/>
          <w:lang w:eastAsia="zh-CN"/>
        </w:rPr>
        <w:t>宜柳高速</w:t>
      </w:r>
      <w:r>
        <w:rPr>
          <w:rFonts w:hint="eastAsia" w:ascii="仿宋_GB2312" w:eastAsia="仿宋_GB2312"/>
          <w:bCs/>
          <w:color w:val="auto"/>
          <w:sz w:val="32"/>
          <w:szCs w:val="44"/>
          <w:lang w:val="en-US" w:eastAsia="zh-CN"/>
        </w:rPr>
        <w:t>1114.985米，城市快速路42米，设</w:t>
      </w:r>
      <w:r>
        <w:rPr>
          <w:rFonts w:hint="eastAsia" w:ascii="仿宋_GB2312" w:hAnsi="Times New Roman" w:eastAsia="仿宋_GB2312" w:cs="Times New Roman"/>
          <w:bCs/>
          <w:color w:val="auto"/>
          <w:kern w:val="2"/>
          <w:sz w:val="32"/>
          <w:szCs w:val="44"/>
          <w:lang w:val="en-US" w:eastAsia="zh-CN" w:bidi="ar-SA"/>
        </w:rPr>
        <w:t>匝道5条，匝道总长2648.834米，其中A匝道长859.086米，路基宽16.5</w:t>
      </w:r>
      <w:r>
        <w:rPr>
          <w:rFonts w:hint="eastAsia" w:ascii="仿宋_GB2312" w:eastAsia="仿宋_GB2312" w:cs="Times New Roman"/>
          <w:bCs/>
          <w:color w:val="auto"/>
          <w:kern w:val="2"/>
          <w:sz w:val="32"/>
          <w:szCs w:val="44"/>
          <w:lang w:val="en-US" w:eastAsia="zh-CN" w:bidi="ar-SA"/>
        </w:rPr>
        <w:t>*</w:t>
      </w:r>
      <w:r>
        <w:rPr>
          <w:rFonts w:hint="eastAsia" w:ascii="仿宋_GB2312" w:hAnsi="Times New Roman" w:eastAsia="仿宋_GB2312" w:cs="Times New Roman"/>
          <w:bCs/>
          <w:color w:val="auto"/>
          <w:kern w:val="2"/>
          <w:sz w:val="32"/>
          <w:szCs w:val="44"/>
          <w:lang w:val="en-US" w:eastAsia="zh-CN" w:bidi="ar-SA"/>
        </w:rPr>
        <w:t>23.5米，B、C、D、E匝道共长1789.748米，路基宽9米；A匝道分别上跨九曲河、高速公路，分别设置3*25、4*30m的装配式预应力砼小箱梁跨线桥；设置7进13出收费站（含2进3出加宽车道，41563平方米广场面积），9亩收费管理站（1400m2房建面积）；设459.714米的连接道路，采用城市快速路标准，道路红线宽42米，道路上跨九曲河处，设置3*25</w:t>
      </w:r>
      <w:r>
        <w:rPr>
          <w:rFonts w:hint="eastAsia" w:ascii="仿宋_GB2312" w:eastAsia="仿宋_GB2312" w:cs="Times New Roman"/>
          <w:bCs/>
          <w:color w:val="auto"/>
          <w:kern w:val="2"/>
          <w:sz w:val="32"/>
          <w:szCs w:val="44"/>
          <w:lang w:val="en-US" w:eastAsia="zh-CN" w:bidi="ar-SA"/>
        </w:rPr>
        <w:t>米</w:t>
      </w:r>
      <w:r>
        <w:rPr>
          <w:rFonts w:hint="eastAsia" w:ascii="仿宋_GB2312" w:hAnsi="Times New Roman" w:eastAsia="仿宋_GB2312" w:cs="Times New Roman"/>
          <w:bCs/>
          <w:color w:val="auto"/>
          <w:kern w:val="2"/>
          <w:sz w:val="32"/>
          <w:szCs w:val="44"/>
          <w:lang w:val="en-US" w:eastAsia="zh-CN" w:bidi="ar-SA"/>
        </w:rPr>
        <w:t>装配式预应力砼小箱梁跨线桥。沥青混凝土路面，高速主线设计时速100km/h、匝道设计速度为40km/h、城市快速路设计速度60km/h。</w:t>
      </w:r>
      <w:r>
        <w:rPr>
          <w:rFonts w:hint="eastAsia" w:ascii="仿宋_GB2312" w:hAnsi="Times New Roman" w:eastAsia="仿宋_GB2312" w:cs="Times New Roman"/>
          <w:bCs/>
          <w:color w:val="auto"/>
          <w:sz w:val="32"/>
          <w:szCs w:val="44"/>
          <w:lang w:eastAsia="zh-CN"/>
        </w:rPr>
        <w:t>工程内容包括</w:t>
      </w:r>
      <w:r>
        <w:rPr>
          <w:rFonts w:hint="eastAsia" w:ascii="仿宋_GB2312" w:hAnsi="Times New Roman" w:eastAsia="仿宋_GB2312" w:cs="Times New Roman"/>
          <w:bCs/>
          <w:color w:val="auto"/>
          <w:sz w:val="32"/>
          <w:szCs w:val="44"/>
          <w:lang w:val="en-CA"/>
        </w:rPr>
        <w:t>道路工程、桥梁工程、交通工程、排水工程、照明工程、绿化工程</w:t>
      </w:r>
      <w:r>
        <w:rPr>
          <w:rFonts w:hint="eastAsia" w:ascii="仿宋_GB2312" w:eastAsia="仿宋_GB2312" w:cs="Times New Roman"/>
          <w:bCs/>
          <w:color w:val="auto"/>
          <w:sz w:val="32"/>
          <w:szCs w:val="44"/>
          <w:lang w:val="en-CA" w:eastAsia="zh-CN"/>
        </w:rPr>
        <w:t>等</w:t>
      </w:r>
      <w:r>
        <w:rPr>
          <w:rFonts w:hint="eastAsia" w:ascii="仿宋_GB2312" w:hAnsi="Times New Roman" w:eastAsia="仿宋_GB2312" w:cs="Times New Roman"/>
          <w:bCs/>
          <w:color w:val="auto"/>
          <w:sz w:val="32"/>
          <w:szCs w:val="44"/>
          <w:lang w:val="en-CA" w:eastAsia="zh-CN"/>
        </w:rPr>
        <w:t>。</w:t>
      </w:r>
      <w:r>
        <w:rPr>
          <w:rFonts w:hint="eastAsia" w:ascii="仿宋_GB2312" w:hAnsi="Times New Roman" w:eastAsia="仿宋_GB2312" w:cs="Times New Roman"/>
          <w:bCs/>
          <w:color w:val="auto"/>
          <w:sz w:val="32"/>
          <w:szCs w:val="44"/>
        </w:rPr>
        <w:t>项目总投资</w:t>
      </w:r>
      <w:r>
        <w:rPr>
          <w:rFonts w:hint="eastAsia" w:ascii="仿宋_GB2312" w:hAnsi="Times New Roman" w:eastAsia="仿宋_GB2312" w:cs="Times New Roman"/>
          <w:bCs/>
          <w:color w:val="auto"/>
          <w:sz w:val="32"/>
          <w:szCs w:val="44"/>
          <w:lang w:val="en-US" w:eastAsia="zh-CN"/>
        </w:rPr>
        <w:t>46444</w:t>
      </w:r>
      <w:r>
        <w:rPr>
          <w:rFonts w:hint="eastAsia" w:ascii="仿宋_GB2312" w:hAnsi="Times New Roman" w:eastAsia="仿宋_GB2312" w:cs="Times New Roman"/>
          <w:bCs/>
          <w:color w:val="auto"/>
          <w:sz w:val="32"/>
          <w:szCs w:val="44"/>
        </w:rPr>
        <w:t>万元，其中环保投资</w:t>
      </w:r>
      <w:r>
        <w:rPr>
          <w:rFonts w:hint="eastAsia" w:ascii="仿宋_GB2312" w:hAnsi="Times New Roman" w:eastAsia="仿宋_GB2312" w:cs="Times New Roman"/>
          <w:bCs/>
          <w:color w:val="auto"/>
          <w:sz w:val="32"/>
          <w:szCs w:val="44"/>
          <w:lang w:val="en-US" w:eastAsia="zh-CN"/>
        </w:rPr>
        <w:t>150</w:t>
      </w:r>
      <w:r>
        <w:rPr>
          <w:rFonts w:hint="eastAsia" w:ascii="仿宋_GB2312" w:hAnsi="Times New Roman" w:eastAsia="仿宋_GB2312" w:cs="Times New Roman"/>
          <w:bCs/>
          <w:color w:val="auto"/>
          <w:kern w:val="2"/>
          <w:sz w:val="32"/>
          <w:szCs w:val="44"/>
          <w:lang w:val="en-US" w:eastAsia="zh-CN" w:bidi="ar-SA"/>
        </w:rPr>
        <w:t>万元。</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项目已取得</w:t>
      </w:r>
      <w:r>
        <w:rPr>
          <w:rFonts w:hint="eastAsia" w:ascii="仿宋_GB2312" w:eastAsia="仿宋_GB2312"/>
          <w:bCs/>
          <w:color w:val="auto"/>
          <w:sz w:val="32"/>
          <w:szCs w:val="44"/>
        </w:rPr>
        <w:t>广西壮族自治区投资项目备案证明</w:t>
      </w:r>
      <w:r>
        <w:rPr>
          <w:rFonts w:hint="eastAsia" w:ascii="仿宋_GB2312" w:hAnsi="Times New Roman" w:eastAsia="仿宋_GB2312" w:cs="Times New Roman"/>
          <w:bCs/>
          <w:color w:val="auto"/>
          <w:kern w:val="2"/>
          <w:sz w:val="32"/>
          <w:szCs w:val="44"/>
          <w:lang w:val="en-US" w:eastAsia="zh-CN" w:bidi="ar-SA"/>
        </w:rPr>
        <w:t>，从环境影响角度考虑，同意你公司按照报告表所列的建设项目的地点、性质、规模、采取的环境保护对策措施及下述要求进行项目建设。</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二、项目须落实报告表提出的各项环保要求，重点抓好以下环保工作：</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（一）做好施工期扬尘防治工作，施工场地应采取围挡、遮盖、洒水降尘等措施以减轻污染。材料运输车辆要落实防撒落、防扬尘等措施。</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（二）施工废水经隔油、沉淀池处理后全部回用于施工场地洒水降尘，不外排。项目施工人员产生的生活污水经化粪池处理后用于周边林场施肥。</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三）做好施工期噪声防治工作，禁止在中午（12：00至14：30）、夜间（22：00至次日6：00）进行超过声环境质量标准的机械作业，其他时段进行施工，须采取有效的隔声降噪措施确保各施工阶段主要噪声源噪声限值达到GB12523-2011《建筑施工场界环境噪声排放标准》中的相关要求。确因抢修、抢险和施工技术需要连续作业的须提前5日向我局申报，得到夜间建筑施工证明，并提前2日公告周围居民；对周围环境敏感点设置临时性防治噪声污染的隔声屏障，以减轻施工噪声对周围环境的影响。</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四）做好施工区域土石方平衡设计，尽量减少挖方与弃方的产生。采取有效水土流失防治措施，并做好地表开挖后的生态恢复工作。及时清运建筑垃圾和弃土。弃土应运往相关部门指定点堆放。产生的建筑垃圾须按照《柳州市城市建筑垃圾管理办法》的要求及时清运处置，严禁堆放在路旁及居民区。</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（五）采用成品混凝土、沥青铺设路面，禁止现场搅拌，禁止现场熬制沥青，避免噪声、废气污染周围环境。</w:t>
      </w:r>
    </w:p>
    <w:p>
      <w:pPr>
        <w:pStyle w:val="2"/>
        <w:ind w:left="0" w:leftChars="0" w:firstLine="640" w:firstLineChars="200"/>
        <w:rPr>
          <w:rFonts w:hint="default" w:ascii="仿宋_GB2312" w:hAnsi="Times New Roman" w:eastAsia="仿宋_GB2312" w:cs="Times New Roman"/>
          <w:bCs/>
          <w:color w:val="auto"/>
          <w:kern w:val="2"/>
          <w:sz w:val="32"/>
          <w:szCs w:val="44"/>
          <w:lang w:val="en-US" w:eastAsia="zh-CN" w:bidi="ar-SA"/>
        </w:rPr>
      </w:pPr>
      <w:r>
        <w:rPr>
          <w:rFonts w:hint="eastAsia" w:ascii="仿宋_GB2312" w:eastAsia="仿宋_GB2312" w:cs="Times New Roman"/>
          <w:bCs/>
          <w:color w:val="auto"/>
          <w:kern w:val="2"/>
          <w:sz w:val="32"/>
          <w:szCs w:val="44"/>
          <w:lang w:val="en-US" w:eastAsia="zh-CN" w:bidi="ar-SA"/>
        </w:rPr>
        <w:t>（六）对营运期生活污水经地埋式污水处理设备处理后，确保污染物排放浓度达到GB5084-2005</w:t>
      </w:r>
      <w:r>
        <w:rPr>
          <w:rFonts w:hint="eastAsia" w:ascii="仿宋_GB2312" w:hAnsi="Times New Roman" w:eastAsia="仿宋_GB2312" w:cs="Times New Roman"/>
          <w:bCs/>
          <w:color w:val="auto"/>
          <w:kern w:val="2"/>
          <w:sz w:val="32"/>
          <w:szCs w:val="44"/>
          <w:lang w:val="en-US" w:eastAsia="zh-CN" w:bidi="ar-SA"/>
        </w:rPr>
        <w:t>《</w:t>
      </w:r>
      <w:r>
        <w:rPr>
          <w:rFonts w:hint="eastAsia" w:ascii="仿宋_GB2312" w:eastAsia="仿宋_GB2312" w:cs="Times New Roman"/>
          <w:bCs/>
          <w:color w:val="auto"/>
          <w:kern w:val="2"/>
          <w:sz w:val="32"/>
          <w:szCs w:val="44"/>
          <w:lang w:val="en-US" w:eastAsia="zh-CN" w:bidi="ar-SA"/>
        </w:rPr>
        <w:t>农田灌溉水质标准</w:t>
      </w:r>
      <w:r>
        <w:rPr>
          <w:rFonts w:hint="eastAsia" w:ascii="仿宋_GB2312" w:hAnsi="Times New Roman" w:eastAsia="仿宋_GB2312" w:cs="Times New Roman"/>
          <w:bCs/>
          <w:color w:val="auto"/>
          <w:kern w:val="2"/>
          <w:sz w:val="32"/>
          <w:szCs w:val="44"/>
          <w:lang w:val="en-US" w:eastAsia="zh-CN" w:bidi="ar-SA"/>
        </w:rPr>
        <w:t>》</w:t>
      </w:r>
      <w:r>
        <w:rPr>
          <w:rFonts w:hint="eastAsia" w:ascii="仿宋_GB2312" w:eastAsia="仿宋_GB2312" w:cs="Times New Roman"/>
          <w:bCs/>
          <w:color w:val="auto"/>
          <w:kern w:val="2"/>
          <w:sz w:val="32"/>
          <w:szCs w:val="44"/>
          <w:lang w:val="en-US" w:eastAsia="zh-CN" w:bidi="ar-SA"/>
        </w:rPr>
        <w:t>中旱作标准后用于周边林地灌溉。</w:t>
      </w:r>
    </w:p>
    <w:p>
      <w:pPr>
        <w:spacing w:line="540" w:lineRule="exact"/>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 xml:space="preserve">    （</w:t>
      </w:r>
      <w:r>
        <w:rPr>
          <w:rFonts w:hint="eastAsia" w:ascii="仿宋_GB2312" w:eastAsia="仿宋_GB2312" w:cs="Times New Roman"/>
          <w:bCs/>
          <w:color w:val="auto"/>
          <w:kern w:val="2"/>
          <w:sz w:val="32"/>
          <w:szCs w:val="44"/>
          <w:lang w:val="en-US" w:eastAsia="zh-CN" w:bidi="ar-SA"/>
        </w:rPr>
        <w:t>七</w:t>
      </w:r>
      <w:r>
        <w:rPr>
          <w:rFonts w:hint="eastAsia" w:ascii="仿宋_GB2312" w:hAnsi="Times New Roman" w:eastAsia="仿宋_GB2312" w:cs="Times New Roman"/>
          <w:bCs/>
          <w:color w:val="auto"/>
          <w:kern w:val="2"/>
          <w:sz w:val="32"/>
          <w:szCs w:val="44"/>
          <w:lang w:val="en-US" w:eastAsia="zh-CN" w:bidi="ar-SA"/>
        </w:rPr>
        <w:t>）对营运期噪声预测超标的声环境敏感目标，采取加装隔音密封条等降噪措施后，确保其声环境质量达到GB3096-2008《声环境质量标准》相应标准。</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w:t>
      </w:r>
      <w:r>
        <w:rPr>
          <w:rFonts w:hint="eastAsia" w:ascii="仿宋_GB2312" w:eastAsia="仿宋_GB2312" w:cs="Times New Roman"/>
          <w:bCs/>
          <w:color w:val="auto"/>
          <w:kern w:val="2"/>
          <w:sz w:val="32"/>
          <w:szCs w:val="44"/>
          <w:lang w:val="en-US" w:eastAsia="zh-CN" w:bidi="ar-SA"/>
        </w:rPr>
        <w:t>八</w:t>
      </w:r>
      <w:r>
        <w:rPr>
          <w:rFonts w:hint="eastAsia" w:ascii="仿宋_GB2312" w:hAnsi="Times New Roman" w:eastAsia="仿宋_GB2312" w:cs="Times New Roman"/>
          <w:bCs/>
          <w:color w:val="auto"/>
          <w:kern w:val="2"/>
          <w:sz w:val="32"/>
          <w:szCs w:val="44"/>
          <w:lang w:val="en-US" w:eastAsia="zh-CN" w:bidi="ar-SA"/>
        </w:rPr>
        <w:t>）加强环境管理，制定并落实环境保护规章制度，落实环境风险防范措施，确保环保措施的有效落实。</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三、该项目建设必须严格执行环境保护设施与主体工程同时设计、同时施工、同时投产使用的环境保护“三同时”制度，落实各项环境保护措施。工程建成后，须按《建设项目竣工环境保护验收暂行办法》要求实施竣工环境保护验收。</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四、建设项目的性质、规模、地点、采用的生产工艺或者防治污染、防止生态破坏的措施发生重大变动的，建设单位应当重新报批建设项目的环境影响评价文件。</w:t>
      </w:r>
    </w:p>
    <w:p>
      <w:pPr>
        <w:spacing w:line="540" w:lineRule="exact"/>
        <w:ind w:firstLine="640" w:firstLineChars="200"/>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五、建设单位在接到本批复5日内，将批复文件及批准后的《报告表》（报批稿）送达柳州市柳江生态环境局,并按规定接受辖区生态环境部门的监管检查。</w:t>
      </w:r>
    </w:p>
    <w:p>
      <w:pPr>
        <w:spacing w:line="540" w:lineRule="exact"/>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 xml:space="preserve">               </w:t>
      </w:r>
    </w:p>
    <w:p>
      <w:pPr>
        <w:spacing w:line="540" w:lineRule="exact"/>
        <w:rPr>
          <w:rFonts w:hint="eastAsia" w:ascii="仿宋_GB2312" w:hAnsi="Times New Roman" w:eastAsia="仿宋_GB2312" w:cs="Times New Roman"/>
          <w:bCs/>
          <w:color w:val="auto"/>
          <w:kern w:val="2"/>
          <w:sz w:val="32"/>
          <w:szCs w:val="44"/>
          <w:lang w:val="en-US" w:eastAsia="zh-CN" w:bidi="ar-SA"/>
        </w:rPr>
      </w:pPr>
      <w:r>
        <w:rPr>
          <w:rFonts w:hint="eastAsia" w:ascii="仿宋_GB2312" w:hAnsi="Times New Roman" w:eastAsia="仿宋_GB2312" w:cs="Times New Roman"/>
          <w:bCs/>
          <w:color w:val="auto"/>
          <w:kern w:val="2"/>
          <w:sz w:val="32"/>
          <w:szCs w:val="44"/>
          <w:lang w:val="en-US" w:eastAsia="zh-CN" w:bidi="ar-SA"/>
        </w:rPr>
        <w:t xml:space="preserve">                               </w:t>
      </w:r>
    </w:p>
    <w:p>
      <w:pPr>
        <w:spacing w:line="540" w:lineRule="exact"/>
        <w:ind w:firstLine="640" w:firstLineChars="200"/>
        <w:jc w:val="left"/>
        <w:rPr>
          <w:rFonts w:hint="eastAsia" w:ascii="仿宋_GB2312" w:eastAsia="仿宋_GB2312"/>
          <w:color w:val="0000FF"/>
          <w:sz w:val="32"/>
          <w:lang w:val="en-US" w:eastAsia="zh-CN"/>
        </w:rPr>
      </w:pPr>
    </w:p>
    <w:p>
      <w:pPr>
        <w:spacing w:line="540" w:lineRule="exact"/>
        <w:ind w:firstLine="640" w:firstLineChars="200"/>
        <w:jc w:val="left"/>
        <w:rPr>
          <w:rFonts w:hint="eastAsia" w:ascii="仿宋_GB2312" w:eastAsia="仿宋_GB2312"/>
          <w:color w:val="0000FF"/>
          <w:sz w:val="32"/>
          <w:lang w:val="en-US" w:eastAsia="zh-CN"/>
        </w:rPr>
      </w:pPr>
    </w:p>
    <w:p>
      <w:pPr>
        <w:spacing w:line="540" w:lineRule="exact"/>
        <w:ind w:firstLine="640" w:firstLineChars="200"/>
        <w:jc w:val="left"/>
        <w:rPr>
          <w:rFonts w:hint="eastAsia" w:ascii="仿宋_GB2312" w:eastAsia="仿宋_GB2312"/>
          <w:color w:val="0000FF"/>
          <w:sz w:val="32"/>
          <w:lang w:val="en-US" w:eastAsia="zh-CN"/>
        </w:rPr>
      </w:pPr>
    </w:p>
    <w:p>
      <w:pPr>
        <w:spacing w:line="540" w:lineRule="exact"/>
        <w:ind w:firstLine="640" w:firstLineChars="200"/>
        <w:jc w:val="left"/>
        <w:rPr>
          <w:rFonts w:ascii="仿宋" w:hAnsi="仿宋" w:eastAsia="仿宋"/>
          <w:color w:val="auto"/>
          <w:sz w:val="30"/>
          <w:szCs w:val="30"/>
        </w:rPr>
      </w:pPr>
      <w:r>
        <w:rPr>
          <w:rFonts w:hint="eastAsia" w:ascii="仿宋_GB2312" w:eastAsia="仿宋_GB2312"/>
          <w:color w:val="0000FF"/>
          <w:sz w:val="32"/>
          <w:lang w:val="en-US" w:eastAsia="zh-CN"/>
        </w:rPr>
        <w:t xml:space="preserve">                              </w:t>
      </w:r>
      <w:r>
        <w:rPr>
          <w:rFonts w:hint="eastAsia" w:ascii="仿宋_GB2312" w:eastAsia="仿宋_GB2312"/>
          <w:color w:val="auto"/>
          <w:sz w:val="32"/>
          <w:lang w:val="en-US" w:eastAsia="zh-CN"/>
        </w:rPr>
        <w:t xml:space="preserve"> </w:t>
      </w:r>
      <w:r>
        <w:rPr>
          <w:rFonts w:hint="eastAsia" w:ascii="仿宋_GB2312" w:eastAsia="仿宋_GB2312"/>
          <w:color w:val="auto"/>
          <w:sz w:val="32"/>
        </w:rPr>
        <w:t>2020年8月</w:t>
      </w:r>
      <w:r>
        <w:rPr>
          <w:rFonts w:hint="eastAsia" w:ascii="仿宋_GB2312" w:eastAsia="仿宋_GB2312"/>
          <w:color w:val="auto"/>
          <w:sz w:val="32"/>
          <w:lang w:val="en-US" w:eastAsia="zh-CN"/>
        </w:rPr>
        <w:t>24</w:t>
      </w:r>
      <w:r>
        <w:rPr>
          <w:rFonts w:hint="eastAsia" w:ascii="仿宋_GB2312" w:eastAsia="仿宋_GB2312"/>
          <w:color w:val="auto"/>
          <w:sz w:val="32"/>
        </w:rPr>
        <w:t>日</w:t>
      </w:r>
    </w:p>
    <w:p>
      <w:pPr>
        <w:spacing w:line="540" w:lineRule="exact"/>
        <w:jc w:val="left"/>
        <w:rPr>
          <w:rFonts w:hint="eastAsia" w:ascii="仿宋_GB2312" w:eastAsia="仿宋_GB2312"/>
          <w:color w:val="auto"/>
          <w:sz w:val="32"/>
        </w:rPr>
      </w:pPr>
    </w:p>
    <w:p>
      <w:pPr>
        <w:spacing w:line="540" w:lineRule="exact"/>
        <w:jc w:val="left"/>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pStyle w:val="2"/>
        <w:rPr>
          <w:rFonts w:hint="eastAsia" w:ascii="仿宋_GB2312" w:eastAsia="仿宋_GB2312"/>
          <w:color w:val="auto"/>
          <w:sz w:val="32"/>
        </w:rPr>
      </w:pPr>
    </w:p>
    <w:p>
      <w:pPr>
        <w:spacing w:line="540" w:lineRule="exact"/>
        <w:jc w:val="left"/>
        <w:rPr>
          <w:rFonts w:ascii="仿宋_GB2312" w:eastAsia="仿宋_GB2312"/>
          <w:color w:val="auto"/>
          <w:sz w:val="32"/>
        </w:rPr>
      </w:pPr>
      <w:r>
        <w:rPr>
          <w:rFonts w:hint="eastAsia" w:ascii="仿宋_GB2312" w:eastAsia="仿宋_GB2312"/>
          <w:color w:val="auto"/>
          <w:sz w:val="32"/>
        </w:rPr>
        <w:t>（信息是否公开：主动公开）</w:t>
      </w:r>
    </w:p>
    <w:p>
      <w:pPr>
        <w:spacing w:line="540" w:lineRule="exact"/>
        <w:jc w:val="left"/>
        <w:rPr>
          <w:rFonts w:ascii="仿宋_GB2312" w:eastAsia="仿宋_GB2312"/>
          <w:color w:val="auto"/>
          <w:sz w:val="32"/>
        </w:rPr>
      </w:pPr>
      <w:r>
        <w:rPr>
          <w:rFonts w:hint="eastAsia" w:ascii="仿宋" w:hAnsi="仿宋" w:eastAsia="仿宋"/>
          <w:color w:val="auto"/>
          <w:sz w:val="30"/>
          <w:szCs w:val="30"/>
          <w:u w:val="single"/>
        </w:rPr>
        <w:t xml:space="preserve">  </w:t>
      </w:r>
      <w:r>
        <w:rPr>
          <w:rFonts w:hint="eastAsia" w:ascii="仿宋_GB2312" w:eastAsia="仿宋_GB2312"/>
          <w:color w:val="auto"/>
          <w:sz w:val="28"/>
          <w:szCs w:val="28"/>
          <w:u w:val="single"/>
        </w:rPr>
        <w:t xml:space="preserve">  投资项目在线审批监管平台项目代码：</w:t>
      </w:r>
      <w:r>
        <w:rPr>
          <w:rFonts w:hint="eastAsia" w:ascii="仿宋_GB2312" w:eastAsia="仿宋_GB2312"/>
          <w:color w:val="auto"/>
          <w:sz w:val="28"/>
          <w:szCs w:val="28"/>
          <w:u w:val="single"/>
          <w:lang w:val="en-US" w:eastAsia="zh-CN"/>
        </w:rPr>
        <w:t>2018-450221-48-01-027791</w:t>
      </w:r>
      <w:r>
        <w:rPr>
          <w:rFonts w:hint="eastAsia" w:ascii="仿宋_GB2312" w:eastAsia="仿宋_GB2312"/>
          <w:color w:val="auto"/>
          <w:sz w:val="28"/>
          <w:szCs w:val="28"/>
          <w:u w:val="single"/>
        </w:rPr>
        <w:t xml:space="preserve">     </w:t>
      </w:r>
      <w:r>
        <w:rPr>
          <w:rFonts w:hint="eastAsia" w:ascii="仿宋_GB2312" w:eastAsia="仿宋_GB2312"/>
          <w:color w:val="auto"/>
          <w:sz w:val="32"/>
        </w:rPr>
        <w:t xml:space="preserve">  </w:t>
      </w:r>
    </w:p>
    <w:p>
      <w:pPr>
        <w:spacing w:line="540" w:lineRule="exact"/>
        <w:jc w:val="left"/>
        <w:rPr>
          <w:rFonts w:ascii="仿宋_GB2312" w:eastAsia="仿宋_GB2312"/>
          <w:color w:val="auto"/>
          <w:sz w:val="32"/>
          <w:u w:val="single"/>
        </w:rPr>
      </w:pPr>
      <w:r>
        <w:rPr>
          <w:rFonts w:hint="eastAsia" w:ascii="仿宋_GB2312" w:eastAsia="仿宋_GB2312"/>
          <w:color w:val="auto"/>
          <w:sz w:val="32"/>
          <w:u w:val="single"/>
        </w:rPr>
        <w:t xml:space="preserve">抄送:柳州市柳江生态环境局                                       </w:t>
      </w:r>
    </w:p>
    <w:p>
      <w:pPr>
        <w:spacing w:line="540" w:lineRule="exact"/>
        <w:jc w:val="left"/>
        <w:rPr>
          <w:rFonts w:ascii="仿宋_GB2312" w:eastAsia="仿宋_GB2312"/>
          <w:color w:val="auto"/>
          <w:sz w:val="32"/>
        </w:rPr>
      </w:pPr>
      <w:r>
        <w:rPr>
          <w:rFonts w:hint="eastAsia" w:ascii="仿宋_GB2312" w:eastAsia="仿宋_GB2312"/>
          <w:color w:val="auto"/>
          <w:sz w:val="32"/>
        </w:rPr>
        <w:t>柳州市柳江区行政审批局            2020年月8日</w:t>
      </w:r>
      <w:r>
        <w:rPr>
          <w:rFonts w:hint="eastAsia" w:ascii="仿宋_GB2312" w:eastAsia="仿宋_GB2312"/>
          <w:color w:val="auto"/>
          <w:sz w:val="32"/>
          <w:lang w:val="en-US" w:eastAsia="zh-CN"/>
        </w:rPr>
        <w:t>24</w:t>
      </w:r>
      <w:r>
        <w:rPr>
          <w:rFonts w:hint="eastAsia" w:ascii="仿宋_GB2312" w:eastAsia="仿宋_GB2312"/>
          <w:color w:val="auto"/>
          <w:sz w:val="32"/>
        </w:rPr>
        <w:t xml:space="preserve">日印发 </w:t>
      </w:r>
    </w:p>
    <w:p/>
    <w:sectPr>
      <w:headerReference r:id="rId3" w:type="default"/>
      <w:footerReference r:id="rId4" w:type="default"/>
      <w:footerReference r:id="rId5" w:type="even"/>
      <w:pgSz w:w="11906" w:h="16838"/>
      <w:pgMar w:top="1984" w:right="1361" w:bottom="1417"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2</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93224"/>
    <w:rsid w:val="04BB1A20"/>
    <w:rsid w:val="06934161"/>
    <w:rsid w:val="0A9E5EE8"/>
    <w:rsid w:val="0CA21F05"/>
    <w:rsid w:val="13C73B47"/>
    <w:rsid w:val="14C27FCC"/>
    <w:rsid w:val="191D3A0F"/>
    <w:rsid w:val="1CEA45D8"/>
    <w:rsid w:val="2AC423ED"/>
    <w:rsid w:val="2D0E6C75"/>
    <w:rsid w:val="31EC7DBD"/>
    <w:rsid w:val="3AAD04E0"/>
    <w:rsid w:val="3C135D8D"/>
    <w:rsid w:val="46D07FFA"/>
    <w:rsid w:val="4B1F192E"/>
    <w:rsid w:val="61124F8B"/>
    <w:rsid w:val="61164257"/>
    <w:rsid w:val="64031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2"/>
      <w:sz w:val="21"/>
      <w:szCs w:val="22"/>
    </w:rPr>
  </w:style>
  <w:style w:type="paragraph" w:styleId="3">
    <w:name w:val="Body Text"/>
    <w:basedOn w:val="1"/>
    <w:qFormat/>
    <w:uiPriority w:val="99"/>
    <w:rPr>
      <w:b/>
      <w:sz w:val="3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qFormat/>
    <w:uiPriority w:val="99"/>
    <w:pPr>
      <w:spacing w:line="600" w:lineRule="exact"/>
      <w:jc w:val="center"/>
    </w:pPr>
    <w:rPr>
      <w:rFonts w:ascii="方正小标宋简体" w:eastAsia="方正小标宋简体"/>
      <w:bCs/>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2020-08-17T05:45:00Z</dcterms:created>
  <dc:creator>Administrator.LJZH-20200508ZI</dc:creator>
  <cp:lastModifiedBy>兔小白</cp:lastModifiedBy>
  <dcterms:modified xsi:type="dcterms:W3CDTF">2020-08-24T05:01:33Z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