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imes New Roman" w:hAnsi="Times New Roman" w:eastAsia="黑体"/>
          <w:color w:val="000000"/>
          <w:sz w:val="32"/>
          <w:szCs w:val="32"/>
        </w:rPr>
      </w:pPr>
      <w:r>
        <w:rPr>
          <w:rFonts w:hint="eastAsia" w:ascii="Times New Roman" w:hAnsi="Times New Roman" w:eastAsia="黑体"/>
          <w:color w:val="000000"/>
          <w:sz w:val="32"/>
          <w:szCs w:val="32"/>
        </w:rPr>
        <w:t>附件</w:t>
      </w:r>
    </w:p>
    <w:p>
      <w:pPr>
        <w:spacing w:line="600" w:lineRule="exact"/>
        <w:rPr>
          <w:rFonts w:hint="eastAsia" w:ascii="Times New Roman" w:hAnsi="Times New Roman" w:eastAsia="黑体"/>
          <w:b/>
          <w:color w:val="000000"/>
          <w:szCs w:val="32"/>
        </w:rPr>
      </w:pPr>
    </w:p>
    <w:p>
      <w:pPr>
        <w:spacing w:line="600" w:lineRule="exact"/>
        <w:rPr>
          <w:rFonts w:hint="eastAsia" w:ascii="Times New Roman" w:hAnsi="Times New Roman" w:eastAsia="黑体"/>
          <w:b/>
          <w:color w:val="000000"/>
          <w:szCs w:val="32"/>
        </w:rPr>
      </w:pPr>
    </w:p>
    <w:p>
      <w:pPr>
        <w:spacing w:line="600" w:lineRule="exact"/>
        <w:rPr>
          <w:rFonts w:hint="eastAsia" w:ascii="Times New Roman" w:hAnsi="Times New Roman" w:eastAsia="黑体"/>
          <w:b/>
          <w:color w:val="000000"/>
          <w:szCs w:val="32"/>
        </w:rPr>
      </w:pPr>
    </w:p>
    <w:p>
      <w:pPr>
        <w:spacing w:line="600" w:lineRule="exact"/>
        <w:rPr>
          <w:rFonts w:hint="eastAsia" w:ascii="Times New Roman" w:hAnsi="Times New Roman" w:eastAsia="黑体"/>
          <w:b/>
          <w:color w:val="000000"/>
          <w:szCs w:val="32"/>
        </w:rPr>
      </w:pPr>
    </w:p>
    <w:p>
      <w:pPr>
        <w:spacing w:line="600" w:lineRule="exact"/>
        <w:jc w:val="center"/>
        <w:rPr>
          <w:rFonts w:hint="eastAsia" w:ascii="Times New Roman" w:hAnsi="Times New Roman" w:eastAsia="方正小标宋简体"/>
          <w:color w:val="000000"/>
          <w:sz w:val="44"/>
          <w:szCs w:val="44"/>
        </w:rPr>
      </w:pPr>
      <w:r>
        <w:rPr>
          <w:rFonts w:hint="eastAsia" w:ascii="Times New Roman" w:hAnsi="Times New Roman" w:eastAsia="方正小标宋简体"/>
          <w:color w:val="000000"/>
          <w:sz w:val="44"/>
          <w:szCs w:val="44"/>
        </w:rPr>
        <w:t>柳州市柳江区</w:t>
      </w:r>
      <w:r>
        <w:rPr>
          <w:rFonts w:ascii="Times New Roman" w:hAnsi="Times New Roman" w:eastAsia="方正小标宋简体"/>
          <w:color w:val="000000"/>
          <w:sz w:val="44"/>
          <w:szCs w:val="44"/>
        </w:rPr>
        <w:t>河道管理范围内建设项目</w:t>
      </w:r>
    </w:p>
    <w:p>
      <w:pPr>
        <w:spacing w:line="600" w:lineRule="exact"/>
        <w:jc w:val="center"/>
        <w:rPr>
          <w:rFonts w:ascii="Times New Roman" w:hAnsi="Times New Roman" w:eastAsia="方正小标宋简体"/>
          <w:color w:val="000000"/>
          <w:sz w:val="44"/>
          <w:szCs w:val="44"/>
        </w:rPr>
      </w:pPr>
      <w:r>
        <w:rPr>
          <w:rFonts w:hint="eastAsia" w:ascii="Times New Roman" w:hAnsi="Times New Roman" w:eastAsia="方正小标宋简体"/>
          <w:color w:val="000000"/>
          <w:sz w:val="44"/>
          <w:szCs w:val="44"/>
        </w:rPr>
        <w:t>水</w:t>
      </w:r>
      <w:r>
        <w:rPr>
          <w:rFonts w:ascii="Times New Roman" w:hAnsi="Times New Roman" w:eastAsia="方正小标宋简体"/>
          <w:color w:val="000000"/>
          <w:sz w:val="44"/>
          <w:szCs w:val="44"/>
        </w:rPr>
        <w:t>行政许</w:t>
      </w:r>
      <w:bookmarkStart w:id="0" w:name="_GoBack"/>
      <w:bookmarkEnd w:id="0"/>
      <w:r>
        <w:rPr>
          <w:rFonts w:ascii="Times New Roman" w:hAnsi="Times New Roman" w:eastAsia="方正小标宋简体"/>
          <w:color w:val="000000"/>
          <w:sz w:val="44"/>
          <w:szCs w:val="44"/>
        </w:rPr>
        <w:t>可决定书</w:t>
      </w:r>
    </w:p>
    <w:p>
      <w:pPr>
        <w:spacing w:line="360" w:lineRule="auto"/>
        <w:ind w:firstLine="629"/>
        <w:rPr>
          <w:rFonts w:ascii="Times New Roman" w:hAnsi="Times New Roman" w:eastAsia="仿宋"/>
          <w:color w:val="000000"/>
          <w:sz w:val="32"/>
        </w:rPr>
      </w:pPr>
    </w:p>
    <w:p>
      <w:pPr>
        <w:spacing w:line="360" w:lineRule="auto"/>
        <w:ind w:firstLine="629"/>
        <w:rPr>
          <w:rFonts w:ascii="Times New Roman" w:hAnsi="Times New Roman" w:eastAsia="仿宋"/>
          <w:color w:val="000000"/>
          <w:sz w:val="32"/>
        </w:rPr>
      </w:pPr>
    </w:p>
    <w:p>
      <w:pPr>
        <w:spacing w:line="360" w:lineRule="auto"/>
        <w:rPr>
          <w:rFonts w:ascii="Times New Roman" w:hAnsi="Times New Roman" w:eastAsia="仿宋"/>
          <w:color w:val="000000"/>
          <w:sz w:val="32"/>
        </w:rPr>
      </w:pPr>
    </w:p>
    <w:p>
      <w:pPr>
        <w:spacing w:line="360" w:lineRule="auto"/>
        <w:ind w:firstLine="629"/>
        <w:jc w:val="center"/>
        <w:rPr>
          <w:rFonts w:ascii="Times New Roman" w:hAnsi="Times New Roman" w:eastAsia="仿宋"/>
          <w:b/>
          <w:color w:val="000000"/>
          <w:sz w:val="36"/>
          <w:szCs w:val="36"/>
        </w:rPr>
      </w:pPr>
    </w:p>
    <w:p>
      <w:pPr>
        <w:spacing w:line="360" w:lineRule="auto"/>
        <w:ind w:firstLine="629"/>
        <w:jc w:val="center"/>
        <w:rPr>
          <w:rFonts w:ascii="Times New Roman" w:hAnsi="Times New Roman" w:eastAsia="仿宋"/>
          <w:b/>
          <w:color w:val="000000"/>
          <w:sz w:val="36"/>
          <w:szCs w:val="36"/>
        </w:rPr>
      </w:pPr>
    </w:p>
    <w:p>
      <w:pPr>
        <w:spacing w:line="360" w:lineRule="auto"/>
        <w:rPr>
          <w:rFonts w:hint="eastAsia" w:ascii="Times New Roman" w:hAnsi="Times New Roman" w:eastAsia="仿宋"/>
          <w:b/>
          <w:color w:val="000000"/>
          <w:sz w:val="36"/>
          <w:szCs w:val="36"/>
        </w:rPr>
      </w:pPr>
    </w:p>
    <w:p>
      <w:pPr>
        <w:spacing w:line="360" w:lineRule="auto"/>
        <w:rPr>
          <w:rFonts w:hint="eastAsia" w:ascii="Times New Roman" w:hAnsi="Times New Roman" w:eastAsia="仿宋"/>
          <w:b/>
          <w:color w:val="000000"/>
          <w:sz w:val="36"/>
          <w:szCs w:val="36"/>
        </w:rPr>
      </w:pPr>
    </w:p>
    <w:p>
      <w:pPr>
        <w:spacing w:line="360" w:lineRule="auto"/>
        <w:rPr>
          <w:rFonts w:hint="eastAsia" w:ascii="Times New Roman" w:hAnsi="Times New Roman" w:eastAsia="仿宋"/>
          <w:b/>
          <w:color w:val="000000"/>
          <w:sz w:val="36"/>
          <w:szCs w:val="36"/>
        </w:rPr>
      </w:pPr>
    </w:p>
    <w:p>
      <w:pPr>
        <w:spacing w:line="360" w:lineRule="auto"/>
        <w:rPr>
          <w:rFonts w:hint="eastAsia" w:ascii="Times New Roman" w:hAnsi="Times New Roman" w:eastAsia="仿宋"/>
          <w:b/>
          <w:color w:val="000000"/>
          <w:sz w:val="36"/>
          <w:szCs w:val="36"/>
        </w:rPr>
      </w:pPr>
    </w:p>
    <w:p>
      <w:pPr>
        <w:spacing w:line="360" w:lineRule="auto"/>
        <w:ind w:firstLine="629"/>
        <w:jc w:val="center"/>
        <w:rPr>
          <w:rFonts w:hint="eastAsia" w:ascii="Times New Roman" w:hAnsi="Times New Roman" w:eastAsia="仿宋"/>
          <w:b/>
          <w:color w:val="000000"/>
          <w:sz w:val="36"/>
          <w:szCs w:val="36"/>
        </w:rPr>
      </w:pPr>
    </w:p>
    <w:p>
      <w:pPr>
        <w:spacing w:line="360" w:lineRule="auto"/>
        <w:ind w:firstLine="629"/>
        <w:jc w:val="center"/>
        <w:rPr>
          <w:rFonts w:ascii="Times New Roman" w:hAnsi="Times New Roman" w:eastAsia="仿宋"/>
          <w:b/>
          <w:color w:val="000000"/>
          <w:sz w:val="36"/>
          <w:szCs w:val="36"/>
        </w:rPr>
      </w:pPr>
    </w:p>
    <w:p>
      <w:pPr>
        <w:spacing w:line="360" w:lineRule="auto"/>
        <w:jc w:val="center"/>
        <w:rPr>
          <w:rFonts w:ascii="Times New Roman" w:hAnsi="Times New Roman" w:eastAsia="黑体"/>
          <w:color w:val="000000"/>
          <w:sz w:val="30"/>
          <w:szCs w:val="30"/>
        </w:rPr>
      </w:pPr>
      <w:r>
        <w:rPr>
          <w:rFonts w:hint="eastAsia" w:ascii="Times New Roman" w:hAnsi="Times New Roman" w:eastAsia="黑体"/>
          <w:color w:val="000000"/>
          <w:sz w:val="30"/>
          <w:szCs w:val="30"/>
        </w:rPr>
        <w:t>柳州市柳江区行政审批局</w:t>
      </w:r>
      <w:r>
        <w:rPr>
          <w:rFonts w:ascii="Times New Roman" w:hAnsi="Times New Roman" w:eastAsia="黑体"/>
          <w:color w:val="000000"/>
          <w:sz w:val="30"/>
          <w:szCs w:val="30"/>
        </w:rPr>
        <w:t>制</w:t>
      </w:r>
    </w:p>
    <w:p>
      <w:pPr>
        <w:spacing w:before="360" w:beforeLines="150" w:after="360" w:afterLines="150"/>
        <w:jc w:val="center"/>
        <w:rPr>
          <w:rFonts w:ascii="Times New Roman" w:hAnsi="Times New Roman" w:eastAsia="方正小标宋简体"/>
          <w:b/>
          <w:color w:val="000000"/>
          <w:sz w:val="36"/>
          <w:szCs w:val="36"/>
        </w:rPr>
        <w:sectPr>
          <w:footerReference r:id="rId3" w:type="default"/>
          <w:footerReference r:id="rId4" w:type="even"/>
          <w:pgSz w:w="11906" w:h="16838"/>
          <w:pgMar w:top="1928" w:right="1474" w:bottom="1701" w:left="1531" w:header="851" w:footer="1191" w:gutter="0"/>
          <w:cols w:space="720" w:num="1"/>
          <w:docGrid w:linePitch="312" w:charSpace="0"/>
        </w:sectPr>
      </w:pPr>
    </w:p>
    <w:p>
      <w:pPr>
        <w:spacing w:before="360" w:beforeLines="150" w:after="360" w:afterLines="150"/>
        <w:jc w:val="center"/>
        <w:rPr>
          <w:rFonts w:ascii="Times New Roman" w:hAnsi="Times New Roman" w:eastAsia="黑体"/>
          <w:color w:val="000000"/>
          <w:sz w:val="36"/>
          <w:szCs w:val="36"/>
        </w:rPr>
      </w:pPr>
      <w:r>
        <w:rPr>
          <w:rFonts w:ascii="Times New Roman" w:hAnsi="Times New Roman" w:eastAsia="黑体"/>
          <w:color w:val="000000"/>
          <w:sz w:val="36"/>
          <w:szCs w:val="36"/>
        </w:rPr>
        <w:t>说 明 事 项</w:t>
      </w:r>
    </w:p>
    <w:p>
      <w:pPr>
        <w:spacing w:line="572" w:lineRule="exact"/>
        <w:ind w:firstLine="640" w:firstLineChars="200"/>
        <w:rPr>
          <w:rFonts w:ascii="Times New Roman" w:hAnsi="Times New Roman" w:eastAsia="仿宋_GB2312"/>
          <w:color w:val="000000"/>
          <w:sz w:val="32"/>
          <w:szCs w:val="32"/>
        </w:rPr>
      </w:pPr>
      <w:r>
        <w:rPr>
          <w:rFonts w:ascii="Times New Roman" w:eastAsia="仿宋_GB2312"/>
          <w:color w:val="000000"/>
          <w:sz w:val="32"/>
          <w:szCs w:val="32"/>
        </w:rPr>
        <w:t>一、《</w:t>
      </w:r>
      <w:r>
        <w:rPr>
          <w:rFonts w:hint="eastAsia" w:ascii="Times New Roman" w:eastAsia="仿宋_GB2312"/>
          <w:color w:val="000000"/>
          <w:sz w:val="32"/>
          <w:szCs w:val="32"/>
        </w:rPr>
        <w:t>柳州市柳江区</w:t>
      </w:r>
      <w:r>
        <w:rPr>
          <w:rFonts w:ascii="Times New Roman" w:eastAsia="仿宋_GB2312"/>
          <w:color w:val="000000"/>
          <w:sz w:val="32"/>
          <w:szCs w:val="32"/>
        </w:rPr>
        <w:t>河道管理范围内建设项目</w:t>
      </w:r>
      <w:r>
        <w:rPr>
          <w:rFonts w:hint="eastAsia" w:ascii="Times New Roman" w:eastAsia="仿宋_GB2312"/>
          <w:color w:val="000000"/>
          <w:sz w:val="32"/>
          <w:szCs w:val="32"/>
        </w:rPr>
        <w:t>水</w:t>
      </w:r>
      <w:r>
        <w:rPr>
          <w:rFonts w:ascii="Times New Roman" w:eastAsia="仿宋_GB2312"/>
          <w:color w:val="000000"/>
          <w:sz w:val="32"/>
          <w:szCs w:val="32"/>
        </w:rPr>
        <w:t>行政许可决定书》是经</w:t>
      </w:r>
      <w:r>
        <w:rPr>
          <w:rFonts w:hint="eastAsia" w:ascii="Times New Roman" w:eastAsia="仿宋_GB2312"/>
          <w:color w:val="000000"/>
          <w:sz w:val="32"/>
          <w:szCs w:val="32"/>
        </w:rPr>
        <w:t>柳州市柳江区行政审批局行政许可</w:t>
      </w:r>
      <w:r>
        <w:rPr>
          <w:rFonts w:ascii="Times New Roman" w:eastAsia="仿宋_GB2312"/>
          <w:color w:val="000000"/>
          <w:sz w:val="32"/>
          <w:szCs w:val="32"/>
        </w:rPr>
        <w:t>，同意建设项目在河道管理范围内建设的法定凭证，签署盖章后生效。</w:t>
      </w:r>
    </w:p>
    <w:p>
      <w:pPr>
        <w:spacing w:line="572" w:lineRule="exact"/>
        <w:ind w:firstLine="640" w:firstLineChars="200"/>
        <w:rPr>
          <w:rFonts w:hint="eastAsia" w:ascii="Times New Roman" w:eastAsia="仿宋_GB2312"/>
          <w:color w:val="000000"/>
          <w:sz w:val="32"/>
          <w:szCs w:val="32"/>
        </w:rPr>
      </w:pPr>
      <w:r>
        <w:rPr>
          <w:rFonts w:ascii="Times New Roman" w:eastAsia="仿宋_GB2312"/>
          <w:color w:val="000000"/>
          <w:sz w:val="32"/>
          <w:szCs w:val="32"/>
        </w:rPr>
        <w:t>二、凡未取得本决定书或不按本决定书核定的内容进行建设，均属违法建设，</w:t>
      </w:r>
      <w:r>
        <w:rPr>
          <w:rFonts w:hint="eastAsia" w:ascii="Times New Roman" w:eastAsia="仿宋_GB2312"/>
          <w:color w:val="000000"/>
          <w:sz w:val="32"/>
          <w:szCs w:val="32"/>
        </w:rPr>
        <w:t>由柳州市柳江区水利局依法</w:t>
      </w:r>
      <w:r>
        <w:rPr>
          <w:rFonts w:ascii="Times New Roman" w:eastAsia="仿宋_GB2312"/>
          <w:color w:val="000000"/>
          <w:sz w:val="32"/>
          <w:szCs w:val="32"/>
        </w:rPr>
        <w:t>予以处罚。</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w:t>
      </w:r>
      <w:r>
        <w:rPr>
          <w:rFonts w:ascii="Times New Roman" w:hAnsi="Times New Roman" w:eastAsia="仿宋_GB2312"/>
          <w:sz w:val="32"/>
          <w:szCs w:val="32"/>
        </w:rPr>
        <w:t>、工程建设应严格按照《</w:t>
      </w:r>
      <w:r>
        <w:rPr>
          <w:rFonts w:hint="eastAsia" w:ascii="Times New Roman" w:hAnsi="Times New Roman" w:eastAsia="仿宋_GB2312"/>
          <w:sz w:val="32"/>
          <w:szCs w:val="32"/>
        </w:rPr>
        <w:t>柳州市柳江区</w:t>
      </w:r>
      <w:r>
        <w:rPr>
          <w:rFonts w:ascii="Times New Roman" w:hAnsi="Times New Roman" w:eastAsia="仿宋_GB2312"/>
          <w:sz w:val="32"/>
          <w:szCs w:val="32"/>
        </w:rPr>
        <w:t>河道管理范围内建设项目水行政许可决定书》所核定的内容和要求执行，如有变更应及时函告我</w:t>
      </w:r>
      <w:r>
        <w:rPr>
          <w:rFonts w:hint="eastAsia" w:ascii="Times New Roman" w:hAnsi="Times New Roman" w:eastAsia="仿宋_GB2312"/>
          <w:sz w:val="32"/>
          <w:szCs w:val="32"/>
        </w:rPr>
        <w:t>局</w:t>
      </w:r>
      <w:r>
        <w:rPr>
          <w:rFonts w:ascii="Times New Roman" w:hAnsi="Times New Roman" w:eastAsia="仿宋_GB2312"/>
          <w:sz w:val="32"/>
          <w:szCs w:val="32"/>
        </w:rPr>
        <w:t>，发生较大及重大设计变更时应重新办理水行政许可决定书。</w:t>
      </w:r>
    </w:p>
    <w:p>
      <w:pPr>
        <w:spacing w:line="572" w:lineRule="exact"/>
        <w:ind w:firstLine="640" w:firstLineChars="200"/>
        <w:rPr>
          <w:rFonts w:ascii="Times New Roman" w:hAnsi="Times New Roman" w:eastAsia="仿宋_GB2312"/>
          <w:color w:val="000000"/>
          <w:sz w:val="32"/>
          <w:szCs w:val="32"/>
        </w:rPr>
      </w:pPr>
      <w:r>
        <w:rPr>
          <w:rFonts w:hint="eastAsia" w:ascii="Times New Roman" w:eastAsia="仿宋_GB2312"/>
          <w:color w:val="000000"/>
          <w:sz w:val="32"/>
          <w:szCs w:val="32"/>
        </w:rPr>
        <w:t>四</w:t>
      </w:r>
      <w:r>
        <w:rPr>
          <w:rFonts w:ascii="Times New Roman" w:eastAsia="仿宋_GB2312"/>
          <w:color w:val="000000"/>
          <w:sz w:val="32"/>
          <w:szCs w:val="32"/>
        </w:rPr>
        <w:t>、凡未经</w:t>
      </w:r>
      <w:r>
        <w:rPr>
          <w:rFonts w:hint="eastAsia" w:ascii="Times New Roman" w:eastAsia="仿宋_GB2312"/>
          <w:color w:val="000000"/>
          <w:sz w:val="32"/>
          <w:szCs w:val="32"/>
        </w:rPr>
        <w:t>柳州市柳江区行政审批局</w:t>
      </w:r>
      <w:r>
        <w:rPr>
          <w:rFonts w:ascii="Times New Roman" w:eastAsia="仿宋_GB2312"/>
          <w:color w:val="000000"/>
          <w:sz w:val="32"/>
          <w:szCs w:val="32"/>
        </w:rPr>
        <w:t>许可，本决定书中核定的内容均不得随意变更</w:t>
      </w:r>
      <w:r>
        <w:rPr>
          <w:rFonts w:ascii="Times New Roman" w:hAnsi="Times New Roman" w:eastAsia="仿宋_GB2312"/>
          <w:sz w:val="32"/>
          <w:szCs w:val="32"/>
        </w:rPr>
        <w:t>。</w:t>
      </w:r>
      <w:r>
        <w:rPr>
          <w:rFonts w:ascii="Times New Roman" w:eastAsia="仿宋_GB2312"/>
          <w:color w:val="000000"/>
          <w:sz w:val="32"/>
          <w:szCs w:val="32"/>
        </w:rPr>
        <w:t>本决定书的附件和附图，与本决定书具有同等法律效力。</w:t>
      </w:r>
    </w:p>
    <w:p>
      <w:pPr>
        <w:spacing w:line="572" w:lineRule="exact"/>
        <w:ind w:firstLine="640" w:firstLineChars="200"/>
        <w:rPr>
          <w:rFonts w:ascii="Times New Roman" w:hAnsi="Times New Roman" w:eastAsia="仿宋_GB2312"/>
          <w:color w:val="000000"/>
          <w:sz w:val="32"/>
          <w:szCs w:val="32"/>
        </w:rPr>
      </w:pPr>
      <w:r>
        <w:rPr>
          <w:rFonts w:hint="eastAsia" w:ascii="Times New Roman" w:eastAsia="仿宋_GB2312"/>
          <w:color w:val="000000"/>
          <w:sz w:val="32"/>
          <w:szCs w:val="32"/>
        </w:rPr>
        <w:t>五</w:t>
      </w:r>
      <w:r>
        <w:rPr>
          <w:rFonts w:ascii="Times New Roman" w:eastAsia="仿宋_GB2312"/>
          <w:color w:val="000000"/>
          <w:sz w:val="32"/>
          <w:szCs w:val="32"/>
        </w:rPr>
        <w:t>、建设项目在施工期间，</w:t>
      </w:r>
      <w:r>
        <w:rPr>
          <w:rFonts w:hint="eastAsia" w:ascii="Times New Roman" w:eastAsia="仿宋_GB2312"/>
          <w:color w:val="000000"/>
          <w:sz w:val="32"/>
          <w:szCs w:val="32"/>
        </w:rPr>
        <w:t>柳州市柳江区水利局</w:t>
      </w:r>
      <w:r>
        <w:rPr>
          <w:rFonts w:ascii="Times New Roman" w:eastAsia="仿宋_GB2312"/>
          <w:color w:val="000000"/>
          <w:sz w:val="32"/>
          <w:szCs w:val="32"/>
        </w:rPr>
        <w:t>对本决定书核定的内容进行检查，项目法人（建设单位）应配合检查，并将本决定书及相关材料提交查验。</w:t>
      </w:r>
    </w:p>
    <w:p>
      <w:pPr>
        <w:spacing w:line="572" w:lineRule="exact"/>
        <w:ind w:firstLine="640" w:firstLineChars="200"/>
        <w:rPr>
          <w:rFonts w:ascii="Times New Roman" w:hAnsi="Times New Roman" w:eastAsia="仿宋_GB2312"/>
          <w:color w:val="000000"/>
          <w:sz w:val="32"/>
          <w:szCs w:val="32"/>
        </w:rPr>
      </w:pPr>
      <w:r>
        <w:rPr>
          <w:rFonts w:hint="eastAsia" w:ascii="Times New Roman" w:eastAsia="仿宋_GB2312"/>
          <w:color w:val="000000"/>
          <w:sz w:val="32"/>
          <w:szCs w:val="32"/>
        </w:rPr>
        <w:t>六</w:t>
      </w:r>
      <w:r>
        <w:rPr>
          <w:rFonts w:ascii="Times New Roman" w:eastAsia="仿宋_GB2312"/>
          <w:color w:val="000000"/>
          <w:sz w:val="32"/>
          <w:szCs w:val="32"/>
        </w:rPr>
        <w:t>、本决定书自核发之日起，有效期为三年，逾期未使用，本决定书自行失效。</w:t>
      </w:r>
      <w:r>
        <w:rPr>
          <w:rFonts w:hint="eastAsia" w:ascii="仿宋_GB2312" w:eastAsia="仿宋_GB2312"/>
          <w:sz w:val="32"/>
          <w:szCs w:val="32"/>
        </w:rPr>
        <w:t>如需延续，应当在有效期届满前</w:t>
      </w:r>
      <w:r>
        <w:rPr>
          <w:rFonts w:ascii="Times New Roman" w:hAnsi="Times New Roman" w:eastAsia="仿宋_GB2312"/>
          <w:sz w:val="32"/>
          <w:szCs w:val="32"/>
        </w:rPr>
        <w:t>30</w:t>
      </w:r>
      <w:r>
        <w:rPr>
          <w:rFonts w:hint="eastAsia" w:ascii="仿宋_GB2312" w:eastAsia="仿宋_GB2312"/>
          <w:sz w:val="32"/>
          <w:szCs w:val="32"/>
        </w:rPr>
        <w:t>日向柳州市柳江区行政审批局提出申请。</w:t>
      </w:r>
    </w:p>
    <w:p>
      <w:pPr>
        <w:spacing w:line="572" w:lineRule="exact"/>
        <w:ind w:firstLine="640" w:firstLineChars="200"/>
        <w:rPr>
          <w:rFonts w:ascii="Times New Roman" w:hAnsi="Times New Roman" w:eastAsia="仿宋_GB2312"/>
          <w:color w:val="000000"/>
          <w:sz w:val="32"/>
          <w:szCs w:val="32"/>
        </w:rPr>
      </w:pPr>
      <w:r>
        <w:rPr>
          <w:rFonts w:hint="eastAsia" w:ascii="Times New Roman" w:eastAsia="仿宋_GB2312"/>
          <w:color w:val="000000"/>
          <w:sz w:val="32"/>
          <w:szCs w:val="32"/>
        </w:rPr>
        <w:t>七</w:t>
      </w:r>
      <w:r>
        <w:rPr>
          <w:rFonts w:ascii="Times New Roman" w:eastAsia="仿宋_GB2312"/>
          <w:color w:val="000000"/>
          <w:sz w:val="32"/>
          <w:szCs w:val="32"/>
        </w:rPr>
        <w:t>、本决定书</w:t>
      </w:r>
      <w:r>
        <w:rPr>
          <w:rFonts w:hint="eastAsia" w:ascii="Times New Roman" w:eastAsia="仿宋_GB2312"/>
          <w:color w:val="000000"/>
          <w:sz w:val="32"/>
          <w:szCs w:val="32"/>
        </w:rPr>
        <w:t>由柳州市柳江区行政审批局负责解释</w:t>
      </w:r>
      <w:r>
        <w:rPr>
          <w:rFonts w:ascii="Times New Roman" w:eastAsia="仿宋_GB2312"/>
          <w:color w:val="000000"/>
          <w:sz w:val="32"/>
          <w:szCs w:val="32"/>
        </w:rPr>
        <w:t>。</w:t>
      </w:r>
    </w:p>
    <w:p>
      <w:pPr>
        <w:spacing w:line="572" w:lineRule="exact"/>
        <w:ind w:firstLine="600" w:firstLineChars="200"/>
        <w:rPr>
          <w:rFonts w:ascii="Times New Roman" w:hAnsi="Times New Roman" w:eastAsia="仿宋_GB2312"/>
          <w:color w:val="000000"/>
          <w:sz w:val="30"/>
          <w:szCs w:val="30"/>
        </w:rPr>
        <w:sectPr>
          <w:pgSz w:w="11906" w:h="16838"/>
          <w:pgMar w:top="1928" w:right="1474" w:bottom="1701" w:left="1531" w:header="0" w:footer="1191" w:gutter="0"/>
          <w:cols w:space="720" w:num="1"/>
          <w:docGrid w:linePitch="312" w:charSpace="0"/>
        </w:sectPr>
      </w:pPr>
    </w:p>
    <w:tbl>
      <w:tblPr>
        <w:tblStyle w:val="6"/>
        <w:tblW w:w="0" w:type="auto"/>
        <w:tblInd w:w="0" w:type="dxa"/>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Layout w:type="autofit"/>
        <w:tblCellMar>
          <w:top w:w="0" w:type="dxa"/>
          <w:left w:w="108" w:type="dxa"/>
          <w:bottom w:w="0" w:type="dxa"/>
          <w:right w:w="108" w:type="dxa"/>
        </w:tblCellMar>
      </w:tblPr>
      <w:tblGrid>
        <w:gridCol w:w="1076"/>
        <w:gridCol w:w="1180"/>
        <w:gridCol w:w="6805"/>
      </w:tblGrid>
      <w:tr>
        <w:tblPrEx>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9087" w:type="dxa"/>
            <w:gridSpan w:val="3"/>
            <w:noWrap w:val="0"/>
            <w:vAlign w:val="top"/>
          </w:tcPr>
          <w:p>
            <w:pPr>
              <w:spacing w:line="560" w:lineRule="exact"/>
              <w:jc w:val="center"/>
              <w:rPr>
                <w:rFonts w:ascii="Times New Roman" w:hAnsi="Times New Roman" w:eastAsia="方正小标宋简体"/>
                <w:color w:val="000000"/>
                <w:sz w:val="44"/>
                <w:szCs w:val="44"/>
              </w:rPr>
            </w:pPr>
            <w:r>
              <w:rPr>
                <w:rFonts w:hint="eastAsia" w:ascii="Times New Roman" w:hAnsi="Times New Roman" w:eastAsia="方正小标宋简体"/>
                <w:color w:val="000000"/>
                <w:sz w:val="44"/>
                <w:szCs w:val="44"/>
              </w:rPr>
              <w:t>柳 州 市 柳 江 区</w:t>
            </w:r>
          </w:p>
          <w:p>
            <w:pPr>
              <w:spacing w:before="312" w:beforeLines="100" w:line="560" w:lineRule="exact"/>
              <w:jc w:val="center"/>
              <w:rPr>
                <w:rFonts w:ascii="Times New Roman" w:hAnsi="Times New Roman" w:eastAsia="方正小标宋简体"/>
                <w:color w:val="000000"/>
                <w:sz w:val="44"/>
                <w:szCs w:val="44"/>
              </w:rPr>
            </w:pPr>
            <w:r>
              <w:rPr>
                <w:rFonts w:ascii="Times New Roman" w:hAnsi="Times New Roman" w:eastAsia="方正小标宋简体"/>
                <w:color w:val="000000"/>
                <w:sz w:val="44"/>
                <w:szCs w:val="44"/>
              </w:rPr>
              <w:t>河道管理范围内建设项目水行政许可决定书</w:t>
            </w:r>
          </w:p>
          <w:p>
            <w:pPr>
              <w:spacing w:before="312" w:beforeLines="100"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江审批水</w:t>
            </w:r>
            <w:r>
              <w:rPr>
                <w:rFonts w:ascii="Times New Roman" w:hAnsi="Times New Roman" w:eastAsia="仿宋_GB2312"/>
                <w:color w:val="000000"/>
                <w:sz w:val="32"/>
                <w:szCs w:val="32"/>
              </w:rPr>
              <w:t>许〔20</w:t>
            </w:r>
            <w:r>
              <w:rPr>
                <w:rFonts w:hint="eastAsia" w:ascii="Times New Roman" w:hAnsi="Times New Roman" w:eastAsia="仿宋_GB2312"/>
                <w:color w:val="000000"/>
                <w:sz w:val="32"/>
                <w:szCs w:val="32"/>
                <w:lang w:val="en-US" w:eastAsia="zh-CN"/>
              </w:rPr>
              <w:t>26</w:t>
            </w:r>
            <w:r>
              <w:rPr>
                <w:rFonts w:ascii="Times New Roman" w:hAnsi="Times New Roman" w:eastAsia="仿宋_GB2312"/>
                <w:color w:val="000000"/>
                <w:sz w:val="32"/>
                <w:szCs w:val="32"/>
              </w:rPr>
              <w:t>〕</w:t>
            </w:r>
            <w:r>
              <w:rPr>
                <w:rFonts w:hint="eastAsia" w:ascii="Times New Roman" w:hAnsi="Times New Roman" w:eastAsia="仿宋_GB2312"/>
                <w:sz w:val="32"/>
                <w:szCs w:val="32"/>
                <w:lang w:val="en-US" w:eastAsia="zh-CN"/>
              </w:rPr>
              <w:t>3</w:t>
            </w:r>
            <w:r>
              <w:rPr>
                <w:rFonts w:ascii="Times New Roman" w:hAnsi="Times New Roman" w:eastAsia="仿宋_GB2312"/>
                <w:color w:val="000000"/>
                <w:sz w:val="32"/>
                <w:szCs w:val="32"/>
              </w:rPr>
              <w:t>号</w:t>
            </w:r>
          </w:p>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 xml:space="preserve">  </w:t>
            </w:r>
          </w:p>
          <w:p>
            <w:pPr>
              <w:spacing w:line="56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根据《中华人民共和国水法》《中华人民共和国防洪法》《中华人民共和国河道管理条例》《广西壮族自治区河道管理规定》</w:t>
            </w:r>
            <w:r>
              <w:rPr>
                <w:rFonts w:hint="eastAsia" w:ascii="Times New Roman" w:hAnsi="Times New Roman" w:eastAsia="仿宋_GB2312"/>
                <w:color w:val="000000"/>
                <w:sz w:val="32"/>
                <w:szCs w:val="32"/>
              </w:rPr>
              <w:t>及</w:t>
            </w:r>
            <w:r>
              <w:rPr>
                <w:rFonts w:ascii="Times New Roman" w:hAnsi="Times New Roman" w:eastAsia="仿宋_GB2312"/>
                <w:color w:val="000000"/>
                <w:sz w:val="32"/>
                <w:szCs w:val="32"/>
              </w:rPr>
              <w:t>河道管理范围内建设项目管理的有关规定，特制定本决定书。</w:t>
            </w:r>
          </w:p>
        </w:tc>
      </w:tr>
      <w:tr>
        <w:tblPrEx>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9087" w:type="dxa"/>
            <w:gridSpan w:val="3"/>
            <w:noWrap w:val="0"/>
            <w:vAlign w:val="center"/>
          </w:tcPr>
          <w:p>
            <w:pPr>
              <w:spacing w:line="560" w:lineRule="exact"/>
              <w:jc w:val="center"/>
              <w:rPr>
                <w:rFonts w:ascii="Times New Roman" w:hAnsi="Times New Roman" w:eastAsia="仿宋_GB2312"/>
                <w:b/>
                <w:color w:val="000000"/>
                <w:sz w:val="32"/>
                <w:szCs w:val="32"/>
              </w:rPr>
            </w:pPr>
            <w:r>
              <w:rPr>
                <w:rFonts w:ascii="Times New Roman" w:hAnsi="Times New Roman" w:eastAsia="黑体"/>
                <w:b/>
                <w:color w:val="000000"/>
                <w:sz w:val="32"/>
                <w:szCs w:val="32"/>
              </w:rPr>
              <w:t>建 设 项 目 基 本 情 况</w:t>
            </w:r>
          </w:p>
        </w:tc>
      </w:tr>
      <w:tr>
        <w:tblPrEx>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CellMar>
            <w:top w:w="0" w:type="dxa"/>
            <w:left w:w="108" w:type="dxa"/>
            <w:bottom w:w="0" w:type="dxa"/>
            <w:right w:w="108" w:type="dxa"/>
          </w:tblCellMar>
        </w:tblPrEx>
        <w:trPr>
          <w:trHeight w:val="886" w:hRule="atLeast"/>
        </w:trPr>
        <w:tc>
          <w:tcPr>
            <w:tcW w:w="2261" w:type="dxa"/>
            <w:gridSpan w:val="2"/>
            <w:noWrap w:val="0"/>
            <w:vAlign w:val="center"/>
          </w:tcPr>
          <w:p>
            <w:pPr>
              <w:spacing w:line="600" w:lineRule="exact"/>
              <w:jc w:val="center"/>
              <w:rPr>
                <w:rFonts w:ascii="Times New Roman" w:hAnsi="Times New Roman" w:eastAsia="黑体"/>
                <w:b/>
                <w:bCs/>
                <w:color w:val="000000"/>
                <w:sz w:val="32"/>
                <w:szCs w:val="32"/>
              </w:rPr>
            </w:pPr>
            <w:r>
              <w:rPr>
                <w:rFonts w:ascii="Times New Roman" w:hAnsi="Times New Roman" w:eastAsia="黑体"/>
                <w:b/>
                <w:bCs/>
                <w:color w:val="000000"/>
                <w:sz w:val="32"/>
                <w:szCs w:val="32"/>
              </w:rPr>
              <w:t>名  称</w:t>
            </w:r>
          </w:p>
        </w:tc>
        <w:tc>
          <w:tcPr>
            <w:tcW w:w="6826" w:type="dxa"/>
            <w:noWrap w:val="0"/>
            <w:vAlign w:val="center"/>
          </w:tcPr>
          <w:p>
            <w:pPr>
              <w:spacing w:line="500" w:lineRule="exact"/>
              <w:jc w:val="left"/>
              <w:rPr>
                <w:rFonts w:ascii="Times New Roman" w:hAnsi="Times New Roman" w:eastAsia="仿宋_GB2312"/>
                <w:color w:val="000000"/>
                <w:sz w:val="32"/>
                <w:szCs w:val="32"/>
              </w:rPr>
            </w:pPr>
            <w:r>
              <w:rPr>
                <w:rFonts w:hint="eastAsia" w:ascii="Times New Roman" w:hAnsi="Times New Roman" w:eastAsia="仿宋_GB2312"/>
                <w:color w:val="000000"/>
                <w:sz w:val="32"/>
                <w:szCs w:val="32"/>
                <w:lang w:eastAsia="zh-CN"/>
              </w:rPr>
              <w:t>贺州至巴马高速公路（象州至来宾段）龙平大桥K220+370钢筋砼盖板涵、红岩水库大桥</w:t>
            </w:r>
          </w:p>
        </w:tc>
      </w:tr>
      <w:tr>
        <w:tblPrEx>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CellMar>
            <w:top w:w="0" w:type="dxa"/>
            <w:left w:w="108" w:type="dxa"/>
            <w:bottom w:w="0" w:type="dxa"/>
            <w:right w:w="108" w:type="dxa"/>
          </w:tblCellMar>
        </w:tblPrEx>
        <w:trPr>
          <w:trHeight w:val="940" w:hRule="atLeast"/>
        </w:trPr>
        <w:tc>
          <w:tcPr>
            <w:tcW w:w="2261" w:type="dxa"/>
            <w:gridSpan w:val="2"/>
            <w:noWrap w:val="0"/>
            <w:vAlign w:val="center"/>
          </w:tcPr>
          <w:p>
            <w:pPr>
              <w:spacing w:line="600" w:lineRule="exact"/>
              <w:jc w:val="center"/>
              <w:rPr>
                <w:rFonts w:ascii="Times New Roman" w:hAnsi="Times New Roman" w:eastAsia="黑体"/>
                <w:b/>
                <w:bCs/>
                <w:color w:val="000000"/>
                <w:sz w:val="32"/>
                <w:szCs w:val="32"/>
              </w:rPr>
            </w:pPr>
            <w:r>
              <w:rPr>
                <w:rFonts w:ascii="Times New Roman" w:hAnsi="Times New Roman" w:eastAsia="黑体"/>
                <w:b/>
                <w:bCs/>
                <w:color w:val="000000"/>
                <w:sz w:val="32"/>
                <w:szCs w:val="32"/>
              </w:rPr>
              <w:t>项目代码</w:t>
            </w:r>
          </w:p>
        </w:tc>
        <w:tc>
          <w:tcPr>
            <w:tcW w:w="6826" w:type="dxa"/>
            <w:noWrap w:val="0"/>
            <w:vAlign w:val="center"/>
          </w:tcPr>
          <w:p>
            <w:pPr>
              <w:spacing w:line="600" w:lineRule="exact"/>
              <w:jc w:val="center"/>
              <w:rPr>
                <w:rFonts w:hint="default" w:ascii="Times New Roman" w:hAnsi="Times New Roman" w:eastAsia="仿宋_GB2312"/>
                <w:bCs/>
                <w:color w:val="000000"/>
                <w:sz w:val="32"/>
                <w:szCs w:val="32"/>
                <w:lang w:val="en-US" w:eastAsia="zh-CN"/>
              </w:rPr>
            </w:pPr>
            <w:r>
              <w:rPr>
                <w:rFonts w:hint="eastAsia" w:ascii="Times New Roman" w:hAnsi="Times New Roman" w:eastAsia="仿宋_GB2312"/>
                <w:bCs/>
                <w:color w:val="000000"/>
                <w:sz w:val="32"/>
                <w:szCs w:val="32"/>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261" w:type="dxa"/>
            <w:gridSpan w:val="2"/>
            <w:noWrap w:val="0"/>
            <w:vAlign w:val="center"/>
          </w:tcPr>
          <w:p>
            <w:pPr>
              <w:spacing w:line="600" w:lineRule="exact"/>
              <w:jc w:val="center"/>
              <w:rPr>
                <w:rFonts w:ascii="Times New Roman" w:hAnsi="Times New Roman" w:eastAsia="黑体"/>
                <w:b/>
                <w:bCs/>
                <w:color w:val="000000"/>
                <w:sz w:val="32"/>
                <w:szCs w:val="32"/>
              </w:rPr>
            </w:pPr>
            <w:r>
              <w:rPr>
                <w:rFonts w:ascii="Times New Roman" w:hAnsi="Times New Roman" w:eastAsia="黑体"/>
                <w:b/>
                <w:bCs/>
                <w:color w:val="000000"/>
                <w:sz w:val="32"/>
                <w:szCs w:val="32"/>
              </w:rPr>
              <w:t>项目法人</w:t>
            </w:r>
          </w:p>
          <w:p>
            <w:pPr>
              <w:spacing w:line="600" w:lineRule="exact"/>
              <w:jc w:val="center"/>
              <w:rPr>
                <w:rFonts w:ascii="Times New Roman" w:hAnsi="Times New Roman" w:eastAsia="黑体"/>
                <w:b/>
                <w:bCs/>
                <w:color w:val="000000"/>
                <w:sz w:val="32"/>
                <w:szCs w:val="32"/>
              </w:rPr>
            </w:pPr>
            <w:r>
              <w:rPr>
                <w:rFonts w:ascii="Times New Roman" w:hAnsi="Times New Roman" w:eastAsia="黑体"/>
                <w:b/>
                <w:bCs/>
                <w:color w:val="000000"/>
                <w:sz w:val="32"/>
                <w:szCs w:val="32"/>
              </w:rPr>
              <w:t>（建设单位）</w:t>
            </w:r>
          </w:p>
        </w:tc>
        <w:tc>
          <w:tcPr>
            <w:tcW w:w="6826" w:type="dxa"/>
            <w:noWrap w:val="0"/>
            <w:vAlign w:val="center"/>
          </w:tcPr>
          <w:p>
            <w:pPr>
              <w:spacing w:line="600" w:lineRule="exact"/>
              <w:rPr>
                <w:rFonts w:hint="eastAsia" w:ascii="Times New Roman" w:hAnsi="Times New Roman" w:eastAsia="仿宋_GB2312"/>
                <w:color w:val="000000"/>
                <w:sz w:val="32"/>
                <w:szCs w:val="32"/>
                <w:highlight w:val="red"/>
                <w:lang w:eastAsia="zh-CN"/>
              </w:rPr>
            </w:pPr>
            <w:r>
              <w:rPr>
                <w:rFonts w:hint="eastAsia" w:ascii="Times New Roman" w:hAnsi="Times New Roman" w:eastAsia="仿宋_GB2312"/>
                <w:color w:val="000000"/>
                <w:sz w:val="32"/>
                <w:szCs w:val="32"/>
                <w:lang w:eastAsia="zh-CN"/>
              </w:rPr>
              <w:t>广西新恒通高速公路有限公司</w:t>
            </w:r>
          </w:p>
        </w:tc>
      </w:tr>
      <w:tr>
        <w:tblPrEx>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CellMar>
            <w:top w:w="0" w:type="dxa"/>
            <w:left w:w="108" w:type="dxa"/>
            <w:bottom w:w="0" w:type="dxa"/>
            <w:right w:w="108" w:type="dxa"/>
          </w:tblCellMar>
        </w:tblPrEx>
        <w:trPr>
          <w:trHeight w:val="1933" w:hRule="atLeast"/>
        </w:trPr>
        <w:tc>
          <w:tcPr>
            <w:tcW w:w="2261" w:type="dxa"/>
            <w:gridSpan w:val="2"/>
            <w:tcBorders>
              <w:bottom w:val="single" w:color="auto" w:sz="4" w:space="0"/>
            </w:tcBorders>
            <w:noWrap w:val="0"/>
            <w:vAlign w:val="center"/>
          </w:tcPr>
          <w:p>
            <w:pPr>
              <w:spacing w:line="600" w:lineRule="exact"/>
              <w:jc w:val="center"/>
              <w:rPr>
                <w:rFonts w:ascii="Times New Roman" w:hAnsi="Times New Roman" w:eastAsia="黑体"/>
                <w:b/>
                <w:bCs/>
                <w:color w:val="000000"/>
                <w:sz w:val="32"/>
                <w:szCs w:val="32"/>
              </w:rPr>
            </w:pPr>
            <w:r>
              <w:rPr>
                <w:rFonts w:ascii="Times New Roman" w:hAnsi="Times New Roman" w:eastAsia="黑体"/>
                <w:b/>
                <w:bCs/>
                <w:color w:val="000000"/>
                <w:sz w:val="32"/>
                <w:szCs w:val="32"/>
              </w:rPr>
              <w:t>项目选址</w:t>
            </w:r>
          </w:p>
        </w:tc>
        <w:tc>
          <w:tcPr>
            <w:tcW w:w="6826" w:type="dxa"/>
            <w:tcBorders>
              <w:bottom w:val="single" w:color="auto" w:sz="4" w:space="0"/>
            </w:tcBorders>
            <w:noWrap w:val="0"/>
            <w:vAlign w:val="center"/>
          </w:tcPr>
          <w:p>
            <w:pPr>
              <w:spacing w:line="400" w:lineRule="exact"/>
              <w:rPr>
                <w:rFonts w:hint="default" w:ascii="仿宋_GB2312" w:hAnsi="Times New Roman" w:eastAsia="仿宋_GB2312"/>
                <w:color w:val="000000"/>
                <w:sz w:val="32"/>
                <w:szCs w:val="32"/>
                <w:lang w:val="en-US" w:eastAsia="zh-CN"/>
              </w:rPr>
            </w:pPr>
            <w:r>
              <w:rPr>
                <w:rFonts w:hint="default" w:ascii="Times New Roman" w:hAnsi="Times New Roman" w:eastAsia="仿宋_GB2312" w:cs="Times New Roman"/>
                <w:color w:val="000000"/>
                <w:sz w:val="32"/>
                <w:szCs w:val="32"/>
                <w:lang w:val="en-US" w:eastAsia="zh-CN"/>
              </w:rPr>
              <w:t>项目选址于柳州市柳江区穿山镇境内，共涉及</w:t>
            </w:r>
            <w:r>
              <w:rPr>
                <w:rFonts w:hint="eastAsia" w:ascii="Times New Roman" w:hAnsi="Times New Roman" w:eastAsia="仿宋_GB2312" w:cs="Times New Roman"/>
                <w:color w:val="000000"/>
                <w:sz w:val="32"/>
                <w:szCs w:val="32"/>
                <w:lang w:val="en-US" w:eastAsia="zh-CN"/>
              </w:rPr>
              <w:t>三</w:t>
            </w:r>
            <w:r>
              <w:rPr>
                <w:rFonts w:hint="default" w:ascii="Times New Roman" w:hAnsi="Times New Roman" w:eastAsia="仿宋_GB2312" w:cs="Times New Roman"/>
                <w:color w:val="000000"/>
                <w:sz w:val="32"/>
                <w:szCs w:val="32"/>
                <w:lang w:val="en-US" w:eastAsia="zh-CN"/>
              </w:rPr>
              <w:t>处涉河点。第</w:t>
            </w:r>
            <w:r>
              <w:rPr>
                <w:rFonts w:hint="eastAsia" w:ascii="Times New Roman" w:hAnsi="Times New Roman" w:eastAsia="仿宋_GB2312" w:cs="Times New Roman"/>
                <w:color w:val="000000"/>
                <w:sz w:val="32"/>
                <w:szCs w:val="32"/>
                <w:lang w:val="en-US" w:eastAsia="zh-CN"/>
              </w:rPr>
              <w:t>一</w:t>
            </w:r>
            <w:r>
              <w:rPr>
                <w:rFonts w:hint="default" w:ascii="Times New Roman" w:hAnsi="Times New Roman" w:eastAsia="仿宋_GB2312" w:cs="Times New Roman"/>
                <w:color w:val="000000"/>
                <w:sz w:val="32"/>
                <w:szCs w:val="32"/>
                <w:lang w:val="en-US" w:eastAsia="zh-CN"/>
              </w:rPr>
              <w:t>处涉河点龙平大桥位于穿山镇龙平村潭村东北侧350m。第</w:t>
            </w:r>
            <w:r>
              <w:rPr>
                <w:rFonts w:hint="eastAsia" w:ascii="Times New Roman" w:hAnsi="Times New Roman" w:eastAsia="仿宋_GB2312" w:cs="Times New Roman"/>
                <w:color w:val="000000"/>
                <w:sz w:val="32"/>
                <w:szCs w:val="32"/>
                <w:lang w:val="en-US" w:eastAsia="zh-CN"/>
              </w:rPr>
              <w:t>二</w:t>
            </w:r>
            <w:r>
              <w:rPr>
                <w:rFonts w:hint="default" w:ascii="Times New Roman" w:hAnsi="Times New Roman" w:eastAsia="仿宋_GB2312" w:cs="Times New Roman"/>
                <w:color w:val="000000"/>
                <w:sz w:val="32"/>
                <w:szCs w:val="32"/>
                <w:lang w:val="en-US" w:eastAsia="zh-CN"/>
              </w:rPr>
              <w:t>处涉河点K220+370</w:t>
            </w:r>
            <w:r>
              <w:rPr>
                <w:rFonts w:hint="eastAsia" w:ascii="Times New Roman" w:hAnsi="Times New Roman" w:eastAsia="仿宋_GB2312" w:cs="Times New Roman"/>
                <w:color w:val="000000"/>
                <w:sz w:val="32"/>
                <w:szCs w:val="32"/>
                <w:lang w:val="en-US" w:eastAsia="zh-CN"/>
              </w:rPr>
              <w:t>钢筋砼</w:t>
            </w:r>
            <w:r>
              <w:rPr>
                <w:rFonts w:hint="default" w:ascii="Times New Roman" w:hAnsi="Times New Roman" w:eastAsia="仿宋_GB2312" w:cs="Times New Roman"/>
                <w:color w:val="000000"/>
                <w:sz w:val="32"/>
                <w:szCs w:val="32"/>
                <w:lang w:val="en-US" w:eastAsia="zh-CN"/>
              </w:rPr>
              <w:t>盖板涵位于穿山镇龙平村邓村南侧</w:t>
            </w:r>
            <w:r>
              <w:rPr>
                <w:rFonts w:hint="eastAsia"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lang w:val="en-US" w:eastAsia="zh-CN"/>
              </w:rPr>
              <w:t>00m。第</w:t>
            </w:r>
            <w:r>
              <w:rPr>
                <w:rFonts w:hint="eastAsia" w:ascii="Times New Roman" w:hAnsi="Times New Roman" w:eastAsia="仿宋_GB2312" w:cs="Times New Roman"/>
                <w:color w:val="000000"/>
                <w:sz w:val="32"/>
                <w:szCs w:val="32"/>
                <w:lang w:val="en-US" w:eastAsia="zh-CN"/>
              </w:rPr>
              <w:t>三</w:t>
            </w:r>
            <w:r>
              <w:rPr>
                <w:rFonts w:hint="default" w:ascii="Times New Roman" w:hAnsi="Times New Roman" w:eastAsia="仿宋_GB2312" w:cs="Times New Roman"/>
                <w:color w:val="000000"/>
                <w:sz w:val="32"/>
                <w:szCs w:val="32"/>
                <w:lang w:val="en-US" w:eastAsia="zh-CN"/>
              </w:rPr>
              <w:t>处涉河点红岩水库大桥位于穿山镇</w:t>
            </w:r>
            <w:r>
              <w:rPr>
                <w:rFonts w:hint="eastAsia" w:ascii="Times New Roman" w:hAnsi="Times New Roman" w:eastAsia="仿宋_GB2312" w:cs="Times New Roman"/>
                <w:color w:val="000000"/>
                <w:sz w:val="32"/>
                <w:szCs w:val="32"/>
                <w:lang w:val="en-US" w:eastAsia="zh-CN"/>
              </w:rPr>
              <w:t>红岩水库</w:t>
            </w:r>
            <w:r>
              <w:rPr>
                <w:rFonts w:hint="default" w:ascii="Times New Roman" w:hAnsi="Times New Roman" w:eastAsia="仿宋_GB2312" w:cs="Times New Roman"/>
                <w:color w:val="000000"/>
                <w:sz w:val="32"/>
                <w:szCs w:val="32"/>
                <w:lang w:val="en-US" w:eastAsia="zh-CN"/>
              </w:rPr>
              <w:t>南侧240m。</w:t>
            </w:r>
          </w:p>
        </w:tc>
      </w:tr>
      <w:tr>
        <w:tblPrEx>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CellMar>
            <w:top w:w="0" w:type="dxa"/>
            <w:left w:w="108" w:type="dxa"/>
            <w:bottom w:w="0" w:type="dxa"/>
            <w:right w:w="108" w:type="dxa"/>
          </w:tblCellMar>
        </w:tblPrEx>
        <w:trPr>
          <w:trHeight w:val="1850" w:hRule="atLeast"/>
        </w:trPr>
        <w:tc>
          <w:tcPr>
            <w:tcW w:w="2261" w:type="dxa"/>
            <w:gridSpan w:val="2"/>
            <w:tcBorders>
              <w:top w:val="single" w:color="auto" w:sz="4" w:space="0"/>
              <w:bottom w:val="single" w:color="000000" w:sz="12" w:space="0"/>
              <w:right w:val="single" w:color="auto" w:sz="4" w:space="0"/>
            </w:tcBorders>
            <w:noWrap w:val="0"/>
            <w:vAlign w:val="center"/>
          </w:tcPr>
          <w:p>
            <w:pPr>
              <w:spacing w:line="600" w:lineRule="exact"/>
              <w:jc w:val="center"/>
              <w:rPr>
                <w:rFonts w:ascii="Times New Roman" w:hAnsi="Times New Roman" w:eastAsia="黑体"/>
                <w:b/>
                <w:bCs/>
                <w:color w:val="000000"/>
                <w:sz w:val="32"/>
                <w:szCs w:val="32"/>
              </w:rPr>
            </w:pPr>
            <w:r>
              <w:rPr>
                <w:rFonts w:ascii="Times New Roman" w:hAnsi="Times New Roman" w:eastAsia="黑体"/>
                <w:b/>
                <w:bCs/>
                <w:color w:val="000000"/>
                <w:sz w:val="32"/>
                <w:szCs w:val="32"/>
              </w:rPr>
              <w:t>建设规模</w:t>
            </w:r>
          </w:p>
        </w:tc>
        <w:tc>
          <w:tcPr>
            <w:tcW w:w="6826" w:type="dxa"/>
            <w:tcBorders>
              <w:top w:val="single" w:color="auto" w:sz="4" w:space="0"/>
              <w:left w:val="single" w:color="auto" w:sz="4" w:space="0"/>
              <w:bottom w:val="single" w:color="000000" w:sz="12" w:space="0"/>
            </w:tcBorders>
            <w:noWrap w:val="0"/>
            <w:vAlign w:val="center"/>
          </w:tcPr>
          <w:p>
            <w:pPr>
              <w:keepNext w:val="0"/>
              <w:keepLines w:val="0"/>
              <w:pageBreakBefore w:val="0"/>
              <w:widowControl/>
              <w:kinsoku/>
              <w:wordWrap w:val="0"/>
              <w:overflowPunct/>
              <w:topLinePunct w:val="0"/>
              <w:autoSpaceDE/>
              <w:autoSpaceDN/>
              <w:bidi w:val="0"/>
              <w:adjustRightInd/>
              <w:snapToGrid/>
              <w:spacing w:line="340" w:lineRule="exact"/>
              <w:jc w:val="left"/>
              <w:textAlignment w:val="auto"/>
              <w:rPr>
                <w:rFonts w:hint="default" w:ascii="仿宋_GB2312" w:hAnsi="Times New Roman" w:eastAsia="仿宋_GB2312"/>
                <w:color w:val="FF0000"/>
                <w:sz w:val="32"/>
                <w:szCs w:val="32"/>
                <w:lang w:val="en-US" w:eastAsia="zh-CN"/>
              </w:rPr>
            </w:pPr>
            <w:r>
              <w:rPr>
                <w:rFonts w:hint="eastAsia" w:ascii="仿宋_GB2312" w:hAnsi="Times New Roman" w:eastAsia="仿宋_GB2312"/>
                <w:color w:val="auto"/>
                <w:sz w:val="32"/>
                <w:szCs w:val="32"/>
                <w:lang w:val="en-US" w:eastAsia="zh-CN"/>
              </w:rPr>
              <w:t>龙平大桥为高速公路大桥，采用100年一遇的防洪标准。K220+370钢筋砼盖板涵为高速公路涵洞，采用100年一遇的防洪标准。红岩水库大桥为高速公路大桥，采用100年一遇的防洪标准。</w:t>
            </w:r>
          </w:p>
        </w:tc>
      </w:tr>
      <w:tr>
        <w:tblPrEx>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CellMar>
            <w:top w:w="0" w:type="dxa"/>
            <w:left w:w="108" w:type="dxa"/>
            <w:bottom w:w="0" w:type="dxa"/>
            <w:right w:w="108" w:type="dxa"/>
          </w:tblCellMar>
        </w:tblPrEx>
        <w:trPr>
          <w:trHeight w:val="820" w:hRule="exact"/>
        </w:trPr>
        <w:tc>
          <w:tcPr>
            <w:tcW w:w="9087" w:type="dxa"/>
            <w:gridSpan w:val="3"/>
            <w:tcBorders>
              <w:top w:val="single" w:color="000000" w:sz="12" w:space="0"/>
            </w:tcBorders>
            <w:noWrap w:val="0"/>
            <w:vAlign w:val="center"/>
          </w:tcPr>
          <w:p>
            <w:pPr>
              <w:spacing w:line="600" w:lineRule="exact"/>
              <w:jc w:val="center"/>
              <w:rPr>
                <w:rFonts w:ascii="Times New Roman" w:hAnsi="Times New Roman" w:eastAsia="仿宋_GB2312"/>
                <w:b/>
                <w:color w:val="000000"/>
                <w:sz w:val="32"/>
                <w:szCs w:val="32"/>
              </w:rPr>
            </w:pPr>
            <w:r>
              <w:rPr>
                <w:rFonts w:ascii="Times New Roman" w:hAnsi="Times New Roman" w:eastAsia="黑体"/>
                <w:b/>
                <w:color w:val="000000"/>
                <w:sz w:val="32"/>
                <w:szCs w:val="32"/>
              </w:rPr>
              <w:t>许 可 核 定 意 见</w:t>
            </w:r>
          </w:p>
        </w:tc>
      </w:tr>
      <w:tr>
        <w:tblPrEx>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CellMar>
            <w:top w:w="0" w:type="dxa"/>
            <w:left w:w="108" w:type="dxa"/>
            <w:bottom w:w="0" w:type="dxa"/>
            <w:right w:w="108" w:type="dxa"/>
          </w:tblCellMar>
        </w:tblPrEx>
        <w:trPr>
          <w:trHeight w:val="6520" w:hRule="atLeast"/>
        </w:trPr>
        <w:tc>
          <w:tcPr>
            <w:tcW w:w="9087" w:type="dxa"/>
            <w:gridSpan w:val="3"/>
            <w:noWrap w:val="0"/>
            <w:vAlign w:val="top"/>
          </w:tcPr>
          <w:p>
            <w:pPr>
              <w:numPr>
                <w:ilvl w:val="0"/>
                <w:numId w:val="1"/>
              </w:numPr>
              <w:autoSpaceDE w:val="0"/>
              <w:autoSpaceDN w:val="0"/>
              <w:adjustRightInd w:val="0"/>
              <w:spacing w:line="560" w:lineRule="exact"/>
              <w:ind w:firstLine="640" w:firstLineChars="200"/>
              <w:rPr>
                <w:rFonts w:ascii="Times New Roman" w:hAnsi="Times New Roman" w:eastAsia="黑体"/>
                <w:color w:val="000000"/>
                <w:sz w:val="32"/>
                <w:szCs w:val="32"/>
              </w:rPr>
            </w:pPr>
            <w:r>
              <w:rPr>
                <w:rFonts w:ascii="Times New Roman" w:hAnsi="Times New Roman" w:eastAsia="黑体"/>
                <w:color w:val="000000"/>
                <w:sz w:val="32"/>
                <w:szCs w:val="32"/>
              </w:rPr>
              <w:t>工程</w:t>
            </w:r>
            <w:r>
              <w:rPr>
                <w:rFonts w:hint="eastAsia" w:ascii="Times New Roman" w:hAnsi="Times New Roman" w:eastAsia="黑体"/>
                <w:color w:val="000000"/>
                <w:sz w:val="32"/>
                <w:szCs w:val="32"/>
                <w:lang w:eastAsia="zh-CN"/>
              </w:rPr>
              <w:t>概况及</w:t>
            </w:r>
            <w:r>
              <w:rPr>
                <w:rFonts w:ascii="Times New Roman" w:hAnsi="Times New Roman" w:eastAsia="黑体"/>
                <w:color w:val="000000"/>
                <w:sz w:val="32"/>
                <w:szCs w:val="32"/>
              </w:rPr>
              <w:t>建设方案</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本项目涉及贺州至巴马公路（象州至来宾段）在柳州市柳江区境内的建设</w:t>
            </w:r>
            <w:r>
              <w:rPr>
                <w:rFonts w:hint="eastAsia" w:ascii="Times New Roman" w:hAnsi="Times New Roman" w:eastAsia="仿宋_GB2312" w:cs="Times New Roman"/>
                <w:sz w:val="32"/>
                <w:szCs w:val="32"/>
                <w:lang w:val="en-US" w:eastAsia="zh-CN"/>
              </w:rPr>
              <w:t>工程</w:t>
            </w:r>
            <w:r>
              <w:rPr>
                <w:rFonts w:hint="default" w:ascii="Times New Roman" w:hAnsi="Times New Roman" w:eastAsia="仿宋_GB2312" w:cs="Times New Roman"/>
                <w:sz w:val="32"/>
                <w:szCs w:val="32"/>
                <w:lang w:val="en-US" w:eastAsia="zh-CN"/>
              </w:rPr>
              <w:t>。本项目在柳江区境内涉及</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处涉河点，涉河工程依次为龙平大桥、K220+370钢筋砼盖板涵、红岩水库大桥，分别跨越定吉河、邓村河、红岩河。涉河工程处河流现状防洪标准和规划防洪标准均为5年一遇，</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处涉河工程均采用100年一遇的防洪标准设计。本工程占用河道管理范围约2034.2</w:t>
            </w:r>
            <w:r>
              <w:rPr>
                <w:rFonts w:hint="eastAsia" w:ascii="Times New Roman" w:hAnsi="Times New Roman" w:eastAsia="仿宋_GB2312" w:cs="Times New Roman"/>
                <w:sz w:val="32"/>
                <w:szCs w:val="32"/>
                <w:lang w:val="en-US" w:eastAsia="zh-CN"/>
              </w:rPr>
              <w:t>0m²</w:t>
            </w:r>
            <w:r>
              <w:rPr>
                <w:rFonts w:hint="default" w:ascii="Times New Roman" w:hAnsi="Times New Roman" w:eastAsia="仿宋_GB2312" w:cs="Times New Roman"/>
                <w:sz w:val="32"/>
                <w:szCs w:val="32"/>
                <w:lang w:val="en-US" w:eastAsia="zh-CN"/>
              </w:rPr>
              <w:t>，3处涉河点具体内容如下：</w:t>
            </w:r>
          </w:p>
          <w:p>
            <w:pPr>
              <w:keepNext w:val="0"/>
              <w:keepLines w:val="0"/>
              <w:pageBreakBefore w:val="0"/>
              <w:widowControl w:val="0"/>
              <w:numPr>
                <w:ilvl w:val="0"/>
                <w:numId w:val="2"/>
              </w:numPr>
              <w:kinsoku/>
              <w:wordWrap w:val="0"/>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一处涉河点：龙平大桥位于柳州市柳江区穿山镇龙平村潭村东北侧350m，跨越河道为定吉河。龙平大桥为整体式桥梁，中心桩号K219+307，起点桩号K219+174，终点桩号K219+440，全长266m，共3联，跨径组合为（4×20）+（4×20）+（3×20），桥面宽26.5m。桥梁上部结构为预应力混凝土简支连续小箱梁。桥梁下部结构的桥墩采用矩形盖梁柱式墩，桥台采用桩柱式肋板桥台，基础采用钻孔灌注桩基础。桥梁轴线与水流方向交角约85°，大桥共设置1#～12#桥墩、0#、13#桥台，其中左/右幅8#墩位于河道管理范围内。跨河桥墩跨径为20m，桥墩采用柱式墩，墩径为1.3m，桩径1.5m。本涉河点占用河道管理范围约789.40m²。</w:t>
            </w:r>
          </w:p>
          <w:p>
            <w:pPr>
              <w:keepNext w:val="0"/>
              <w:keepLines w:val="0"/>
              <w:pageBreakBefore w:val="0"/>
              <w:widowControl w:val="0"/>
              <w:numPr>
                <w:ilvl w:val="0"/>
                <w:numId w:val="2"/>
              </w:numPr>
              <w:kinsoku/>
              <w:wordWrap w:val="0"/>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二处涉河点：K220+370钢筋砼盖板涵位于柳州市柳江区穿山镇龙平村邓村南侧800m，路线跨越河道为邓村河，盖板涵中心桩号K220+370，涵洞为1-6×4钢筋混凝土盖板涵，涵洞与路线夹角为80°。涵洞总长72m，涵洞进口底板高程98.17m，出口底板高程97.74m，涵洞与河道两岸由八字墙顺接。本涉河点占用河道管理范围约884.20m²。</w:t>
            </w:r>
          </w:p>
          <w:p>
            <w:pPr>
              <w:keepNext w:val="0"/>
              <w:keepLines w:val="0"/>
              <w:pageBreakBefore w:val="0"/>
              <w:widowControl w:val="0"/>
              <w:numPr>
                <w:ilvl w:val="0"/>
                <w:numId w:val="2"/>
              </w:numPr>
              <w:kinsoku/>
              <w:wordWrap w:val="0"/>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处涉河点：红岩水库大桥位于柳州市柳江区穿山镇龙平村红岩水库南侧240m，跨越河道为红岩河。红岩水库大桥为整体式桥梁，中心桩号K222+225，起点桩号K222+072，终点桩号K222+378，全长306m，共3联，跨径组合为3×（5×20），桥面宽36.5m。上部结构为预应力混凝土简支变连续小箱梁。下部结构桥墩采用矩形盖梁柱式墩，桥台采用肋板台，基础采用钻孔灌注桩基础。桥梁轴线与水流方向交角约为90°，大桥共设置1#～14#桥墩、0#、15#桥台，其中左/右幅7#墩位于河道管理范围内。跨河桥墩跨径为20m，桥墩采用柱式墩，墩径1.5m，桩径1.8m。本涉河点占用河道管理范围约400.60m²。</w:t>
            </w:r>
          </w:p>
          <w:p>
            <w:pPr>
              <w:numPr>
                <w:ilvl w:val="0"/>
                <w:numId w:val="1"/>
              </w:numPr>
              <w:autoSpaceDE w:val="0"/>
              <w:autoSpaceDN w:val="0"/>
              <w:adjustRightInd w:val="0"/>
              <w:spacing w:line="560" w:lineRule="exact"/>
              <w:ind w:firstLine="640" w:firstLineChars="200"/>
              <w:rPr>
                <w:rFonts w:ascii="Times New Roman" w:hAnsi="Times New Roman" w:eastAsia="黑体"/>
                <w:color w:val="000000"/>
                <w:sz w:val="32"/>
                <w:szCs w:val="32"/>
              </w:rPr>
            </w:pPr>
            <w:r>
              <w:rPr>
                <w:rFonts w:hint="eastAsia" w:ascii="Times New Roman" w:hAnsi="Times New Roman" w:eastAsia="黑体"/>
                <w:color w:val="000000"/>
                <w:sz w:val="32"/>
                <w:szCs w:val="32"/>
                <w:lang w:eastAsia="zh-CN"/>
              </w:rPr>
              <w:t>主要控制点坐标</w:t>
            </w:r>
          </w:p>
          <w:p>
            <w:pPr>
              <w:keepNext w:val="0"/>
              <w:keepLines w:val="0"/>
              <w:pageBreakBefore w:val="0"/>
              <w:widowControl w:val="0"/>
              <w:numPr>
                <w:ilvl w:val="0"/>
                <w:numId w:val="3"/>
              </w:numPr>
              <w:kinsoku/>
              <w:wordWrap w:val="0"/>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龙平大桥起点桩号K219+174，终点桩号K219+440，涉河左岸控制点坐标X=649875.7403,Y=2657924.7191，涉河右岸控制点坐标X=649847.6944,Y=2657926.0421。（坐标均采用2000国家大地坐标系表示，下同）</w:t>
            </w:r>
          </w:p>
          <w:p>
            <w:pPr>
              <w:keepNext w:val="0"/>
              <w:keepLines w:val="0"/>
              <w:pageBreakBefore w:val="0"/>
              <w:widowControl w:val="0"/>
              <w:numPr>
                <w:ilvl w:val="0"/>
                <w:numId w:val="3"/>
              </w:numPr>
              <w:kinsoku/>
              <w:wordWrap w:val="0"/>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K220+370钢筋砼盖板涵中心桩号K220+370，涉河左岸控制点坐标X=648898.3675,Y=2657722.5771，涉河右岸控制点坐标X=648883.8154,Y=2657716.4916。</w:t>
            </w:r>
          </w:p>
          <w:p>
            <w:pPr>
              <w:keepNext w:val="0"/>
              <w:keepLines w:val="0"/>
              <w:pageBreakBefore w:val="0"/>
              <w:widowControl w:val="0"/>
              <w:numPr>
                <w:ilvl w:val="0"/>
                <w:numId w:val="3"/>
              </w:numPr>
              <w:kinsoku/>
              <w:wordWrap w:val="0"/>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红岩水库大桥起点桩号K222+072，终点桩号K222+378，涉河左岸控制点坐标X=647563.7536,Y=2656586.6921，涉河右岸控制点坐标X=647550.2069,Y=2656581.4004。</w:t>
            </w:r>
          </w:p>
          <w:p>
            <w:pPr>
              <w:numPr>
                <w:ilvl w:val="0"/>
                <w:numId w:val="1"/>
              </w:numPr>
              <w:autoSpaceDE w:val="0"/>
              <w:autoSpaceDN w:val="0"/>
              <w:adjustRightInd w:val="0"/>
              <w:spacing w:line="560" w:lineRule="exact"/>
              <w:ind w:firstLine="640" w:firstLineChars="200"/>
              <w:rPr>
                <w:rFonts w:hint="eastAsia" w:ascii="Times New Roman" w:hAnsi="Times New Roman" w:eastAsia="黑体"/>
                <w:color w:val="000000"/>
                <w:sz w:val="32"/>
                <w:szCs w:val="32"/>
                <w:lang w:val="en-US" w:eastAsia="zh-CN"/>
              </w:rPr>
            </w:pPr>
            <w:r>
              <w:rPr>
                <w:rFonts w:hint="eastAsia" w:ascii="Times New Roman" w:hAnsi="Times New Roman" w:eastAsia="黑体"/>
                <w:color w:val="000000"/>
                <w:sz w:val="32"/>
                <w:szCs w:val="32"/>
                <w:lang w:eastAsia="zh-CN"/>
              </w:rPr>
              <w:t>核定防洪评价内容</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同意以下评价结果：</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基本同意</w:t>
            </w:r>
            <w:r>
              <w:rPr>
                <w:rFonts w:hint="eastAsia" w:ascii="Times New Roman" w:hAnsi="Times New Roman" w:eastAsia="仿宋_GB2312" w:cs="Times New Roman"/>
                <w:color w:val="000000"/>
                <w:sz w:val="32"/>
                <w:szCs w:val="32"/>
                <w:lang w:eastAsia="zh-CN"/>
              </w:rPr>
              <w:t>该项目的《洪水影响评价报告》符合江河流域综合规划和有关的国土及区域发展规划，对规划实施影响较小的结论。</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方正楷体_GB2312" w:hAnsi="方正楷体_GB2312" w:eastAsia="方正楷体_GB2312" w:cs="方正楷体_GB2312"/>
                <w:color w:val="000000"/>
                <w:sz w:val="32"/>
                <w:szCs w:val="32"/>
                <w:lang w:val="en-US" w:eastAsia="zh-CN"/>
              </w:rPr>
            </w:pPr>
            <w:r>
              <w:rPr>
                <w:rFonts w:hint="eastAsia" w:ascii="方正楷体_GB2312" w:hAnsi="方正楷体_GB2312" w:eastAsia="方正楷体_GB2312" w:cs="方正楷体_GB2312"/>
                <w:color w:val="000000"/>
                <w:sz w:val="32"/>
                <w:szCs w:val="32"/>
                <w:lang w:eastAsia="zh-CN"/>
              </w:rPr>
              <w:t>工程所处河段均为乡村无堤防河段，不涉及防洪治理规划，建设项目不会对规划治理工程实施产生影响。第一处涉河点龙平大桥所在定吉河的一级水功能区划定为定吉河柳江开发利用区，二级水功能区划定为定吉河定吉农业用水区，其余</w:t>
            </w:r>
            <w:r>
              <w:rPr>
                <w:rFonts w:hint="eastAsia" w:ascii="方正楷体_GB2312" w:hAnsi="方正楷体_GB2312" w:eastAsia="方正楷体_GB2312" w:cs="方正楷体_GB2312"/>
                <w:color w:val="000000"/>
                <w:sz w:val="32"/>
                <w:szCs w:val="32"/>
                <w:lang w:val="en-US" w:eastAsia="zh-CN"/>
              </w:rPr>
              <w:t>两处涉河工程河段尚未划定水功能区。工程建成后均对河流水质基本无影响。三处涉河点涉及河流所在河段均不涉及饮用水水源保护区，无岸线保护与利用规划，无航运规划，无港口规划，无采砂规划，无生态保护红线、自然保护区、重要湿地、水文监测设施等规划。综上，三处涉河点对水功能区、饮用水源保护区、港口规划、采砂规划、岸线保护与利用规划、航运规划、生态保护红线、自然保护区、重要湿地、水文监测设施等影响较小。</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基本同意对建设项目防洪标准和有关技术要求的符合性评价结论</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default" w:ascii="Times New Roman" w:hAnsi="Times New Roman" w:eastAsia="方正楷体_GB2312" w:cs="Times New Roman"/>
                <w:color w:val="000000"/>
                <w:sz w:val="32"/>
                <w:szCs w:val="32"/>
                <w:lang w:val="en-US" w:eastAsia="zh-CN"/>
              </w:rPr>
              <w:t>本工程桥梁和涵洞的设计标准</w:t>
            </w:r>
            <w:r>
              <w:rPr>
                <w:rFonts w:hint="eastAsia" w:ascii="Times New Roman" w:hAnsi="Times New Roman" w:eastAsia="方正楷体_GB2312" w:cs="Times New Roman"/>
                <w:color w:val="000000"/>
                <w:sz w:val="32"/>
                <w:szCs w:val="32"/>
                <w:lang w:val="en-US" w:eastAsia="zh-CN"/>
              </w:rPr>
              <w:t>均</w:t>
            </w:r>
            <w:r>
              <w:rPr>
                <w:rFonts w:hint="default" w:ascii="Times New Roman" w:hAnsi="Times New Roman" w:eastAsia="方正楷体_GB2312" w:cs="Times New Roman"/>
                <w:color w:val="000000"/>
                <w:sz w:val="32"/>
                <w:szCs w:val="32"/>
                <w:lang w:val="en-US" w:eastAsia="zh-CN"/>
              </w:rPr>
              <w:t>为100年一遇，均高于所在河道防洪标准5年一遇，桥梁防洪标准符合《公路桥涵设计通用规范》（JTGD60-2015）、《防洪标准》（GB50201-2014）的要求。桥梁净高在11.81m～17.19m，涵洞净高在0.9m，跨河桥梁和盖板涵的净空均大于0.5m，防御洪涝的设防标准及措施适当。</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基本同意建设项目对河势稳定的影响评价结论</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方正楷体_GB2312" w:cs="Times New Roman"/>
                <w:color w:val="000000"/>
                <w:sz w:val="32"/>
                <w:szCs w:val="32"/>
                <w:lang w:val="en-US" w:eastAsia="zh-CN"/>
              </w:rPr>
            </w:pPr>
            <w:r>
              <w:rPr>
                <w:rFonts w:hint="default" w:ascii="Times New Roman" w:hAnsi="Times New Roman" w:eastAsia="方正楷体_GB2312" w:cs="Times New Roman"/>
                <w:color w:val="000000"/>
                <w:sz w:val="32"/>
                <w:szCs w:val="32"/>
                <w:lang w:val="en-US" w:eastAsia="zh-CN"/>
              </w:rPr>
              <w:t>已建的第二处涉河点涵洞进出口设置底板和翼墙，结构稳定。第一处、第三处涉河点桥梁的河道在100年一遇洪水</w:t>
            </w:r>
            <w:r>
              <w:rPr>
                <w:rFonts w:hint="eastAsia" w:ascii="Times New Roman" w:hAnsi="Times New Roman" w:eastAsia="方正楷体_GB2312" w:cs="Times New Roman"/>
                <w:color w:val="000000"/>
                <w:sz w:val="32"/>
                <w:szCs w:val="32"/>
                <w:lang w:val="en-US" w:eastAsia="zh-CN"/>
              </w:rPr>
              <w:t>标准的工况</w:t>
            </w:r>
            <w:r>
              <w:rPr>
                <w:rFonts w:hint="default" w:ascii="Times New Roman" w:hAnsi="Times New Roman" w:eastAsia="方正楷体_GB2312" w:cs="Times New Roman"/>
                <w:color w:val="000000"/>
                <w:sz w:val="32"/>
                <w:szCs w:val="32"/>
                <w:lang w:val="en-US" w:eastAsia="zh-CN"/>
              </w:rPr>
              <w:t>时，</w:t>
            </w:r>
            <w:r>
              <w:rPr>
                <w:rFonts w:hint="eastAsia" w:ascii="Times New Roman" w:hAnsi="Times New Roman" w:eastAsia="方正楷体_GB2312" w:cs="Times New Roman"/>
                <w:color w:val="000000"/>
                <w:sz w:val="32"/>
                <w:szCs w:val="32"/>
                <w:lang w:val="en-US" w:eastAsia="zh-CN"/>
              </w:rPr>
              <w:t>河道</w:t>
            </w:r>
            <w:r>
              <w:rPr>
                <w:rFonts w:hint="default" w:ascii="Times New Roman" w:hAnsi="Times New Roman" w:eastAsia="方正楷体_GB2312" w:cs="Times New Roman"/>
                <w:color w:val="000000"/>
                <w:sz w:val="32"/>
                <w:szCs w:val="32"/>
                <w:lang w:val="en-US" w:eastAsia="zh-CN"/>
              </w:rPr>
              <w:t>流速增加值分别为0.07m/s和0.08m/s，流速变化不大。第一处、第三处涉河点桥梁在100年一遇洪水</w:t>
            </w:r>
            <w:r>
              <w:rPr>
                <w:rFonts w:hint="eastAsia" w:ascii="Times New Roman" w:hAnsi="Times New Roman" w:eastAsia="方正楷体_GB2312" w:cs="Times New Roman"/>
                <w:color w:val="000000"/>
                <w:sz w:val="32"/>
                <w:szCs w:val="32"/>
                <w:lang w:val="en-US" w:eastAsia="zh-CN"/>
              </w:rPr>
              <w:t>标准的工况</w:t>
            </w:r>
            <w:r>
              <w:rPr>
                <w:rFonts w:hint="default" w:ascii="Times New Roman" w:hAnsi="Times New Roman" w:eastAsia="方正楷体_GB2312" w:cs="Times New Roman"/>
                <w:color w:val="000000"/>
                <w:sz w:val="32"/>
                <w:szCs w:val="32"/>
                <w:lang w:val="en-US" w:eastAsia="zh-CN"/>
              </w:rPr>
              <w:t>时，河槽一般冲刷深度分别为0.62m和0.56m，桥位局部冲刷深度分别为0.53m和0.66m，总冲刷深度分别为1.15m和1.22m。第一处和第三处涉河点墩台桩基础埋深为21～25.9m，远大于冲刷最大深度，满足抗冲刷要求。已建工程随时间的推移，河段会逐渐进入新的水动力平衡状态，工程对河道整体河势的稳定性不会产生大的影响。桥梁和涵洞建设对水流动力轴线变化影响较小，对河段冲淤影响及河势稳定影响也不大。项目河段上下游附近整体流态平稳，项目建设不会改变河道整体河势的稳定性。</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基本同意建设项目对行洪安全的影响评价结论</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已建的第二处涉河点涵洞在5年～100年一遇涵前最大水深为3.1m，涵洞净空为0.9m，单孔无压自由出流，过流能力</w:t>
            </w:r>
            <w:r>
              <w:rPr>
                <w:rFonts w:hint="eastAsia" w:ascii="Times New Roman" w:hAnsi="Times New Roman" w:eastAsia="方正楷体_GB2312" w:cs="Times New Roman"/>
                <w:color w:val="000000"/>
                <w:spacing w:val="1"/>
                <w:w w:val="93"/>
                <w:kern w:val="0"/>
                <w:sz w:val="32"/>
                <w:szCs w:val="32"/>
                <w:fitText w:val="1056" w:id="91384077"/>
                <w:lang w:val="en-US" w:eastAsia="zh-CN"/>
              </w:rPr>
              <w:t>56.6m³/</w:t>
            </w:r>
            <w:r>
              <w:rPr>
                <w:rFonts w:hint="eastAsia" w:ascii="Times New Roman" w:hAnsi="Times New Roman" w:eastAsia="方正楷体_GB2312" w:cs="Times New Roman"/>
                <w:color w:val="000000"/>
                <w:spacing w:val="-1"/>
                <w:w w:val="93"/>
                <w:kern w:val="0"/>
                <w:sz w:val="32"/>
                <w:szCs w:val="32"/>
                <w:fitText w:val="1056" w:id="91384077"/>
                <w:lang w:val="en-US" w:eastAsia="zh-CN"/>
              </w:rPr>
              <w:t>s</w:t>
            </w:r>
            <w:r>
              <w:rPr>
                <w:rFonts w:hint="eastAsia" w:ascii="Times New Roman" w:hAnsi="Times New Roman" w:eastAsia="方正楷体_GB2312" w:cs="Times New Roman"/>
                <w:color w:val="000000"/>
                <w:sz w:val="32"/>
                <w:szCs w:val="32"/>
                <w:lang w:val="en-US" w:eastAsia="zh-CN"/>
              </w:rPr>
              <w:t>满足100年一遇洪峰泄放需求。第一处、第三处涉河点桥梁在5年～100年一遇洪水的最大阻水比分别为4.51%和4.79%，上游水位最大壅高值分别为0.01m和0.016m，水位壅高范围最远分别为桥梁上游0.57m、2.02m处。工程运行期对河道行洪安全影响不大。</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基本同意建设项目对水工程安全的影响评价结论</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工程河段未涉及已建水工程，现状为天然岸坡，根据岸坡稳定分析，岸坡抗滑稳定系数满足规范要求，已建成工程运行期对现有岸坡的稳定影响较小。工程建设后，其壅水和冲淤等影响较小，产生的流速及流向变化局限在桥址和涵洞附近河段，其影响很小。运营期应落实常态化河道巡查，重点监测桥墩周边河床冲刷变化，保障附近水利工程和建设工程运行安全。</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基本同意建设项目对防汛抢险的影响评价结论</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工程上、下游500m范围内无通讯设施和汛期临时水尺等防汛设施，项目建设未占用防汛抢险设施，对防汛道路及抢险无不利影响。</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基本同意建设项目对水工程运行管理和影响评价结论</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本次评价涉水工程存在河道管理与桥梁和涵洞运营管理范围重叠区域，公路管理机构应与水行政主管部门或者流域管理机构协商后划定公路建筑控制区。工程所在河段暂无堤防、护岸等水利工程设施，不会对河道堤防、护岸日常维护产生影响。本建设项目对水工程运行管理的影响较小。</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基本同意建设项目对第三人合法水事权益的影响评价结论</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工程影响分析范围内没有取水口、水文站、穿河天然管线、排水口等涉水设施，工程上下游其他桥梁均在500m之外，工程对河道壅水及流态变化影响均较小，建设项目对第三者合法水事权益影响较小。若涉及第三人合法水事权益纠纷，由建设单位协商解决。</w:t>
            </w:r>
          </w:p>
          <w:p>
            <w:pPr>
              <w:keepNext w:val="0"/>
              <w:keepLines w:val="0"/>
              <w:pageBreakBefore w:val="0"/>
              <w:widowControl w:val="0"/>
              <w:numPr>
                <w:ilvl w:val="0"/>
                <w:numId w:val="4"/>
              </w:numPr>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基本同意综合评价结论</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方正楷体_GB2312" w:cs="Times New Roman"/>
                <w:color w:val="000000"/>
                <w:sz w:val="32"/>
                <w:szCs w:val="32"/>
                <w:lang w:val="en-US" w:eastAsia="zh-CN"/>
              </w:rPr>
            </w:pPr>
            <w:r>
              <w:rPr>
                <w:rFonts w:hint="eastAsia" w:ascii="Times New Roman" w:hAnsi="Times New Roman" w:eastAsia="方正楷体_GB2312" w:cs="Times New Roman"/>
                <w:color w:val="000000"/>
                <w:sz w:val="32"/>
                <w:szCs w:val="32"/>
                <w:lang w:val="en-US" w:eastAsia="zh-CN"/>
              </w:rPr>
              <w:t>本工程与有关规划、防洪标准及有关技术指标相适应，对水利规划实施、河势稳定、河道行洪、水工程安全、防汛抢险、水工程运行管理、其他第三方合法水事权益等影响较小。</w:t>
            </w:r>
          </w:p>
          <w:p>
            <w:pPr>
              <w:numPr>
                <w:ilvl w:val="0"/>
                <w:numId w:val="1"/>
              </w:numPr>
              <w:autoSpaceDE w:val="0"/>
              <w:autoSpaceDN w:val="0"/>
              <w:adjustRightInd w:val="0"/>
              <w:spacing w:line="560" w:lineRule="exact"/>
              <w:ind w:firstLine="640" w:firstLineChars="200"/>
              <w:rPr>
                <w:rFonts w:hint="eastAsia" w:ascii="Times New Roman" w:hAnsi="Times New Roman" w:eastAsia="黑体" w:cs="Times New Roman"/>
                <w:color w:val="000000"/>
                <w:sz w:val="32"/>
                <w:szCs w:val="32"/>
                <w:lang w:val="en-US" w:eastAsia="zh-CN"/>
              </w:rPr>
            </w:pPr>
            <w:r>
              <w:rPr>
                <w:rFonts w:hint="eastAsia" w:ascii="Times New Roman" w:hAnsi="Times New Roman" w:eastAsia="黑体" w:cs="Times New Roman"/>
                <w:color w:val="000000"/>
                <w:sz w:val="32"/>
                <w:szCs w:val="32"/>
                <w:lang w:val="en-US" w:eastAsia="zh-CN"/>
              </w:rPr>
              <w:t>消除或减轻洪水影响措施</w:t>
            </w:r>
          </w:p>
          <w:p>
            <w:pPr>
              <w:keepNext w:val="0"/>
              <w:keepLines w:val="0"/>
              <w:pageBreakBefore w:val="0"/>
              <w:widowControl w:val="0"/>
              <w:numPr>
                <w:ilvl w:val="0"/>
                <w:numId w:val="0"/>
              </w:numPr>
              <w:kinsoku/>
              <w:wordWrap w:val="0"/>
              <w:overflowPunct/>
              <w:topLinePunct/>
              <w:autoSpaceDE w:val="0"/>
              <w:autoSpaceDN w:val="0"/>
              <w:bidi w:val="0"/>
              <w:adjustRightInd w:val="0"/>
              <w:snapToGrid/>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本项目经洪水影响评价，无需新增加消除和减轻影响工程的措施。工程将在运行期间应当建立常态化监测管护、防汛管理制度体系等非工程措施，整体措施科学合理、切实可行，能够长期、有效消除本项目涉水建设带来的各类洪水不利影响，满足洪水影响评价管控要求。</w:t>
            </w:r>
          </w:p>
          <w:p>
            <w:pPr>
              <w:numPr>
                <w:ilvl w:val="0"/>
                <w:numId w:val="1"/>
              </w:numPr>
              <w:autoSpaceDE w:val="0"/>
              <w:autoSpaceDN w:val="0"/>
              <w:adjustRightInd w:val="0"/>
              <w:spacing w:line="560" w:lineRule="exact"/>
              <w:ind w:left="0" w:leftChars="0" w:firstLine="640" w:firstLineChars="200"/>
              <w:rPr>
                <w:rFonts w:hint="eastAsia" w:ascii="Times New Roman" w:hAnsi="Times New Roman" w:eastAsia="黑体" w:cs="Times New Roman"/>
                <w:color w:val="000000"/>
                <w:sz w:val="32"/>
                <w:szCs w:val="32"/>
                <w:lang w:eastAsia="zh-CN"/>
              </w:rPr>
            </w:pPr>
            <w:r>
              <w:rPr>
                <w:rFonts w:hint="eastAsia" w:ascii="Times New Roman" w:hAnsi="Times New Roman" w:eastAsia="黑体" w:cs="Times New Roman"/>
                <w:color w:val="000000"/>
                <w:sz w:val="32"/>
                <w:szCs w:val="32"/>
                <w:lang w:eastAsia="zh-CN"/>
              </w:rPr>
              <w:t>其他要求</w:t>
            </w:r>
          </w:p>
          <w:p>
            <w:pPr>
              <w:autoSpaceDE w:val="0"/>
              <w:autoSpaceDN w:val="0"/>
              <w:adjustRightInd w:val="0"/>
              <w:spacing w:line="56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eastAsia="zh-CN"/>
              </w:rPr>
              <w:t>（一）为了保证施工期和运行期的工程安全，建议项目建设单位应编制详细的施工方案和运行管理方案，并尽快编制防洪抢险应急预案，报柳江区水行政主管部门及相关部门备案，洪水期需听从水行政主管部门的统一指挥。</w:t>
            </w:r>
          </w:p>
          <w:p>
            <w:pPr>
              <w:autoSpaceDE w:val="0"/>
              <w:autoSpaceDN w:val="0"/>
              <w:adjustRightInd w:val="0"/>
              <w:spacing w:line="56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eastAsia="zh-CN"/>
              </w:rPr>
              <w:t>二</w:t>
            </w:r>
            <w:r>
              <w:rPr>
                <w:rFonts w:hint="default" w:ascii="Times New Roman" w:hAnsi="Times New Roman" w:eastAsia="仿宋_GB2312" w:cs="Times New Roman"/>
                <w:color w:val="000000"/>
                <w:sz w:val="32"/>
                <w:szCs w:val="32"/>
                <w:lang w:eastAsia="zh-CN"/>
              </w:rPr>
              <w:t>）竣工验收时须通知柳州市柳江区水利局参加，未经柳州市柳江区水利局参加验收或验收不合格的，项目不得投入使用。</w:t>
            </w:r>
          </w:p>
          <w:p>
            <w:pPr>
              <w:autoSpaceDE w:val="0"/>
              <w:autoSpaceDN w:val="0"/>
              <w:adjustRightInd w:val="0"/>
              <w:spacing w:line="56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eastAsia="zh-CN"/>
              </w:rPr>
              <w:t>三</w:t>
            </w:r>
            <w:r>
              <w:rPr>
                <w:rFonts w:hint="default" w:ascii="Times New Roman" w:hAnsi="Times New Roman" w:eastAsia="仿宋_GB2312" w:cs="Times New Roman"/>
                <w:color w:val="000000"/>
                <w:sz w:val="32"/>
                <w:szCs w:val="32"/>
                <w:lang w:eastAsia="zh-CN"/>
              </w:rPr>
              <w:t>）工程建设和运行造成水利工程损坏、水生态环境破坏、洪涝损失、安全事故，以及对第三人合法权益有影响的，由你公司负责协调并承担相应责任。</w:t>
            </w:r>
          </w:p>
          <w:p>
            <w:pPr>
              <w:autoSpaceDE w:val="0"/>
              <w:autoSpaceDN w:val="0"/>
              <w:adjustRightInd w:val="0"/>
              <w:spacing w:line="56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eastAsia="zh-CN"/>
              </w:rPr>
              <w:t>四</w:t>
            </w:r>
            <w:r>
              <w:rPr>
                <w:rFonts w:hint="default" w:ascii="Times New Roman" w:hAnsi="Times New Roman" w:eastAsia="仿宋_GB2312" w:cs="Times New Roman"/>
                <w:color w:val="000000"/>
                <w:sz w:val="32"/>
                <w:szCs w:val="32"/>
                <w:lang w:eastAsia="zh-CN"/>
              </w:rPr>
              <w:t>）工程建设须接受柳州市柳江区水利局的监督和管理。</w:t>
            </w:r>
          </w:p>
          <w:p>
            <w:pPr>
              <w:autoSpaceDE w:val="0"/>
              <w:autoSpaceDN w:val="0"/>
              <w:adjustRightInd w:val="0"/>
              <w:spacing w:line="560" w:lineRule="exact"/>
              <w:ind w:firstLine="640" w:firstLineChars="200"/>
              <w:jc w:val="center"/>
              <w:rPr>
                <w:rFonts w:ascii="Times New Roman" w:hAnsi="Times New Roman" w:eastAsia="仿宋_GB2312"/>
                <w:color w:val="000000"/>
                <w:sz w:val="32"/>
                <w:szCs w:val="32"/>
              </w:rPr>
            </w:pPr>
            <w:r>
              <w:rPr>
                <w:rFonts w:ascii="Times New Roman" w:hAnsi="Times New Roman" w:eastAsia="仿宋_GB2312"/>
                <w:color w:val="000000"/>
                <w:sz w:val="32"/>
                <w:szCs w:val="32"/>
              </w:rPr>
              <w:t xml:space="preserve">            </w:t>
            </w:r>
          </w:p>
          <w:p>
            <w:pPr>
              <w:autoSpaceDE w:val="0"/>
              <w:autoSpaceDN w:val="0"/>
              <w:adjustRightInd w:val="0"/>
              <w:spacing w:line="560" w:lineRule="exact"/>
              <w:ind w:firstLine="640" w:firstLineChars="200"/>
              <w:jc w:val="center"/>
              <w:rPr>
                <w:rFonts w:ascii="Times New Roman" w:hAnsi="Times New Roman" w:eastAsia="仿宋_GB2312"/>
                <w:color w:val="000000"/>
                <w:sz w:val="32"/>
                <w:szCs w:val="32"/>
              </w:rPr>
            </w:pPr>
            <w:r>
              <w:rPr>
                <w:rFonts w:ascii="Times New Roman" w:hAnsi="Times New Roman" w:eastAsia="仿宋_GB2312"/>
                <w:color w:val="000000"/>
                <w:sz w:val="32"/>
                <w:szCs w:val="32"/>
              </w:rPr>
              <w:t xml:space="preserve">    </w:t>
            </w:r>
          </w:p>
          <w:p>
            <w:pPr>
              <w:autoSpaceDE w:val="0"/>
              <w:autoSpaceDN w:val="0"/>
              <w:adjustRightInd w:val="0"/>
              <w:spacing w:line="560" w:lineRule="exact"/>
              <w:ind w:firstLine="640" w:firstLineChars="200"/>
              <w:rPr>
                <w:rFonts w:hint="default" w:ascii="Times New Roman" w:hAnsi="Times New Roman" w:eastAsia="仿宋_GB2312" w:cs="Times New Roman"/>
                <w:color w:val="000000"/>
                <w:sz w:val="32"/>
                <w:szCs w:val="32"/>
              </w:rPr>
            </w:pPr>
            <w:r>
              <w:rPr>
                <w:rFonts w:ascii="Times New Roman" w:hAnsi="Times New Roman" w:eastAsia="仿宋_GB2312"/>
                <w:color w:val="000000"/>
                <w:sz w:val="32"/>
                <w:szCs w:val="32"/>
              </w:rPr>
              <w:t xml:space="preserve">                     </w:t>
            </w:r>
            <w:r>
              <w:rPr>
                <w:rFonts w:hint="default"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柳州市柳江区行政审批局</w:t>
            </w:r>
            <w:r>
              <w:rPr>
                <w:rFonts w:hint="default" w:ascii="Times New Roman" w:hAnsi="Times New Roman" w:eastAsia="仿宋_GB2312" w:cs="Times New Roman"/>
                <w:color w:val="000000"/>
                <w:sz w:val="32"/>
                <w:szCs w:val="32"/>
              </w:rPr>
              <w:t>（盖章）</w:t>
            </w:r>
          </w:p>
          <w:p>
            <w:pPr>
              <w:autoSpaceDE w:val="0"/>
              <w:autoSpaceDN w:val="0"/>
              <w:adjustRightInd w:val="0"/>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rPr>
              <w:t>202</w:t>
            </w:r>
            <w:r>
              <w:rPr>
                <w:rFonts w:hint="eastAsia"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lang w:val="en-US" w:eastAsia="zh-CN"/>
              </w:rPr>
              <w:t>26</w:t>
            </w:r>
            <w:r>
              <w:rPr>
                <w:rFonts w:hint="default" w:ascii="Times New Roman" w:hAnsi="Times New Roman" w:eastAsia="仿宋_GB2312" w:cs="Times New Roman"/>
                <w:color w:val="000000"/>
                <w:sz w:val="32"/>
                <w:szCs w:val="32"/>
              </w:rPr>
              <w:t>日</w:t>
            </w:r>
          </w:p>
          <w:p>
            <w:pPr>
              <w:autoSpaceDE w:val="0"/>
              <w:autoSpaceDN w:val="0"/>
              <w:adjustRightInd w:val="0"/>
              <w:spacing w:line="560" w:lineRule="exact"/>
              <w:ind w:firstLine="640" w:firstLineChars="200"/>
              <w:rPr>
                <w:rFonts w:hint="default" w:ascii="Times New Roman" w:hAnsi="Times New Roman" w:eastAsia="仿宋_GB2312" w:cs="Times New Roman"/>
                <w:color w:val="000000"/>
                <w:sz w:val="32"/>
                <w:szCs w:val="32"/>
              </w:rPr>
            </w:pPr>
          </w:p>
        </w:tc>
      </w:tr>
      <w:tr>
        <w:tblPrEx>
          <w:tblBorders>
            <w:top w:val="single" w:color="000000" w:sz="12" w:space="0"/>
            <w:left w:val="single" w:color="000000" w:sz="12" w:space="0"/>
            <w:bottom w:val="single" w:color="000000" w:sz="12" w:space="0"/>
            <w:right w:val="single" w:color="000000" w:sz="12" w:space="0"/>
            <w:insideH w:val="single" w:color="auto" w:sz="6" w:space="0"/>
            <w:insideV w:val="single" w:color="auto" w:sz="6" w:space="0"/>
          </w:tblBorders>
          <w:tblCellMar>
            <w:top w:w="0" w:type="dxa"/>
            <w:left w:w="108" w:type="dxa"/>
            <w:bottom w:w="0" w:type="dxa"/>
            <w:right w:w="108" w:type="dxa"/>
          </w:tblCellMar>
        </w:tblPrEx>
        <w:trPr>
          <w:trHeight w:val="220" w:hRule="atLeast"/>
        </w:trPr>
        <w:tc>
          <w:tcPr>
            <w:tcW w:w="1077" w:type="dxa"/>
            <w:tcBorders>
              <w:right w:val="single" w:color="auto" w:sz="4" w:space="0"/>
            </w:tcBorders>
            <w:noWrap w:val="0"/>
            <w:vAlign w:val="center"/>
          </w:tcPr>
          <w:p>
            <w:pPr>
              <w:spacing w:line="600" w:lineRule="exact"/>
              <w:jc w:val="center"/>
              <w:rPr>
                <w:rFonts w:ascii="Times New Roman" w:hAnsi="Times New Roman" w:eastAsia="仿宋_GB2312"/>
                <w:color w:val="000000"/>
                <w:sz w:val="32"/>
                <w:szCs w:val="32"/>
              </w:rPr>
            </w:pPr>
            <w:r>
              <w:rPr>
                <w:rFonts w:ascii="Times New Roman" w:hAnsi="Times New Roman" w:eastAsia="仿宋_GB2312"/>
                <w:color w:val="000000"/>
                <w:sz w:val="32"/>
                <w:szCs w:val="32"/>
              </w:rPr>
              <w:t>附 图</w:t>
            </w:r>
          </w:p>
        </w:tc>
        <w:tc>
          <w:tcPr>
            <w:tcW w:w="8010" w:type="dxa"/>
            <w:gridSpan w:val="2"/>
            <w:tcBorders>
              <w:left w:val="single" w:color="auto" w:sz="4" w:space="0"/>
            </w:tcBorders>
            <w:noWrap w:val="0"/>
            <w:vAlign w:val="center"/>
          </w:tcPr>
          <w:p>
            <w:pPr>
              <w:autoSpaceDE w:val="0"/>
              <w:autoSpaceDN w:val="0"/>
              <w:adjustRightInd w:val="0"/>
              <w:spacing w:line="560" w:lineRule="exact"/>
              <w:rPr>
                <w:rFonts w:hint="default" w:ascii="Times New Roman" w:hAnsi="Times New Roman" w:eastAsia="仿宋_GB2312"/>
                <w:color w:val="000000"/>
                <w:spacing w:val="-18"/>
                <w:sz w:val="32"/>
                <w:szCs w:val="32"/>
                <w:lang w:val="en-US"/>
              </w:rPr>
            </w:pPr>
            <w:r>
              <w:rPr>
                <w:rFonts w:hint="eastAsia" w:ascii="Times New Roman" w:hAnsi="Times New Roman" w:eastAsia="仿宋_GB2312" w:cs="Times New Roman"/>
                <w:color w:val="000000"/>
                <w:sz w:val="32"/>
                <w:szCs w:val="32"/>
                <w:lang w:eastAsia="zh-CN"/>
              </w:rPr>
              <w:t>贺州至巴马高速公路（象州至来宾段）龙平大桥、</w:t>
            </w:r>
            <w:r>
              <w:rPr>
                <w:rFonts w:hint="eastAsia" w:ascii="Times New Roman" w:hAnsi="Times New Roman" w:eastAsia="仿宋_GB2312" w:cs="Times New Roman"/>
                <w:color w:val="000000"/>
                <w:sz w:val="32"/>
                <w:szCs w:val="32"/>
                <w:lang w:val="en-US" w:eastAsia="zh-CN"/>
              </w:rPr>
              <w:t>K220+370钢筋砼盖板涵、红岩水库大桥工程</w:t>
            </w:r>
            <w:r>
              <w:rPr>
                <w:rFonts w:hint="eastAsia" w:ascii="Times New Roman" w:hAnsi="Times New Roman" w:eastAsia="仿宋_GB2312" w:cs="Times New Roman"/>
                <w:snapToGrid w:val="0"/>
                <w:color w:val="000000"/>
                <w:kern w:val="0"/>
                <w:sz w:val="32"/>
                <w:szCs w:val="32"/>
                <w:lang w:val="en-US" w:eastAsia="zh-CN"/>
              </w:rPr>
              <w:t>设计附图册</w:t>
            </w:r>
          </w:p>
        </w:tc>
      </w:tr>
    </w:tbl>
    <w:p>
      <w:pPr>
        <w:ind w:firstLine="140" w:firstLineChars="50"/>
        <w:rPr>
          <w:rFonts w:hint="eastAsia" w:ascii="仿宋_GB2312" w:hAnsi="仿宋" w:eastAsia="仿宋_GB2312" w:cs="仿宋_GB2312"/>
          <w:sz w:val="28"/>
          <w:szCs w:val="28"/>
        </w:rPr>
      </w:pPr>
    </w:p>
    <w:p>
      <w:pPr>
        <w:ind w:firstLine="140" w:firstLineChars="50"/>
        <w:rPr>
          <w:rFonts w:hint="eastAsia" w:ascii="仿宋_GB2312" w:hAnsi="仿宋" w:eastAsia="仿宋_GB2312" w:cs="仿宋_GB2312"/>
          <w:sz w:val="28"/>
          <w:szCs w:val="28"/>
        </w:rPr>
      </w:pPr>
    </w:p>
    <w:p>
      <w:pPr>
        <w:ind w:firstLine="140" w:firstLineChars="50"/>
        <w:rPr>
          <w:rFonts w:hint="eastAsia" w:ascii="仿宋_GB2312" w:hAnsi="仿宋" w:eastAsia="仿宋_GB2312" w:cs="仿宋_GB2312"/>
          <w:sz w:val="28"/>
          <w:szCs w:val="28"/>
        </w:rPr>
      </w:pPr>
    </w:p>
    <w:p>
      <w:pPr>
        <w:ind w:firstLine="140" w:firstLineChars="50"/>
        <w:rPr>
          <w:rFonts w:hint="eastAsia" w:ascii="仿宋_GB2312" w:hAnsi="仿宋" w:eastAsia="仿宋_GB2312" w:cs="仿宋_GB2312"/>
          <w:sz w:val="28"/>
          <w:szCs w:val="28"/>
        </w:rPr>
      </w:pPr>
    </w:p>
    <w:p>
      <w:pPr>
        <w:spacing w:line="480" w:lineRule="exact"/>
        <w:ind w:firstLine="220" w:firstLineChars="50"/>
        <w:rPr>
          <w:rFonts w:hint="eastAsia" w:ascii="方正小标宋简体" w:hAnsi="方正小标宋简体" w:eastAsia="方正小标宋简体" w:cs="方正小标宋简体"/>
          <w:sz w:val="44"/>
          <w:szCs w:val="44"/>
          <w:lang w:val="en-US" w:eastAsia="zh-CN"/>
        </w:rPr>
      </w:pPr>
    </w:p>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A0CFC9-8F20-435B-B576-ABFF6C101A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4DA2B42-36AF-4908-ACAA-3F56296BE05E}"/>
  </w:font>
  <w:font w:name="Cambria">
    <w:panose1 w:val="02040503050406030204"/>
    <w:charset w:val="00"/>
    <w:family w:val="roman"/>
    <w:pitch w:val="default"/>
    <w:sig w:usb0="E00006FF" w:usb1="420024FF" w:usb2="02000000" w:usb3="00000000" w:csb0="2000019F" w:csb1="00000000"/>
  </w:font>
  <w:font w:name="方正大标宋简体">
    <w:panose1 w:val="02000000000000000000"/>
    <w:charset w:val="86"/>
    <w:family w:val="script"/>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embedRegular r:id="rId3" w:fontKey="{4FCEA3B2-12B0-4F44-8DEB-B1190112E320}"/>
  </w:font>
  <w:font w:name="方正小标宋简体">
    <w:panose1 w:val="03000509000000000000"/>
    <w:charset w:val="86"/>
    <w:family w:val="auto"/>
    <w:pitch w:val="default"/>
    <w:sig w:usb0="00000001" w:usb1="080E0000" w:usb2="00000000" w:usb3="00000000" w:csb0="00040000" w:csb1="00000000"/>
    <w:embedRegular r:id="rId4" w:fontKey="{D9FB2110-DA72-43C4-A73C-2977D5B87398}"/>
  </w:font>
  <w:font w:name="仿宋">
    <w:panose1 w:val="02010609060101010101"/>
    <w:charset w:val="86"/>
    <w:family w:val="modern"/>
    <w:pitch w:val="default"/>
    <w:sig w:usb0="800002BF" w:usb1="38CF7CFA" w:usb2="00000016" w:usb3="00000000" w:csb0="00040001" w:csb1="00000000"/>
    <w:embedRegular r:id="rId5" w:fontKey="{436303BC-5DB1-4613-A3D3-9C6FBAFDC4CB}"/>
  </w:font>
  <w:font w:name="方正楷体_GB2312">
    <w:panose1 w:val="02000000000000000000"/>
    <w:charset w:val="86"/>
    <w:family w:val="auto"/>
    <w:pitch w:val="default"/>
    <w:sig w:usb0="00000000" w:usb1="00000000" w:usb2="00000000" w:usb3="00000000" w:csb0="00000000" w:csb1="00000000"/>
    <w:embedRegular r:id="rId6" w:fontKey="{68257E41-921B-440C-B77C-4771E27CD2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jc w:val="both"/>
      <w:rPr>
        <w:rFonts w:hint="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ind w:right="357" w:firstLine="357"/>
                            <w:jc w:val="right"/>
                          </w:pPr>
                          <w:r>
                            <w:rPr>
                              <w:rFonts w:hint="eastAsia"/>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hint="eastAsia"/>
                              <w:sz w:val="28"/>
                              <w:szCs w:val="28"/>
                            </w:rPr>
                            <w:t xml:space="preserve"> —</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09D8gBAACZ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Tb0BtKHLc48Mv3b5cfvy4/v5Jl&#10;bk8foMasx4B5abj3Ay7N7Ad0ZtWDijZ/UQ/BODb3fG2uHBIR+dF6tV5XGBIYmy+Iz56ehwjprfSW&#10;ZKOhEadXmspP7yGNqXNKrub8gzamTNC4vxyImT0scx85ZisN+2EStPftGfX0OPiGOtxzSsw7h33N&#10;OzIbcTb2s3EMUR86pLYsvCDcHROSKNxyhRF2KowTK+qm7cor8ee9ZD39Ud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2dPQ/IAQAAmQMAAA4AAAAAAAAAAQAgAAAAHgEAAGRycy9lMm9Eb2Mu&#10;eG1sUEsFBgAAAAAGAAYAWQEAAFgFAAAAAA==&#10;">
              <v:fill on="f" focussize="0,0"/>
              <v:stroke on="f"/>
              <v:imagedata o:title=""/>
              <o:lock v:ext="edit" aspectratio="f"/>
              <v:textbox inset="0mm,0mm,0mm,0mm" style="mso-fit-shape-to-text:t;">
                <w:txbxContent>
                  <w:p>
                    <w:pPr>
                      <w:pStyle w:val="3"/>
                      <w:ind w:right="357" w:firstLine="357"/>
                      <w:jc w:val="right"/>
                    </w:pPr>
                    <w:r>
                      <w:rPr>
                        <w:rFonts w:hint="eastAsia"/>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hint="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rPr>
        <w:rFonts w:hint="eastAsia"/>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ind w:right="357" w:firstLine="357"/>
                            <w:jc w:val="right"/>
                          </w:pPr>
                          <w:r>
                            <w:rPr>
                              <w:rFonts w:hint="eastAsia"/>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r>
                            <w:rPr>
                              <w:rFonts w:hint="eastAsia"/>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9xLA7IAQAAmQMAAA4AAAAAAAAAAQAgAAAAHgEAAGRycy9lMm9Eb2Mu&#10;eG1sUEsFBgAAAAAGAAYAWQEAAFgFAAAAAA==&#10;">
              <v:fill on="f" focussize="0,0"/>
              <v:stroke on="f"/>
              <v:imagedata o:title=""/>
              <o:lock v:ext="edit" aspectratio="f"/>
              <v:textbox inset="0mm,0mm,0mm,0mm" style="mso-fit-shape-to-text:t;">
                <w:txbxContent>
                  <w:p>
                    <w:pPr>
                      <w:pStyle w:val="3"/>
                      <w:ind w:right="357" w:firstLine="357"/>
                      <w:jc w:val="right"/>
                    </w:pPr>
                    <w:r>
                      <w:rPr>
                        <w:rFonts w:hint="eastAsia"/>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r>
                      <w:rPr>
                        <w:rFonts w:hint="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eastAsia="宋体"/>
                              <w:lang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X6v2d4BAAC+AwAADgAAAGRycy9lMm9Eb2MueG1srVPBjtMwEL0j8Q+W&#10;7zTZI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e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pfq/Z3gEAAL4DAAAOAAAAAAAA&#10;AAEAIAAAAB4BAABkcnMvZTJvRG9jLnhtbFBLBQYAAAAABgAGAFkBAABuBQAAAAA=&#10;">
              <v:fill on="f" focussize="0,0"/>
              <v:stroke on="f"/>
              <v:imagedata o:title=""/>
              <o:lock v:ext="edit" aspectratio="f"/>
              <v:textbox inset="0mm,0mm,0mm,0mm" style="mso-fit-shape-to-text:t;">
                <w:txbxContent>
                  <w:p>
                    <w:pPr>
                      <w:pStyle w:val="3"/>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eastAsia="宋体"/>
                        <w:lang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51125"/>
    <w:multiLevelType w:val="singleLevel"/>
    <w:tmpl w:val="9DD51125"/>
    <w:lvl w:ilvl="0" w:tentative="0">
      <w:start w:val="1"/>
      <w:numFmt w:val="chineseCounting"/>
      <w:suff w:val="nothing"/>
      <w:lvlText w:val="（%1）"/>
      <w:lvlJc w:val="left"/>
      <w:rPr>
        <w:rFonts w:hint="eastAsia"/>
      </w:rPr>
    </w:lvl>
  </w:abstractNum>
  <w:abstractNum w:abstractNumId="1">
    <w:nsid w:val="AB4EBBDC"/>
    <w:multiLevelType w:val="singleLevel"/>
    <w:tmpl w:val="AB4EBBDC"/>
    <w:lvl w:ilvl="0" w:tentative="0">
      <w:start w:val="1"/>
      <w:numFmt w:val="chineseCounting"/>
      <w:suff w:val="nothing"/>
      <w:lvlText w:val="（%1）"/>
      <w:lvlJc w:val="left"/>
      <w:rPr>
        <w:rFonts w:hint="eastAsia"/>
      </w:rPr>
    </w:lvl>
  </w:abstractNum>
  <w:abstractNum w:abstractNumId="2">
    <w:nsid w:val="CC1E9F52"/>
    <w:multiLevelType w:val="singleLevel"/>
    <w:tmpl w:val="CC1E9F52"/>
    <w:lvl w:ilvl="0" w:tentative="0">
      <w:start w:val="1"/>
      <w:numFmt w:val="chineseCounting"/>
      <w:suff w:val="nothing"/>
      <w:lvlText w:val="%1、"/>
      <w:lvlJc w:val="left"/>
      <w:rPr>
        <w:rFonts w:hint="eastAsia"/>
      </w:rPr>
    </w:lvl>
  </w:abstractNum>
  <w:abstractNum w:abstractNumId="3">
    <w:nsid w:val="49CD0B64"/>
    <w:multiLevelType w:val="singleLevel"/>
    <w:tmpl w:val="49CD0B64"/>
    <w:lvl w:ilvl="0" w:tentative="0">
      <w:start w:val="1"/>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xMWMwZjM4M2E2NGYxZGQ3ZDJiNWQ3ZjU4ZGUwNTQifQ=="/>
    <w:docVar w:name="KSO_WPS_MARK_KEY" w:val="59b2d7d8-e24e-47c2-9514-40d6b411e13e"/>
  </w:docVars>
  <w:rsids>
    <w:rsidRoot w:val="00000000"/>
    <w:rsid w:val="000B44D3"/>
    <w:rsid w:val="00E27D7F"/>
    <w:rsid w:val="025C2CF3"/>
    <w:rsid w:val="02C43C1D"/>
    <w:rsid w:val="02CA4BCE"/>
    <w:rsid w:val="046B7BEE"/>
    <w:rsid w:val="05983ED8"/>
    <w:rsid w:val="064C13A1"/>
    <w:rsid w:val="06AE7966"/>
    <w:rsid w:val="06C62F02"/>
    <w:rsid w:val="06DA075B"/>
    <w:rsid w:val="095C411D"/>
    <w:rsid w:val="0AC522D2"/>
    <w:rsid w:val="0B0D1726"/>
    <w:rsid w:val="0B1B5A77"/>
    <w:rsid w:val="0BA80E28"/>
    <w:rsid w:val="0C90026F"/>
    <w:rsid w:val="0CE56A55"/>
    <w:rsid w:val="0D097FEC"/>
    <w:rsid w:val="0D95362E"/>
    <w:rsid w:val="0E9A455C"/>
    <w:rsid w:val="10D67A67"/>
    <w:rsid w:val="12D6271E"/>
    <w:rsid w:val="14E1184E"/>
    <w:rsid w:val="16657F65"/>
    <w:rsid w:val="16D82A39"/>
    <w:rsid w:val="18DB5D11"/>
    <w:rsid w:val="19CB7FC4"/>
    <w:rsid w:val="1B0911B7"/>
    <w:rsid w:val="1BC872C4"/>
    <w:rsid w:val="1C1572A5"/>
    <w:rsid w:val="1CB312D8"/>
    <w:rsid w:val="1DBB43E5"/>
    <w:rsid w:val="1E620680"/>
    <w:rsid w:val="1ED8781E"/>
    <w:rsid w:val="1EED6A69"/>
    <w:rsid w:val="1FB042F7"/>
    <w:rsid w:val="203A4BB0"/>
    <w:rsid w:val="20547378"/>
    <w:rsid w:val="20A96600"/>
    <w:rsid w:val="239F232F"/>
    <w:rsid w:val="244338EA"/>
    <w:rsid w:val="24EF58C2"/>
    <w:rsid w:val="24F271AB"/>
    <w:rsid w:val="281D0B8F"/>
    <w:rsid w:val="28947661"/>
    <w:rsid w:val="2C921B27"/>
    <w:rsid w:val="2CB27900"/>
    <w:rsid w:val="2E24482E"/>
    <w:rsid w:val="2E627104"/>
    <w:rsid w:val="2E764C99"/>
    <w:rsid w:val="2F72064D"/>
    <w:rsid w:val="2FEE162E"/>
    <w:rsid w:val="30071129"/>
    <w:rsid w:val="30722B71"/>
    <w:rsid w:val="31523460"/>
    <w:rsid w:val="31A517E2"/>
    <w:rsid w:val="31E12235"/>
    <w:rsid w:val="325D3E6B"/>
    <w:rsid w:val="32787919"/>
    <w:rsid w:val="32C027CE"/>
    <w:rsid w:val="34E852DE"/>
    <w:rsid w:val="35154937"/>
    <w:rsid w:val="354C51AA"/>
    <w:rsid w:val="35B22E2B"/>
    <w:rsid w:val="35C00600"/>
    <w:rsid w:val="35F31338"/>
    <w:rsid w:val="37703EB7"/>
    <w:rsid w:val="387C0DC3"/>
    <w:rsid w:val="390239BE"/>
    <w:rsid w:val="391F6E15"/>
    <w:rsid w:val="39556485"/>
    <w:rsid w:val="398A41CF"/>
    <w:rsid w:val="3A574D58"/>
    <w:rsid w:val="3AE55345"/>
    <w:rsid w:val="3B521AA4"/>
    <w:rsid w:val="3B853F89"/>
    <w:rsid w:val="3BBC7D03"/>
    <w:rsid w:val="3C3654EA"/>
    <w:rsid w:val="3CE47388"/>
    <w:rsid w:val="3E067951"/>
    <w:rsid w:val="3F823162"/>
    <w:rsid w:val="416079B7"/>
    <w:rsid w:val="42AF5A23"/>
    <w:rsid w:val="42DB39F4"/>
    <w:rsid w:val="4306704E"/>
    <w:rsid w:val="4574354D"/>
    <w:rsid w:val="4747049F"/>
    <w:rsid w:val="47F33D8E"/>
    <w:rsid w:val="49DA2A89"/>
    <w:rsid w:val="4A3E412A"/>
    <w:rsid w:val="4C063ACA"/>
    <w:rsid w:val="4E435D26"/>
    <w:rsid w:val="4F352565"/>
    <w:rsid w:val="50F4188B"/>
    <w:rsid w:val="50F52A52"/>
    <w:rsid w:val="51DE7407"/>
    <w:rsid w:val="54F153B4"/>
    <w:rsid w:val="56CA7470"/>
    <w:rsid w:val="572F0B70"/>
    <w:rsid w:val="57963D10"/>
    <w:rsid w:val="57C40364"/>
    <w:rsid w:val="57F843F4"/>
    <w:rsid w:val="585933E4"/>
    <w:rsid w:val="5B44210F"/>
    <w:rsid w:val="5B8C73EB"/>
    <w:rsid w:val="5ED15115"/>
    <w:rsid w:val="5FD80FB4"/>
    <w:rsid w:val="60B149AE"/>
    <w:rsid w:val="60D158A0"/>
    <w:rsid w:val="61596B29"/>
    <w:rsid w:val="624118FD"/>
    <w:rsid w:val="632E5E62"/>
    <w:rsid w:val="67160267"/>
    <w:rsid w:val="6809214E"/>
    <w:rsid w:val="684921C0"/>
    <w:rsid w:val="686D0A6B"/>
    <w:rsid w:val="68DF3365"/>
    <w:rsid w:val="6BC923FB"/>
    <w:rsid w:val="6CA36342"/>
    <w:rsid w:val="6EB02F99"/>
    <w:rsid w:val="6F2474E3"/>
    <w:rsid w:val="6F3277A9"/>
    <w:rsid w:val="70787AE6"/>
    <w:rsid w:val="721D0945"/>
    <w:rsid w:val="72B133E2"/>
    <w:rsid w:val="73373C88"/>
    <w:rsid w:val="73CD1EF7"/>
    <w:rsid w:val="768F16E6"/>
    <w:rsid w:val="772635C3"/>
    <w:rsid w:val="77655BF3"/>
    <w:rsid w:val="78C24855"/>
    <w:rsid w:val="7AF366E7"/>
    <w:rsid w:val="7BA41879"/>
    <w:rsid w:val="7D9F267A"/>
    <w:rsid w:val="7F675A14"/>
    <w:rsid w:val="7FC44A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basedOn w:val="1"/>
    <w:next w:val="1"/>
    <w:qFormat/>
    <w:uiPriority w:val="0"/>
    <w:pPr>
      <w:spacing w:before="240" w:after="60"/>
      <w:jc w:val="center"/>
      <w:outlineLvl w:val="0"/>
    </w:pPr>
    <w:rPr>
      <w:rFonts w:ascii="Cambria" w:hAnsi="Cambria" w:eastAsia="宋体" w:cs="Times New Roman"/>
      <w:b/>
      <w:bCs/>
      <w:sz w:val="32"/>
      <w:szCs w:val="32"/>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61154d-687f-4c3a-99c7-b80372000442}">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4168</Words>
  <Characters>4758</Characters>
  <Lines>0</Lines>
  <Paragraphs>0</Paragraphs>
  <TotalTime>13</TotalTime>
  <ScaleCrop>false</ScaleCrop>
  <LinksUpToDate>false</LinksUpToDate>
  <CharactersWithSpaces>4797</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Administrator.PC-20181130KJVK</dc:creator>
  <cp:lastModifiedBy>Administrator</cp:lastModifiedBy>
  <cp:lastPrinted>2026-08-31T01:18:00Z</cp:lastPrinted>
  <dcterms:modified xsi:type="dcterms:W3CDTF">2026-09-09T01:31:10Z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F9B30AAC246C415B80F251A403CFF03B_13</vt:lpwstr>
  </property>
  <property fmtid="{D5CDD505-2E9C-101B-9397-08002B2CF9AE}" pid="4" name="KSOTemplateDocerSaveRecord">
    <vt:lpwstr>eyJoZGlkIjoiM2I5OWQ1YjdlMTc5MjhkMmU4NzY1NDdhNWEzMzQ2OTgiLCJ1c2VySWQiOiIxMzA2MTM2NjMyIn0=</vt:lpwstr>
  </property>
</Properties>
</file>