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7CC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附件2：</w:t>
      </w:r>
    </w:p>
    <w:p w14:paraId="43896A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8"/>
        </w:rPr>
        <w:t>定点委托集中供养管理制度</w:t>
      </w:r>
    </w:p>
    <w:p w14:paraId="57C11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8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  <w:t>试行</w:t>
      </w:r>
      <w:r>
        <w:rPr>
          <w:rFonts w:hint="eastAsia" w:ascii="方正小标宋简体" w:hAnsi="方正小标宋简体" w:eastAsia="方正小标宋简体" w:cs="方正小标宋简体"/>
          <w:sz w:val="40"/>
          <w:szCs w:val="48"/>
          <w:lang w:eastAsia="zh-CN"/>
        </w:rPr>
        <w:t>）</w:t>
      </w:r>
    </w:p>
    <w:p w14:paraId="2DD548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bookmarkStart w:id="0" w:name="_GoBack"/>
      <w:bookmarkEnd w:id="0"/>
    </w:p>
    <w:p w14:paraId="68BE42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为规范精神障碍、传染病等特殊特困托管人员的集中供养与就医管理，保障托管人员合法权益，明确各方职责，根据《中华人民共和国精神卫生法》《中华人民共和国社会救助法》等相关法律法规，结合本区实际，制定本制度。</w:t>
      </w:r>
    </w:p>
    <w:p w14:paraId="4C84A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第一条【适用范围】</w:t>
      </w:r>
    </w:p>
    <w:p w14:paraId="320E87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本制度适用于柳江区范围内因患有精神障碍、传染病等特殊疾病，经法定程序确认需实行定点委托集中供养的特困人员（以下简称“托管人员”）。</w:t>
      </w:r>
    </w:p>
    <w:p w14:paraId="40199B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第二条【委托程序】</w:t>
      </w:r>
    </w:p>
    <w:p w14:paraId="3FB7D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托管人员的定点委托集中供养，由柳江区民政局、托管人员所在供养机构（或定点医疗机构）及托管人员监护人（或村/居委会）三方签订《定点委托集中供养协议》。协议应明确各方的权利、义务及责任。</w:t>
      </w:r>
    </w:p>
    <w:p w14:paraId="57F7E7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第三条【定点医疗机构】</w:t>
      </w:r>
    </w:p>
    <w:p w14:paraId="5E815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托管人员应在协议约定的定点医疗机构接受常规治疗。定点医疗机构应具备相应的专科诊疗资质和条件。</w:t>
      </w:r>
    </w:p>
    <w:p w14:paraId="315711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第四条【常规治疗管理】</w:t>
      </w:r>
    </w:p>
    <w:p w14:paraId="59477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托管人员在定点医疗机构内的常规治疗（包括日常用药、常规检查、病情监测等），按照《定点委托集中供养协议》执行。定点医疗机构应定期向供养机构通报托管人员病情及治疗情况。</w:t>
      </w:r>
    </w:p>
    <w:p w14:paraId="1A8AA6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第五条【重大治疗审批】</w:t>
      </w:r>
    </w:p>
    <w:p w14:paraId="3C0DB8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托管人员涉及重大手术、高风险操作或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单次自费预估超过1000元或累计超过2000元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时</w:t>
      </w:r>
      <w:r>
        <w:rPr>
          <w:rFonts w:hint="default" w:ascii="Times New Roman" w:hAnsi="Times New Roman" w:eastAsia="仿宋_GB2312" w:cs="Times New Roman"/>
          <w:sz w:val="32"/>
          <w:szCs w:val="40"/>
        </w:rPr>
        <w:t>，仍需按照《柳州市柳江区特困人员就医治疗管理与签字决策管理办法（试行）》第四章的规定，履行签字决策和审批程序。供养机构或监护人应在收到医疗机构建议后24小时内启动审批流程。</w:t>
      </w:r>
    </w:p>
    <w:p w14:paraId="2BE17E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第六条【费用管理】</w:t>
      </w:r>
    </w:p>
    <w:p w14:paraId="555408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托管人员在定点医疗机构发生的合规医疗费用，按医疗救助政策予以保障。未经审批的自费项目，费用由建议方承担，不得从托管人员供养经费或救助资金中列支。</w:t>
      </w:r>
    </w:p>
    <w:p w14:paraId="2F86A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第七条【档案管理】</w:t>
      </w:r>
    </w:p>
    <w:p w14:paraId="70485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供养机构应建立托管人员“一人一档”，完整保存托管协议、就医记录、费用清单、审批材料等。</w:t>
      </w:r>
    </w:p>
    <w:p w14:paraId="7DE7CF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第八条【监督与评估】</w:t>
      </w:r>
    </w:p>
    <w:p w14:paraId="3DF89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柳江区民政局每年对定点委托集中供养执行情况进行一次评估，对不符合条件</w:t>
      </w:r>
      <w:r>
        <w:rPr>
          <w:rFonts w:hint="eastAsia" w:ascii="Times New Roman" w:hAnsi="Times New Roman" w:eastAsia="仿宋_GB2312" w:cs="Times New Roman"/>
          <w:sz w:val="32"/>
          <w:szCs w:val="40"/>
        </w:rPr>
        <w:t>的及时调整。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4F67AA"/>
    <w:rsid w:val="014F67AA"/>
    <w:rsid w:val="5144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2026-07-02T07:48:00Z</dcterms:created>
  <dc:creator>可可旭</dc:creator>
  <cp:lastModifiedBy>可可旭</cp:lastModifiedBy>
  <dcterms:modified xsi:type="dcterms:W3CDTF">2026-07-02T10:54:19Z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62F6BDB5F534437C86D093D127CA7BCA_11</vt:lpwstr>
  </property>
  <property fmtid="{D5CDD505-2E9C-101B-9397-08002B2CF9AE}" pid="4" name="KSOTemplateDocerSaveRecord">
    <vt:lpwstr>eyJoZGlkIjoiMGVjZDdkYzZjYmUxOGJmNGQxMDI4YzI4MzhlN2VkZDMiLCJ1c2VySWQiOiI3MjIzNTMwODQifQ==</vt:lpwstr>
  </property>
</Properties>
</file>