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方正小标宋_GBK" w:hAnsi="Times New Roman" w:eastAsia="方正小标宋_GBK" w:cs="Times New Roman"/>
          <w:sz w:val="32"/>
          <w:szCs w:val="32"/>
        </w:rPr>
      </w:pPr>
      <w:r>
        <w:rPr>
          <w:rFonts w:hint="eastAsia" w:ascii="方正小标宋_GBK" w:hAnsi="Times New Roman" w:eastAsia="方正小标宋_GBK" w:cs="Times New Roman"/>
          <w:sz w:val="32"/>
          <w:szCs w:val="32"/>
        </w:rPr>
        <w:t>附件7</w:t>
      </w:r>
    </w:p>
    <w:p>
      <w:pPr>
        <w:spacing w:line="52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审批事项清单</w:t>
      </w:r>
    </w:p>
    <w:p>
      <w:pPr>
        <w:spacing w:line="260" w:lineRule="exact"/>
        <w:rPr>
          <w:rFonts w:ascii="Times New Roman" w:hAnsi="Times New Roman" w:eastAsia="方正仿宋_GBK" w:cs="Times New Roman"/>
          <w:sz w:val="28"/>
          <w:szCs w:val="28"/>
        </w:rPr>
      </w:pPr>
    </w:p>
    <w:tbl>
      <w:tblPr>
        <w:tblStyle w:val="5"/>
        <w:tblW w:w="13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1"/>
        <w:gridCol w:w="283"/>
        <w:gridCol w:w="805"/>
        <w:gridCol w:w="4440"/>
        <w:gridCol w:w="2268"/>
        <w:gridCol w:w="850"/>
        <w:gridCol w:w="851"/>
        <w:gridCol w:w="850"/>
        <w:gridCol w:w="993"/>
        <w:gridCol w:w="567"/>
        <w:gridCol w:w="708"/>
        <w:gridCol w:w="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shd w:val="clear" w:color="auto" w:fill="auto"/>
            <w:tcMar>
              <w:top w:w="15" w:type="dxa"/>
              <w:left w:w="15" w:type="dxa"/>
              <w:right w:w="15" w:type="dxa"/>
            </w:tcMar>
            <w:vAlign w:val="center"/>
          </w:tcPr>
          <w:p>
            <w:pPr>
              <w:widowControl/>
              <w:snapToGrid w:val="0"/>
              <w:jc w:val="center"/>
              <w:textAlignment w:val="center"/>
              <w:rPr>
                <w:rFonts w:ascii="黑体" w:hAnsi="黑体" w:eastAsia="黑体" w:cs="宋体"/>
                <w:color w:val="000000"/>
                <w:kern w:val="0"/>
                <w:sz w:val="22"/>
                <w:szCs w:val="18"/>
              </w:rPr>
            </w:pPr>
            <w:r>
              <w:rPr>
                <w:rFonts w:hint="eastAsia" w:ascii="黑体" w:hAnsi="黑体" w:eastAsia="黑体" w:cs="宋体"/>
                <w:color w:val="000000"/>
                <w:kern w:val="0"/>
                <w:sz w:val="16"/>
                <w:szCs w:val="18"/>
              </w:rPr>
              <w:t>办理阶段</w:t>
            </w:r>
          </w:p>
        </w:tc>
        <w:tc>
          <w:tcPr>
            <w:tcW w:w="28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黑体" w:hAnsi="黑体" w:eastAsia="黑体" w:cs="宋体"/>
                <w:color w:val="000000"/>
                <w:kern w:val="0"/>
                <w:sz w:val="22"/>
                <w:szCs w:val="18"/>
              </w:rPr>
              <w:t>序号</w:t>
            </w:r>
          </w:p>
        </w:tc>
        <w:tc>
          <w:tcPr>
            <w:tcW w:w="805" w:type="dxa"/>
            <w:shd w:val="clear" w:color="auto" w:fill="auto"/>
            <w:tcMar>
              <w:top w:w="15" w:type="dxa"/>
              <w:left w:w="15" w:type="dxa"/>
              <w:right w:w="15" w:type="dxa"/>
            </w:tcMar>
            <w:vAlign w:val="center"/>
          </w:tcPr>
          <w:p>
            <w:pPr>
              <w:widowControl/>
              <w:snapToGrid w:val="0"/>
              <w:jc w:val="center"/>
              <w:textAlignment w:val="center"/>
              <w:rPr>
                <w:rFonts w:ascii="黑体" w:hAnsi="黑体" w:eastAsia="黑体" w:cs="宋体"/>
                <w:color w:val="000000"/>
                <w:kern w:val="0"/>
                <w:sz w:val="22"/>
                <w:szCs w:val="18"/>
              </w:rPr>
            </w:pPr>
            <w:r>
              <w:rPr>
                <w:rFonts w:hint="eastAsia" w:ascii="黑体" w:hAnsi="黑体" w:eastAsia="黑体" w:cs="宋体"/>
                <w:color w:val="000000"/>
                <w:kern w:val="0"/>
                <w:sz w:val="16"/>
                <w:szCs w:val="18"/>
              </w:rPr>
              <w:t>事项名称</w:t>
            </w:r>
          </w:p>
        </w:tc>
        <w:tc>
          <w:tcPr>
            <w:tcW w:w="4440" w:type="dxa"/>
            <w:shd w:val="clear" w:color="auto" w:fill="auto"/>
            <w:tcMar>
              <w:top w:w="15" w:type="dxa"/>
              <w:left w:w="15" w:type="dxa"/>
              <w:right w:w="15" w:type="dxa"/>
            </w:tcMar>
            <w:vAlign w:val="center"/>
          </w:tcPr>
          <w:p>
            <w:pPr>
              <w:widowControl/>
              <w:snapToGrid w:val="0"/>
              <w:jc w:val="center"/>
              <w:textAlignment w:val="center"/>
              <w:rPr>
                <w:rFonts w:ascii="黑体" w:hAnsi="黑体" w:eastAsia="黑体" w:cs="宋体"/>
                <w:color w:val="000000"/>
                <w:kern w:val="0"/>
                <w:sz w:val="22"/>
                <w:szCs w:val="18"/>
              </w:rPr>
            </w:pPr>
            <w:r>
              <w:rPr>
                <w:rFonts w:hint="eastAsia" w:ascii="黑体" w:hAnsi="黑体" w:eastAsia="黑体" w:cs="宋体"/>
                <w:color w:val="000000"/>
                <w:kern w:val="0"/>
                <w:sz w:val="22"/>
                <w:szCs w:val="18"/>
              </w:rPr>
              <w:t>法律依据</w:t>
            </w:r>
          </w:p>
        </w:tc>
        <w:tc>
          <w:tcPr>
            <w:tcW w:w="2268" w:type="dxa"/>
            <w:shd w:val="clear" w:color="auto" w:fill="auto"/>
            <w:tcMar>
              <w:top w:w="15" w:type="dxa"/>
              <w:left w:w="15" w:type="dxa"/>
              <w:right w:w="15" w:type="dxa"/>
            </w:tcMar>
            <w:vAlign w:val="center"/>
          </w:tcPr>
          <w:p>
            <w:pPr>
              <w:widowControl/>
              <w:snapToGrid w:val="0"/>
              <w:jc w:val="center"/>
              <w:textAlignment w:val="center"/>
              <w:rPr>
                <w:rFonts w:ascii="黑体" w:hAnsi="黑体" w:eastAsia="黑体" w:cs="宋体"/>
                <w:color w:val="000000"/>
                <w:kern w:val="0"/>
                <w:sz w:val="22"/>
                <w:szCs w:val="18"/>
              </w:rPr>
            </w:pPr>
            <w:r>
              <w:rPr>
                <w:rFonts w:hint="eastAsia" w:ascii="黑体" w:hAnsi="黑体" w:eastAsia="黑体" w:cs="宋体"/>
                <w:color w:val="000000"/>
                <w:kern w:val="0"/>
                <w:sz w:val="22"/>
                <w:szCs w:val="18"/>
              </w:rPr>
              <w:t>材料清单</w:t>
            </w:r>
          </w:p>
        </w:tc>
        <w:tc>
          <w:tcPr>
            <w:tcW w:w="850" w:type="dxa"/>
            <w:shd w:val="clear" w:color="auto" w:fill="auto"/>
            <w:tcMar>
              <w:top w:w="15" w:type="dxa"/>
              <w:left w:w="15" w:type="dxa"/>
              <w:right w:w="15" w:type="dxa"/>
            </w:tcMar>
            <w:vAlign w:val="center"/>
          </w:tcPr>
          <w:p>
            <w:pPr>
              <w:widowControl/>
              <w:snapToGrid w:val="0"/>
              <w:jc w:val="center"/>
              <w:textAlignment w:val="center"/>
              <w:rPr>
                <w:rFonts w:ascii="黑体" w:hAnsi="黑体" w:eastAsia="黑体" w:cs="宋体"/>
                <w:color w:val="000000"/>
                <w:kern w:val="0"/>
                <w:sz w:val="22"/>
                <w:szCs w:val="18"/>
              </w:rPr>
            </w:pPr>
            <w:r>
              <w:rPr>
                <w:rFonts w:hint="eastAsia" w:ascii="黑体" w:hAnsi="黑体" w:eastAsia="黑体" w:cs="宋体"/>
                <w:color w:val="000000"/>
                <w:kern w:val="0"/>
                <w:sz w:val="22"/>
                <w:szCs w:val="18"/>
              </w:rPr>
              <w:t>办理部门</w:t>
            </w:r>
          </w:p>
        </w:tc>
        <w:tc>
          <w:tcPr>
            <w:tcW w:w="851" w:type="dxa"/>
            <w:shd w:val="clear" w:color="auto" w:fill="auto"/>
            <w:tcMar>
              <w:top w:w="15" w:type="dxa"/>
              <w:left w:w="15" w:type="dxa"/>
              <w:right w:w="15" w:type="dxa"/>
            </w:tcMar>
            <w:vAlign w:val="center"/>
          </w:tcPr>
          <w:p>
            <w:pPr>
              <w:widowControl/>
              <w:snapToGrid w:val="0"/>
              <w:jc w:val="center"/>
              <w:textAlignment w:val="center"/>
              <w:rPr>
                <w:rFonts w:ascii="黑体" w:hAnsi="黑体" w:eastAsia="黑体" w:cs="宋体"/>
                <w:color w:val="000000"/>
                <w:kern w:val="0"/>
                <w:sz w:val="16"/>
                <w:szCs w:val="18"/>
              </w:rPr>
            </w:pPr>
            <w:r>
              <w:rPr>
                <w:rFonts w:hint="eastAsia" w:ascii="黑体" w:hAnsi="黑体" w:eastAsia="黑体" w:cs="宋体"/>
                <w:color w:val="000000"/>
                <w:kern w:val="0"/>
                <w:sz w:val="16"/>
                <w:szCs w:val="18"/>
              </w:rPr>
              <w:t>法定时限</w:t>
            </w:r>
          </w:p>
          <w:p>
            <w:pPr>
              <w:widowControl/>
              <w:snapToGrid w:val="0"/>
              <w:jc w:val="center"/>
              <w:textAlignment w:val="center"/>
              <w:rPr>
                <w:rFonts w:ascii="黑体" w:hAnsi="黑体" w:eastAsia="黑体" w:cs="宋体"/>
                <w:color w:val="000000"/>
                <w:kern w:val="0"/>
                <w:sz w:val="16"/>
                <w:szCs w:val="18"/>
              </w:rPr>
            </w:pPr>
            <w:r>
              <w:rPr>
                <w:rFonts w:hint="eastAsia" w:ascii="黑体" w:hAnsi="黑体" w:eastAsia="黑体" w:cs="宋体"/>
                <w:color w:val="000000"/>
                <w:kern w:val="0"/>
                <w:sz w:val="16"/>
                <w:szCs w:val="18"/>
              </w:rPr>
              <w:t>（工作日）</w:t>
            </w:r>
          </w:p>
        </w:tc>
        <w:tc>
          <w:tcPr>
            <w:tcW w:w="850" w:type="dxa"/>
            <w:shd w:val="clear" w:color="auto" w:fill="auto"/>
            <w:tcMar>
              <w:top w:w="15" w:type="dxa"/>
              <w:left w:w="15" w:type="dxa"/>
              <w:right w:w="15" w:type="dxa"/>
            </w:tcMar>
            <w:vAlign w:val="center"/>
          </w:tcPr>
          <w:p>
            <w:pPr>
              <w:widowControl/>
              <w:snapToGrid w:val="0"/>
              <w:jc w:val="center"/>
              <w:textAlignment w:val="center"/>
              <w:rPr>
                <w:rFonts w:ascii="黑体" w:hAnsi="黑体" w:eastAsia="黑体" w:cs="宋体"/>
                <w:color w:val="000000"/>
                <w:kern w:val="0"/>
                <w:sz w:val="16"/>
                <w:szCs w:val="18"/>
              </w:rPr>
            </w:pPr>
            <w:r>
              <w:rPr>
                <w:rFonts w:hint="eastAsia" w:ascii="黑体" w:hAnsi="黑体" w:eastAsia="黑体" w:cs="宋体"/>
                <w:color w:val="000000"/>
                <w:kern w:val="0"/>
                <w:sz w:val="16"/>
                <w:szCs w:val="18"/>
              </w:rPr>
              <w:t>承诺时限（工作日）</w:t>
            </w:r>
          </w:p>
        </w:tc>
        <w:tc>
          <w:tcPr>
            <w:tcW w:w="993" w:type="dxa"/>
            <w:shd w:val="clear" w:color="auto" w:fill="auto"/>
            <w:tcMar>
              <w:top w:w="15" w:type="dxa"/>
              <w:left w:w="15" w:type="dxa"/>
              <w:right w:w="15" w:type="dxa"/>
            </w:tcMar>
            <w:vAlign w:val="center"/>
          </w:tcPr>
          <w:p>
            <w:pPr>
              <w:widowControl/>
              <w:snapToGrid w:val="0"/>
              <w:jc w:val="center"/>
              <w:textAlignment w:val="center"/>
              <w:rPr>
                <w:rFonts w:ascii="黑体" w:hAnsi="黑体" w:eastAsia="黑体" w:cs="宋体"/>
                <w:color w:val="000000"/>
                <w:kern w:val="0"/>
                <w:sz w:val="22"/>
                <w:szCs w:val="18"/>
              </w:rPr>
            </w:pPr>
            <w:r>
              <w:rPr>
                <w:rFonts w:hint="eastAsia" w:ascii="黑体" w:hAnsi="黑体" w:eastAsia="黑体" w:cs="宋体"/>
                <w:color w:val="000000"/>
                <w:kern w:val="0"/>
                <w:sz w:val="22"/>
                <w:szCs w:val="18"/>
              </w:rPr>
              <w:t>审批结果名称</w:t>
            </w:r>
          </w:p>
        </w:tc>
        <w:tc>
          <w:tcPr>
            <w:tcW w:w="567" w:type="dxa"/>
            <w:shd w:val="clear" w:color="auto" w:fill="auto"/>
            <w:tcMar>
              <w:top w:w="15" w:type="dxa"/>
              <w:left w:w="15" w:type="dxa"/>
              <w:right w:w="15" w:type="dxa"/>
            </w:tcMar>
            <w:vAlign w:val="center"/>
          </w:tcPr>
          <w:p>
            <w:pPr>
              <w:widowControl/>
              <w:snapToGrid w:val="0"/>
              <w:jc w:val="center"/>
              <w:textAlignment w:val="center"/>
              <w:rPr>
                <w:rFonts w:ascii="黑体" w:hAnsi="黑体" w:eastAsia="黑体" w:cs="宋体"/>
                <w:color w:val="000000"/>
                <w:kern w:val="0"/>
                <w:sz w:val="22"/>
                <w:szCs w:val="18"/>
              </w:rPr>
            </w:pPr>
            <w:r>
              <w:rPr>
                <w:rFonts w:hint="eastAsia" w:ascii="黑体" w:hAnsi="黑体" w:eastAsia="黑体" w:cs="宋体"/>
                <w:color w:val="000000"/>
                <w:kern w:val="0"/>
                <w:sz w:val="22"/>
                <w:szCs w:val="18"/>
              </w:rPr>
              <w:t>办理</w:t>
            </w:r>
          </w:p>
          <w:p>
            <w:pPr>
              <w:widowControl/>
              <w:snapToGrid w:val="0"/>
              <w:jc w:val="center"/>
              <w:textAlignment w:val="center"/>
              <w:rPr>
                <w:rFonts w:ascii="黑体" w:hAnsi="黑体" w:eastAsia="黑体" w:cs="宋体"/>
                <w:color w:val="000000"/>
                <w:kern w:val="0"/>
                <w:sz w:val="22"/>
                <w:szCs w:val="18"/>
              </w:rPr>
            </w:pPr>
            <w:r>
              <w:rPr>
                <w:rFonts w:hint="eastAsia" w:ascii="黑体" w:hAnsi="黑体" w:eastAsia="黑体" w:cs="宋体"/>
                <w:color w:val="000000"/>
                <w:kern w:val="0"/>
                <w:sz w:val="22"/>
                <w:szCs w:val="18"/>
              </w:rPr>
              <w:t>费用</w:t>
            </w:r>
          </w:p>
        </w:tc>
        <w:tc>
          <w:tcPr>
            <w:tcW w:w="708" w:type="dxa"/>
            <w:shd w:val="clear" w:color="auto" w:fill="auto"/>
            <w:tcMar>
              <w:top w:w="15" w:type="dxa"/>
              <w:left w:w="15" w:type="dxa"/>
              <w:right w:w="15" w:type="dxa"/>
            </w:tcMar>
            <w:vAlign w:val="center"/>
          </w:tcPr>
          <w:p>
            <w:pPr>
              <w:widowControl/>
              <w:snapToGrid w:val="0"/>
              <w:jc w:val="center"/>
              <w:textAlignment w:val="center"/>
              <w:rPr>
                <w:rFonts w:ascii="黑体" w:hAnsi="黑体" w:eastAsia="黑体" w:cs="宋体"/>
                <w:color w:val="000000"/>
                <w:kern w:val="0"/>
                <w:sz w:val="22"/>
                <w:szCs w:val="18"/>
              </w:rPr>
            </w:pPr>
            <w:r>
              <w:rPr>
                <w:rFonts w:hint="eastAsia" w:ascii="黑体" w:hAnsi="黑体" w:eastAsia="黑体" w:cs="宋体"/>
                <w:color w:val="000000"/>
                <w:kern w:val="0"/>
                <w:sz w:val="22"/>
                <w:szCs w:val="18"/>
              </w:rPr>
              <w:t>备注</w:t>
            </w:r>
          </w:p>
        </w:tc>
        <w:tc>
          <w:tcPr>
            <w:tcW w:w="503" w:type="dxa"/>
            <w:shd w:val="clear" w:color="auto" w:fill="auto"/>
            <w:tcMar>
              <w:top w:w="15" w:type="dxa"/>
              <w:left w:w="15" w:type="dxa"/>
              <w:right w:w="15" w:type="dxa"/>
            </w:tcMar>
            <w:vAlign w:val="center"/>
          </w:tcPr>
          <w:p>
            <w:pPr>
              <w:widowControl/>
              <w:snapToGrid w:val="0"/>
              <w:jc w:val="center"/>
              <w:textAlignment w:val="center"/>
              <w:rPr>
                <w:rFonts w:ascii="黑体" w:hAnsi="黑体" w:eastAsia="黑体" w:cs="宋体"/>
                <w:color w:val="000000"/>
                <w:kern w:val="0"/>
                <w:sz w:val="22"/>
                <w:szCs w:val="18"/>
              </w:rPr>
            </w:pPr>
            <w:r>
              <w:rPr>
                <w:rFonts w:hint="eastAsia" w:ascii="黑体" w:hAnsi="黑体" w:eastAsia="黑体" w:cs="宋体"/>
                <w:color w:val="000000"/>
                <w:kern w:val="0"/>
                <w:sz w:val="18"/>
                <w:szCs w:val="18"/>
              </w:rPr>
              <w:t>材料数量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restart"/>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r>
              <w:rPr>
                <w:rFonts w:hint="eastAsia" w:ascii="宋体" w:hAnsi="宋体" w:eastAsia="宋体" w:cs="宋体"/>
                <w:color w:val="000000"/>
                <w:spacing w:val="40"/>
                <w:kern w:val="0"/>
                <w:sz w:val="18"/>
                <w:szCs w:val="18"/>
              </w:rPr>
              <w:t>立项用地规划许可阶段</w:t>
            </w: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建设项目用地预审与选址意见书</w:t>
            </w:r>
          </w:p>
          <w:p>
            <w:pPr>
              <w:widowControl/>
              <w:snapToGrid w:val="0"/>
              <w:jc w:val="left"/>
              <w:textAlignment w:val="center"/>
              <w:rPr>
                <w:rFonts w:ascii="宋体" w:hAnsi="宋体" w:eastAsia="宋体" w:cs="宋体"/>
                <w:color w:val="000000"/>
                <w:kern w:val="0"/>
                <w:sz w:val="18"/>
                <w:szCs w:val="18"/>
              </w:rPr>
            </w:pP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1.《中华人民共和国城乡规划法》（2007 年主席令第七十四号公布，2019年修改）第三十六条按照国家规定需要有关部门批准或者核准的建设项目，以划拨方式提供国有土地使用权的，建设单位在报送有关部门批准或者核准前，应当向城乡规划主管部门申请核发选址意见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前款规定以外的建设项目不需要申请选址意见书。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2.《广西壮族自治区实施〈中华人民共和国城乡规划法〉办法》（2010年自治区人大常委会十一届第24 号公告公布）第二十四条 按照国家规定需要有关部门批准或者核准的建设项目，以划拨方式提供国有土地使用权的，建设单位应当在报送有关部门审批、核准前，持以下材料向审批、核准部门的同级城乡规划主管部门申请核发选址意见书。 </w:t>
            </w:r>
          </w:p>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3.《建制镇规划建设管理办法》（1995 年建设部令第44 号）第十三条 建制镇规划区内的建设工程项目在报请计划部门批准时，必须附有县级以上建设行政主管部门的选址意见书。 </w:t>
            </w:r>
          </w:p>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4.《风景名胜区条例》（中华人民共和国国务院令第474号）第二十八条　在国家级风景名胜区内修建缆车、索道等重大建设工程，项目的选址方案应当报国务院建设主管部门核准。《住房城乡建设部办公厅关于做好国家级风景名胜区内重大建设工程项目选址方案核准工作的通知》（建办城[2014]53号），“在国家级风景名胜区内修建缆车、索道等重大建设工程项目选址方案核准”事项，下放至省级人民政府住房城乡建设行政主管部门。” </w:t>
            </w:r>
          </w:p>
          <w:p>
            <w:pPr>
              <w:widowControl/>
              <w:snapToGrid w:val="0"/>
              <w:jc w:val="lef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5</w:t>
            </w:r>
            <w:r>
              <w:rPr>
                <w:rFonts w:hint="eastAsia" w:ascii="宋体" w:hAnsi="宋体" w:eastAsia="宋体" w:cs="宋体"/>
                <w:color w:val="000000"/>
                <w:kern w:val="0"/>
                <w:sz w:val="18"/>
                <w:szCs w:val="18"/>
              </w:rPr>
              <w:t xml:space="preserve">.《中华人民共和国土地管理法》（2004年8月28日中华人民共和国主席令第28号公布，自公布之日起施行）第五十二条建设项目可行性研究论证时，土地行政主管部门可以根据土地利用总体规划、土地利用年度计划和建设用地标准，对建设用地有关事项进行审查，并提出意见。 </w:t>
            </w:r>
          </w:p>
          <w:p>
            <w:pPr>
              <w:widowControl/>
              <w:snapToGrid w:val="0"/>
              <w:jc w:val="lef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6</w:t>
            </w:r>
            <w:r>
              <w:rPr>
                <w:rFonts w:hint="eastAsia" w:ascii="宋体" w:hAnsi="宋体" w:eastAsia="宋体" w:cs="宋体"/>
                <w:color w:val="000000"/>
                <w:kern w:val="0"/>
                <w:sz w:val="18"/>
                <w:szCs w:val="18"/>
              </w:rPr>
              <w:t xml:space="preserve">.《中华人民共和国土地管理法实施条例》（1998年12月27日中华人民共和国国务院令第256号发布，自1999年1月1日起施行，根据2011年1月8日《国务院关于废止和修改部分行政法规的决定》修订，根据2014年7月29日《国务院关于修改部分行政法规的决定》修改）第二十二条第一款（一） 建设项目可行性研究论证时，由土地行政主管部门对建设项目用地有关事项进行审查，提出建设项目用地预审报告；可行性研究报告报批时，必须附具土地行政主管部门出具的建设项目用地预审报告。 </w:t>
            </w:r>
          </w:p>
          <w:p>
            <w:pPr>
              <w:widowControl/>
              <w:snapToGrid w:val="0"/>
              <w:jc w:val="lef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7</w:t>
            </w:r>
            <w:r>
              <w:rPr>
                <w:rFonts w:hint="eastAsia" w:ascii="宋体" w:hAnsi="宋体" w:eastAsia="宋体" w:cs="宋体"/>
                <w:color w:val="000000"/>
                <w:kern w:val="0"/>
                <w:sz w:val="18"/>
                <w:szCs w:val="18"/>
              </w:rPr>
              <w:t xml:space="preserve">.《建设项目用地预审管理办法》（2016年11月25日国土资源部第68号令，自2017年1月1日起施行）第四条 需人民政府或有批准权的人民政府发展和改革等部门审批的建设项目，由该人民政府的国土资源主管部门预审。需核准和备案的建设项目，由与核准、备案机关同级的国土资源主管部门预审。 </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1.建设项目用地预审与选址意见书申请报告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2.项目建设依据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3.相关规划图纸和项目用地边界拐点坐标表（2000国家大地坐标系）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4.选址论证报告</w:t>
            </w:r>
          </w:p>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5.土地利用总体规划修改（或调整）方案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6.用地踏勘论证报告（或节地评价报告）及评审论证意见</w:t>
            </w:r>
            <w:r>
              <w:rPr>
                <w:rFonts w:hint="eastAsia" w:ascii="宋体" w:hAnsi="宋体" w:eastAsia="宋体" w:cs="宋体"/>
                <w:color w:val="000000"/>
                <w:kern w:val="0"/>
                <w:sz w:val="18"/>
                <w:szCs w:val="18"/>
              </w:rPr>
              <w:br w:type="textWrapping"/>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FF0000"/>
                <w:kern w:val="0"/>
                <w:sz w:val="18"/>
                <w:szCs w:val="18"/>
              </w:rPr>
            </w:pPr>
            <w:r>
              <w:rPr>
                <w:rFonts w:hint="eastAsia" w:ascii="宋体" w:hAnsi="宋体" w:eastAsia="宋体" w:cs="宋体"/>
                <w:color w:val="000000" w:themeColor="text1"/>
                <w:kern w:val="0"/>
                <w:sz w:val="18"/>
                <w:szCs w:val="18"/>
              </w:rPr>
              <w:t>柳州市自然资源和规划局、柳州市柳江区自然资源局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ascii="宋体" w:hAnsi="宋体" w:eastAsia="宋体" w:cs="宋体"/>
                <w:color w:val="000000"/>
                <w:kern w:val="0"/>
                <w:sz w:val="18"/>
                <w:szCs w:val="18"/>
              </w:rPr>
              <w:t>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建设项目用地预审与选址意见书及有关附件</w:t>
            </w:r>
          </w:p>
          <w:p>
            <w:pPr>
              <w:widowControl/>
              <w:snapToGrid w:val="0"/>
              <w:jc w:val="left"/>
              <w:textAlignment w:val="center"/>
              <w:rPr>
                <w:rFonts w:ascii="宋体" w:hAnsi="宋体" w:eastAsia="宋体" w:cs="宋体"/>
                <w:color w:val="000000"/>
                <w:kern w:val="0"/>
                <w:sz w:val="18"/>
                <w:szCs w:val="18"/>
              </w:rPr>
            </w:pP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材料清单第1、2、3项为常规环节，第4、5、6项为特殊环节</w:t>
            </w: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政府投资项目可行性研究报告审批</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1.《国务院关于投资体制改革的决定》（国发〔2004〕20号）；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2.《政府投资条例》（国务院令第712号）</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1.办理项目可行性研究报告审批的申请文</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2.项目建议书批复文件或纳入国家、自治区建设规划的有关证明文件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3.由相应工程咨询资格的机构编制的可行性研究报告文本</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4.项目建设选址意见书（指以划拨方式提供国有土地使用权的项目）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5.项目用地预审意见（自然资源部门明确可以不进行用地或用海预审的情形除外）</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节能审查机关出具的节能审查意见（除年综合能源消费量不满1000吨标准煤，且年电力消费量不满500万千瓦时的固定资产投资项目，涉及国家秘密的固定资产投资项目，以及《不单独进行节能审查的行业目录》（发改环资〔2017〕1975号）外的固定资产投资项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7.项目所在地县级以上人民政府或其有关部门出具的项目社会稳定风险评估报告及审核意见（重大项目)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8.移民安置规划审核（涉及移民安置的大中型水利水电工程）                                                                                                                                                       9</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航道通航条件影响评价审核意见（涉及影响航道通航的项目）</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kern w:val="0"/>
                <w:sz w:val="18"/>
                <w:szCs w:val="18"/>
              </w:rPr>
            </w:pPr>
            <w:r>
              <w:rPr>
                <w:rFonts w:hint="eastAsia" w:ascii="宋体" w:hAnsi="宋体" w:eastAsia="宋体" w:cs="宋体"/>
                <w:kern w:val="0"/>
                <w:sz w:val="18"/>
                <w:szCs w:val="18"/>
              </w:rPr>
              <w:t>柳州市柳江区发展和改革局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ascii="宋体" w:hAnsi="宋体" w:eastAsia="宋体" w:cs="宋体"/>
                <w:color w:val="000000"/>
                <w:kern w:val="0"/>
                <w:sz w:val="18"/>
                <w:szCs w:val="18"/>
              </w:rPr>
              <w:t>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关于XXX项目可行性研究报告的批复 </w:t>
            </w: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依据发改投资〔2019〕268号</w:t>
            </w: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建设用地（含临时用地）规划许可证核发</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1.《中华人民共和国城乡规划法》（2007 年主席令第七十四号公布，2019年修改）第三十七条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建设单位在取得建设用地规划许可证后，方可向县级以上地方人民政府土地主管部门申请用地，经县级以上人民政府审批后，由土地主管部门划拨土地。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八条在城市、镇规划区内以出让方式提供国有土地使用权的，在国有土地使用权出让前，城市、县人民政府城乡规划主管部门应当依据控制性详细规划，提出出让地块的位置、使用性质、开发强度等规划条件，作为国有土地使用权出让合同的组成部分。未确定规划条件的地块，不得出让国有土地使用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以出让方式取得国有土地使用权的建设项目，建设单位在取得建设项目的批准、核准、备案文件和签订国有土地使用权出让合同后，向城市、县人民政府城乡规划主管部门领取建设用地规划许可证。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城市、县人民政府城乡规划主管部门不得在建设用地规划许可证中，擅自改变作为国有土地使用权出让合同组成部分的规划条件。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2.《广西壮族自治区实施〈中华人民共和国城乡规划法〉办法》（2010年自治区人大常委会十一届第24 号公告公布）第二十九条　城市规划管理，实行由城市规划行政主管部门核发选址意见书、建设用地规划许可证和建设工程规划许可证的制度。</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1.建设用地规划许可证（含临时）申请表</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2</w:t>
            </w:r>
            <w:r>
              <w:rPr>
                <w:rFonts w:hint="eastAsia" w:ascii="宋体" w:hAnsi="宋体" w:eastAsia="宋体" w:cs="宋体"/>
                <w:color w:val="000000"/>
                <w:kern w:val="0"/>
                <w:sz w:val="18"/>
                <w:szCs w:val="18"/>
              </w:rPr>
              <w:t>.以出让方式取得国有土地使用权的建设项目，提供国有土地使用权出让合同</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3</w:t>
            </w:r>
            <w:r>
              <w:rPr>
                <w:rFonts w:hint="eastAsia" w:ascii="宋体" w:hAnsi="宋体" w:eastAsia="宋体" w:cs="宋体"/>
                <w:color w:val="000000"/>
                <w:kern w:val="0"/>
                <w:sz w:val="18"/>
                <w:szCs w:val="18"/>
              </w:rPr>
              <w:t>.经批准的规划总平面图</w:t>
            </w:r>
            <w:r>
              <w:rPr>
                <w:rFonts w:ascii="宋体" w:hAnsi="宋体" w:eastAsia="宋体" w:cs="宋体"/>
                <w:color w:val="000000"/>
                <w:kern w:val="0"/>
                <w:sz w:val="18"/>
                <w:szCs w:val="18"/>
              </w:rPr>
              <w:t>和设计方案</w:t>
            </w:r>
            <w:r>
              <w:rPr>
                <w:rFonts w:hint="eastAsia" w:ascii="宋体" w:hAnsi="宋体" w:eastAsia="宋体" w:cs="宋体"/>
                <w:color w:val="000000"/>
                <w:kern w:val="0"/>
                <w:sz w:val="18"/>
                <w:szCs w:val="18"/>
              </w:rPr>
              <w:br w:type="textWrapping"/>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柳州市自然资源和规划局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ascii="宋体" w:hAnsi="宋体" w:eastAsia="宋体" w:cs="宋体"/>
                <w:color w:val="000000"/>
                <w:kern w:val="0"/>
                <w:sz w:val="18"/>
                <w:szCs w:val="18"/>
              </w:rPr>
              <w:t>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建设用地规划许可证</w:t>
            </w: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企业投资项目核准</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1.《企业投资项目核准和备案管理条例》（国务院令第673号）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2.《企业投资项目核准和备案管理办法》（国家发展改革委令第48号）                         </w:t>
            </w:r>
          </w:p>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3.《广西壮族自治区企业投资项目核准和备案管理办法》（桂政发〔2018〕35号）</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1.项目核准申请报告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2.项目建设选址意见书（指以划拨方式提供国有土地使用权的项目）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3.项目用地预审意见（自然资源部门明确可以不进行用地或用海预审的情形除外）</w:t>
            </w:r>
            <w:r>
              <w:rPr>
                <w:rFonts w:hint="eastAsia" w:ascii="宋体" w:hAnsi="宋体" w:eastAsia="宋体" w:cs="宋体"/>
                <w:color w:val="000000"/>
                <w:kern w:val="0"/>
                <w:sz w:val="18"/>
                <w:szCs w:val="18"/>
              </w:rPr>
              <w:br w:type="textWrapping"/>
            </w:r>
            <w:r>
              <w:rPr>
                <w:rFonts w:ascii="宋体" w:hAnsi="宋体" w:eastAsia="宋体" w:cs="宋体"/>
                <w:color w:val="000000"/>
                <w:kern w:val="0"/>
                <w:sz w:val="18"/>
                <w:szCs w:val="18"/>
              </w:rPr>
              <w:t>4</w:t>
            </w:r>
            <w:r>
              <w:rPr>
                <w:rFonts w:hint="eastAsia" w:ascii="宋体" w:hAnsi="宋体" w:eastAsia="宋体" w:cs="宋体"/>
                <w:color w:val="000000"/>
                <w:kern w:val="0"/>
                <w:sz w:val="18"/>
                <w:szCs w:val="18"/>
              </w:rPr>
              <w:t xml:space="preserve">.移民安置规划审核（涉及移民安置的大中型水利水电工程）                                                                                                                                                      </w:t>
            </w:r>
            <w:r>
              <w:rPr>
                <w:rFonts w:ascii="宋体" w:hAnsi="宋体" w:eastAsia="宋体" w:cs="宋体"/>
                <w:color w:val="000000"/>
                <w:kern w:val="0"/>
                <w:sz w:val="18"/>
                <w:szCs w:val="18"/>
              </w:rPr>
              <w:t>5</w:t>
            </w:r>
            <w:r>
              <w:rPr>
                <w:rFonts w:hint="eastAsia" w:ascii="宋体" w:hAnsi="宋体" w:eastAsia="宋体" w:cs="宋体"/>
                <w:color w:val="000000"/>
                <w:kern w:val="0"/>
                <w:sz w:val="18"/>
                <w:szCs w:val="18"/>
              </w:rPr>
              <w:t>.项目单位或国有资产主管部门提供的中外投资各方的企业注册证明材料及经审计的最新企业财务报表（包括资产负债表、利润表和现金流量表）。投资意向书，增资、并购项目的公司董事会决议。以国有资产出资的，需提供有关部门出具的确认文件。并购项目申请报告还应包括并购方情况、并购安排、融资方案和被并购方情况、被并购后经营方式、范围和股权结构、所得收入的使用安排等。</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kern w:val="0"/>
                <w:sz w:val="18"/>
                <w:szCs w:val="18"/>
              </w:rPr>
              <w:t>柳州市柳江区行政审批局、</w:t>
            </w:r>
            <w:r>
              <w:rPr>
                <w:rFonts w:hint="eastAsia" w:ascii="宋体" w:hAnsi="宋体" w:eastAsia="宋体" w:cs="宋体"/>
                <w:color w:val="000000"/>
                <w:kern w:val="0"/>
                <w:sz w:val="18"/>
                <w:szCs w:val="18"/>
              </w:rPr>
              <w:t>工业和信息化局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ascii="宋体" w:hAnsi="宋体" w:eastAsia="宋体" w:cs="宋体"/>
                <w:color w:val="000000"/>
                <w:kern w:val="0"/>
                <w:sz w:val="18"/>
                <w:szCs w:val="18"/>
              </w:rPr>
              <w:t>3</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关于XXX项目核准的批复 </w:t>
            </w: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依据发改投资〔2019〕268号</w:t>
            </w: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企业投资项目备案</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1.《企业投资项目核准和备案管理条例》（国务院令第673号）            </w:t>
            </w:r>
          </w:p>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2.《企业投资项目核准和备案管理办法》（国家发展改革委令第48号）                          </w:t>
            </w:r>
          </w:p>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3.《广西壮族自治区企业投资项目核准和备案管理办法》（桂政发〔2018〕35号）</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项目备案信息登记表</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kern w:val="0"/>
                <w:sz w:val="18"/>
                <w:szCs w:val="18"/>
              </w:rPr>
            </w:pPr>
            <w:r>
              <w:rPr>
                <w:rFonts w:hint="eastAsia" w:ascii="宋体" w:hAnsi="宋体" w:eastAsia="宋体" w:cs="宋体"/>
                <w:kern w:val="0"/>
                <w:sz w:val="18"/>
                <w:szCs w:val="18"/>
              </w:rPr>
              <w:t>柳州市柳江区行政审批局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即报即备</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项目备案证明文件</w:t>
            </w: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依据发改投资〔2019〕268号</w:t>
            </w: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系统填报申请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政府投资项目建议书审批</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1.《国务院关于投资体制改革的决定》（国发〔2004〕20号）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2.《政府投资条例》（国务院令第712号）</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1.办理项目建议书审批的申请文件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2.具备相应资质的工程咨询机构编制的项目建议书文本</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3.属上一级发展改革部门审批权限的项目，需提供同级发展改革部门或主管部门审核意见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4.同级财政部门资金来源证明材料</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kern w:val="0"/>
                <w:sz w:val="18"/>
                <w:szCs w:val="18"/>
              </w:rPr>
            </w:pPr>
            <w:r>
              <w:rPr>
                <w:rFonts w:hint="eastAsia" w:ascii="宋体" w:hAnsi="宋体" w:eastAsia="宋体" w:cs="宋体"/>
                <w:kern w:val="0"/>
                <w:sz w:val="18"/>
                <w:szCs w:val="18"/>
              </w:rPr>
              <w:t>柳州市柳江区发展和改革局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ascii="宋体" w:hAnsi="宋体" w:eastAsia="宋体" w:cs="宋体"/>
                <w:color w:val="000000"/>
                <w:kern w:val="0"/>
                <w:sz w:val="18"/>
                <w:szCs w:val="18"/>
              </w:rPr>
              <w:t>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关于XXX项目项目建设书的批复 </w:t>
            </w: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依据发改投资〔2019〕268号</w:t>
            </w: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与航道有关的工程建设项目对航道通航条件影响评价审核</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1.《中华人民共和国航道法》（2014年12月28日主席令第17号公布，自2015年3月1日起施行）第二十四条 新建、改建、扩建（以下统称建设）跨越、穿越航道的桥梁、隧道、管道、缆线等建筑物、构筑物，应当符合该航道发展规划技术等级对通航净高、净宽、埋设深度等航道通航条件的要求。 第二十五条 在通航河流上建设永久性拦河闸坝，建设单位应当按照航道发展规划技术等级建设通航建筑物。通航建筑物应当与主体工程同步规划、同步设计、同步建设、同步验收、同步投入使用。 第二十六条 在航道保护范围内建设临河、临湖、临海建筑物或者构筑物，应当符合该航道通航条件的要求。 第二十七条 建设本法第二十四条、第二十五条第一款、第二十六条第一款规定的工程（以下统称与航道有关的工程），除依照法律、行政法规或者国务院规定进行的防洪、供水等特殊工程外，不得因工程建设降低航道通航条件。第二十八条 建设与航道有关的工程，建设单位应当在工程可行性研究阶段就建设项目对航道通航条件的影响作出评价，并报送有审核权的交通运输主管部门或者航道管理机构审核。 第二十九条 国务院或者国务院有关部门批准、核准的建设项目，以及与国务院交通运输主管部门直接管理的航道有关的建设项目的航道通航条件影响评价，由国务院交通运输主管部门审核；其他建设项目的航道通航条件影响评价，按照省、自治区、直辖市人民政府的规定由县级以上地方人民政府交通运输主管部门或者航道管理机构审核。</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2.《中华人民共和国航道管理条例》（1987年8月22日由国务院发布，根据2008年12月27日《国务院关于修改〈中华人民共和国航道管理条例〉的决定》修订，国务院令第545号公布，自2009年1月1日起施行）第十四条第一款 修建与通航有关的设施或者治理河道、引水灌溉，必须符合国家规定的通航标准和技术要求，并应当事先征求交通主管部门的意见。 </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1.审核申请书（公函）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2.航评报告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3.项目的规划或者其他建设依据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4.建设单位的营业执照、组织机构代码证、成立文件机构证明文件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5.规划调整或者拆迁已取得同意或者已达成一致的承诺函、协议材料。</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柳州市柳江区行政审批局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ascii="宋体" w:hAnsi="宋体" w:eastAsia="宋体" w:cs="宋体"/>
                <w:color w:val="000000"/>
                <w:kern w:val="0"/>
                <w:sz w:val="18"/>
                <w:szCs w:val="18"/>
              </w:rPr>
              <w:t>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关于××航道通航条件影响评价审核意见</w:t>
            </w: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勘查、开采矿藏和各项建设工程占用或者征收、征用林地审核</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1.《中华人民共和国森林法》（1984年9月20日主席令第十七号公布，2009年8月27日修订)第十八条第一款 进行勘查、开采矿藏和各项建设工程，应当不占或者少占林地；必须占用或者征用林地的，经县级以上人民政府林业主管部门审核同意后，依照有关土地管理的法律、法规办理建设用地审批手续，并由用地单位依照国务院有关规定缴纳森林植被恢复费…… </w:t>
            </w:r>
          </w:p>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2.《中华人民共和国森林法实施条例》（2000年1月29日国务院令第278号公布，2018年3月19日予以修改）第十六条　勘查、开采矿藏和修建道路、水利、电力、通讯等工程，需要占用或者征收、征用林地的，必须遵守下列规定：（一）用地单位应当向县级以上人民政府林业主管部门提出用地申请，经审核同意后，按照国家规定的标准预交森林植被恢复费，领取使用林地审核同意书。用地单位凭使用林地审核同意书依法办理建设用地审批手续。占用或者征收、征用林地未经林业主管部门审核同意的，土地行政主管部门不得受理建设用地申请。（二）占用或者征收、征用防护林林地或者特种用途林林地面积10公顷以上的，用材林、经济林、薪炭林林地及其采伐迹地面积35公顷以上的，其他林地面积70公顷以上的，由国务院林业主管部门审核；占用或者征收、征用林地面积低于上述规定数量的，由省、自治区、直辖市人民政府林业主管部门审核。占用或者征收、征用重点林区的林地的，由国务院林业主管部门审核。</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1．使用林地申请表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2.建设项目批准文件（包括可行性研究报告批复、核准批复、备案确认文件、勘查许可证、采矿许可证、项目初步设计等批准文件；属于批次用地项目，提供经有关人民政府同意的批次用地说明书并附规划图）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3.建设项目使用林地可行性报告或者林地现状调查表（含红线图、布局图）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4.林地现状图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5.林地所在地县级林业主管部门的《使用林地现场查验表》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6.林地所在地县级林业主管部门公示材料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7.林业部门审查意见（内容包括项目基本情况，拟使用林地和采伐林木情况，符合林地保护利用规划情况，使用林地限额情况，现场查验、公示情况等。）</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8.查处报告</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柳州市柳江区自然资源局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ascii="宋体" w:hAnsi="宋体" w:eastAsia="宋体" w:cs="宋体"/>
                <w:color w:val="000000"/>
                <w:kern w:val="0"/>
                <w:sz w:val="18"/>
                <w:szCs w:val="18"/>
              </w:rPr>
              <w:t>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ascii="宋体" w:hAnsi="宋体" w:eastAsia="宋体" w:cs="宋体"/>
                <w:color w:val="000000"/>
                <w:kern w:val="0"/>
                <w:sz w:val="18"/>
                <w:szCs w:val="18"/>
              </w:rPr>
              <w:t>0</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准予或不准予行政许可决定书 </w:t>
            </w: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收费</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危险化学品建设项目的安全条件审查</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1.</w:t>
            </w:r>
            <w:r>
              <w:rPr>
                <w:rFonts w:hint="eastAsia" w:ascii="宋体" w:hAnsi="宋体" w:eastAsia="宋体" w:cs="宋体"/>
                <w:color w:val="000000"/>
                <w:kern w:val="0"/>
                <w:sz w:val="18"/>
                <w:szCs w:val="18"/>
              </w:rPr>
              <w:t>《危险化学品建设项目安全监督管理办法》（2012年月1月30日国家安全监管总局令第45号令公布，自2012年4月1日起施行，2015年5月27日国家安全监管总局令第79号修正）第三条 本办法所称建设项目安全审查，是指建设项目安全条件审查、安全设施的设计审查。建设项目的安全审查由建设单位申请，安全生产监督管理部门根据本办法分级负责实施。</w:t>
            </w:r>
          </w:p>
          <w:p>
            <w:pPr>
              <w:widowControl/>
              <w:snapToGrid w:val="0"/>
              <w:jc w:val="lef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2</w:t>
            </w:r>
            <w:r>
              <w:rPr>
                <w:rFonts w:hint="eastAsia" w:ascii="宋体" w:hAnsi="宋体" w:eastAsia="宋体" w:cs="宋体"/>
                <w:color w:val="000000"/>
                <w:kern w:val="0"/>
                <w:sz w:val="18"/>
                <w:szCs w:val="18"/>
              </w:rPr>
              <w:t>.《危险化学品安全管理条例》（2002年1月26日国务院令第344号公布，2013年12月4日国务院第645号令修订，自2013年12月7日起施行）第十二条第一款 新建、改建、扩建生产、储存危险化学品建设项目的建设项目，应当由安全生产监督管理部门进行安全条件审查。</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1．建设项目安全条件审查申请书及文件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2.建设项目安全评价报告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3.建设项目批准、核准或者备案文件和规划相关文件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4.工商行政管理部门颁发的企业营业执照或者企业名称预先核准通知书</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柳州市柳江区应急管理局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r>
              <w:rPr>
                <w:rFonts w:ascii="宋体" w:hAnsi="宋体" w:eastAsia="宋体" w:cs="宋体"/>
                <w:color w:val="000000"/>
                <w:kern w:val="0"/>
                <w:sz w:val="18"/>
                <w:szCs w:val="18"/>
              </w:rPr>
              <w:t>3</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ascii="宋体" w:hAnsi="宋体" w:eastAsia="宋体" w:cs="宋体"/>
                <w:color w:val="000000"/>
                <w:kern w:val="0"/>
                <w:sz w:val="18"/>
                <w:szCs w:val="18"/>
              </w:rPr>
              <w:t>0</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危险化学品建设项目安全条件审查意见书</w:t>
            </w:r>
          </w:p>
        </w:tc>
        <w:tc>
          <w:tcPr>
            <w:tcW w:w="567" w:type="dxa"/>
            <w:shd w:val="clear" w:color="auto" w:fill="auto"/>
            <w:noWrap/>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vMerge w:val="restart"/>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805" w:type="dxa"/>
            <w:vMerge w:val="restart"/>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洪水影响评价审批</w:t>
            </w:r>
          </w:p>
        </w:tc>
        <w:tc>
          <w:tcPr>
            <w:tcW w:w="4440" w:type="dxa"/>
            <w:vMerge w:val="restart"/>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1.《中华人民共和国水法》第十九条 建设水工程，必须符合流域综合规划。在国家确定的重要江河、湖泊和跨省、自治区、直辖市的江河、湖泊上建设水工程，未取得有关流域管理机构签署的符合流域综合规划要求的规划同意书的，建设单位不得开工建设；在其他江河、湖泊上建设水工程，未取得县级以上地方人民政府水行政主管部门按照管理权限签署的符合流域综合规划要求的规划同意书的，建设单位不得开工建设。水工程建设涉及防洪的，依照防洪法的有关规定执行；涉及其他地区和行业的，建设单位应当事先征求有关地区和部门的意见。在河道管理范围内建设桥梁、码头和其他拦河、跨河、临河建筑物、构筑物，铺设跨河管道、电缆，应当符合国家规定的防洪标准和其他有关的技术要求，工程建设方案应当依照防洪法的有关规定报经有关水行政主管部门审查同意。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第三十八条 在河道管理范围内建设桥梁、码头和其他拦河、跨河、临河建筑物、构筑物，铺设跨河管道、电缆，应当符合国家规定的防洪标准和其他有关的技术要求，工程建设方案应当依照防洪法的有关规定报经有关水行政主管部门审查同意。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2.《中华人民共和国防洪法》第十七条 在江河、湖泊上建设防洪工程和其他水工程、水电站等，应当符合防洪规划的要求；水库应当按照防洪规划的要求留足防洪库容。前款规定的防洪工程和其他水工程、水电站未取得有关水行政主管部门签署的符合防洪规划要求的规划同意书的，建设单位不得开工建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第二十七条 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前款工程设施需要占用河道、湖泊管理范围内土地，跨越河道、湖泊空间或者穿越河床的，建设单位应当经有关水行政主管部门对该工程设施建设的位置和界限审查批准后，方可依法办理开工手续；安排施工时，应当按照水行政主管部门审查批准的位置和界限进行。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第三十三条 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3.《中华人民共和国河道管理条例》第十一条 修建开发水利、防治水害、整治河道的各类工程和跨河、穿河、穿堤、临河的桥梁、码头、道路、渡口、管道、缆线等建筑物及设施，建设单位必须按照河道管理权限，将工程建设方案报送河道主管机关审查同意后，方可按照基本建设程序履行审批手续。建设项目经批准后，建设单位应当将施工安排告知河道主管机关。</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4.《中华人民共和国水文条例》第三十三条 在国家基本水文测站上下游建设影响水文监测的工程，建设单位应当采取相应措施，在征得对该站有管理权限的水行政主管部门同意后方可建设。因工程建设致使水文测站改建的，所需费用由建设单位承担。</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5.《国务院关于印发清理规范投资项目报建审批事项实施方案的通知》(国发〔2016〕29号) 将“非防洪建设项目洪水影响评价报告审批”、“水工程建设规划同意书审核”、“河道管理范围内建设项目工程建设方案审批”、“国家基本水文测站上下游建设影响水文监测工程的审批”4项，合并为“洪水影响评价审批”1项。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6.《水文监测环境和设施保护办法》(水利部令2011年第43号)第三条第三款 省、自治区、直辖市人民政府水行政主管部门负责本行政区域内的水文监测环境和设施保护的监督管理工作，其直属的水文机构接受上级业务主管部门的指导，并在当地人民政府的领导下具体负责组织实施。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第九条 在水文测站上下游各二十公里（平原河网区上下游各十公里）河道管理范围内，新建、改建、扩建下列工程影响水文监测的，建设单位应当采取相应措施，在征得对该水文测站有管理权限的流域管理机构或者水行政主管部门同意后方可建设。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《广西壮族自治区实施&lt;中华人民共和国防洪法&gt;办法》（2004年11月28日广西壮族自治区十届人大常委会第11次会议通过，2012年3月23日修正）第十三条 在洪泛区、蓄滞洪区内建设非防洪工程项目的，在上报工程项目立项时，应当编制洪水影响评价报告，提出防御措施。洪水影响评价报告由有关人民政府水行政主管部门审查批准。 《水利部关于加强洪水影响评价管理工作的通知》（水汛〔2013〕404号）第四条第二款 国务院或国家防汛抗旱总指挥部决策运用的蓄滞洪区、洪泛区内的大中型建设项目以及跨流域的建设项目的洪水影响评价报告由水利部负责审批。 《中华人民共和国防洪法》（1988年1月21日第六届全国人民代表大会常务委员会第二十四次会议通过，2016年7月2日第二次修正）第三十三条 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河道管理范围内建设项目工程建设方案审批：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1.河道管理范围内建设项目工程建设方案审批申请书；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2.建设项目防洪评价报告（报批稿）；</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3.建设项目设计图纸；</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4.建设项目立项文件；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5.与第三者谁是权益协议文件和相关图件；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6.有关防治补救措施涉及图纸；</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7.技术审查意见及复核意见；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8.申请人的统一社会信用代码证。</w:t>
            </w:r>
          </w:p>
        </w:tc>
        <w:tc>
          <w:tcPr>
            <w:tcW w:w="850" w:type="dxa"/>
            <w:vMerge w:val="restart"/>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柳州市柳江区行政审批局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ascii="宋体" w:hAnsi="宋体" w:eastAsia="宋体" w:cs="宋体"/>
                <w:color w:val="000000"/>
                <w:kern w:val="0"/>
                <w:sz w:val="18"/>
                <w:szCs w:val="18"/>
              </w:rPr>
              <w:t>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河道管理范围内建设项目工程建设方案水行政许可决定书</w:t>
            </w:r>
          </w:p>
        </w:tc>
        <w:tc>
          <w:tcPr>
            <w:tcW w:w="567" w:type="dxa"/>
            <w:vMerge w:val="restart"/>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vMerge w:val="restart"/>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vMerge w:val="continue"/>
            <w:shd w:val="clear" w:color="auto" w:fill="auto"/>
            <w:noWrap/>
            <w:tcMar>
              <w:top w:w="15" w:type="dxa"/>
              <w:left w:w="15" w:type="dxa"/>
              <w:right w:w="15" w:type="dxa"/>
            </w:tcMar>
            <w:vAlign w:val="center"/>
          </w:tcPr>
          <w:p>
            <w:pPr>
              <w:pStyle w:val="13"/>
              <w:widowControl/>
              <w:numPr>
                <w:ilvl w:val="0"/>
                <w:numId w:val="1"/>
              </w:numPr>
              <w:adjustRightInd w:val="0"/>
              <w:snapToGrid w:val="0"/>
              <w:ind w:left="0" w:right="-525" w:rightChars="-250" w:firstLine="0" w:firstLineChars="0"/>
              <w:jc w:val="left"/>
              <w:textAlignment w:val="center"/>
              <w:rPr>
                <w:rFonts w:ascii="宋体" w:hAnsi="宋体" w:eastAsia="宋体" w:cs="宋体"/>
                <w:color w:val="000000"/>
                <w:kern w:val="0"/>
                <w:sz w:val="18"/>
                <w:szCs w:val="18"/>
              </w:rPr>
            </w:pPr>
          </w:p>
        </w:tc>
        <w:tc>
          <w:tcPr>
            <w:tcW w:w="805" w:type="dxa"/>
            <w:vMerge w:val="continue"/>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4440" w:type="dxa"/>
            <w:vMerge w:val="continue"/>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水工程建设规划同意书审核：</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1.水工程规划同意书申请函；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2.水工程规划同意书审核申请表；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3.报批水工程的（预）可行性研究报告；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4.水工程建设规划专题论证报告；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5.技术审核意见及复核意见；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6.与第三方签订的协议或承诺书；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7.申请人的统一社会信用代码证。</w:t>
            </w:r>
          </w:p>
        </w:tc>
        <w:tc>
          <w:tcPr>
            <w:tcW w:w="850" w:type="dxa"/>
            <w:vMerge w:val="continue"/>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ascii="宋体" w:hAnsi="宋体" w:eastAsia="宋体" w:cs="宋体"/>
                <w:color w:val="000000"/>
                <w:kern w:val="0"/>
                <w:sz w:val="18"/>
                <w:szCs w:val="18"/>
              </w:rPr>
              <w:t>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自治区水利厅关于发送XXX建设项目建设规划同意书的函</w:t>
            </w:r>
          </w:p>
        </w:tc>
        <w:tc>
          <w:tcPr>
            <w:tcW w:w="567" w:type="dxa"/>
            <w:vMerge w:val="continue"/>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p>
        </w:tc>
        <w:tc>
          <w:tcPr>
            <w:tcW w:w="708" w:type="dxa"/>
            <w:vMerge w:val="continue"/>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vMerge w:val="continue"/>
            <w:shd w:val="clear" w:color="auto" w:fill="auto"/>
            <w:noWrap/>
            <w:tcMar>
              <w:top w:w="15" w:type="dxa"/>
              <w:left w:w="15" w:type="dxa"/>
              <w:right w:w="15" w:type="dxa"/>
            </w:tcMar>
            <w:vAlign w:val="center"/>
          </w:tcPr>
          <w:p>
            <w:pPr>
              <w:pStyle w:val="13"/>
              <w:widowControl/>
              <w:numPr>
                <w:ilvl w:val="0"/>
                <w:numId w:val="1"/>
              </w:numPr>
              <w:adjustRightInd w:val="0"/>
              <w:snapToGrid w:val="0"/>
              <w:ind w:left="0" w:right="-525" w:rightChars="-250" w:firstLine="0" w:firstLineChars="0"/>
              <w:jc w:val="center"/>
              <w:textAlignment w:val="center"/>
              <w:rPr>
                <w:rFonts w:ascii="宋体" w:hAnsi="宋体" w:eastAsia="宋体" w:cs="宋体"/>
                <w:color w:val="000000"/>
                <w:kern w:val="0"/>
                <w:sz w:val="18"/>
                <w:szCs w:val="18"/>
              </w:rPr>
            </w:pPr>
          </w:p>
        </w:tc>
        <w:tc>
          <w:tcPr>
            <w:tcW w:w="805" w:type="dxa"/>
            <w:vMerge w:val="continue"/>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4440" w:type="dxa"/>
            <w:vMerge w:val="continue"/>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非防洪建设项目洪水影响评价报告审批：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1.非防洪建设项目洪水影响评价报告审批；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2.洪水影响评价报告；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3.建设项目可行性研究报告（项目申请报告、备案材料、含图纸）；</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4.与第三方签订的协议或承诺书；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5.技术审核意见及复核意见；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6.申请人的统一社会信用代码证。</w:t>
            </w:r>
          </w:p>
        </w:tc>
        <w:tc>
          <w:tcPr>
            <w:tcW w:w="850" w:type="dxa"/>
            <w:vMerge w:val="continue"/>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ascii="宋体" w:hAnsi="宋体" w:eastAsia="宋体" w:cs="宋体"/>
                <w:color w:val="000000"/>
                <w:kern w:val="0"/>
                <w:sz w:val="18"/>
                <w:szCs w:val="18"/>
              </w:rPr>
              <w:t>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水利厅关于XXX建设项目洪水影响评价报告的审批意见</w:t>
            </w:r>
          </w:p>
        </w:tc>
        <w:tc>
          <w:tcPr>
            <w:tcW w:w="567" w:type="dxa"/>
            <w:vMerge w:val="continue"/>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p>
        </w:tc>
        <w:tc>
          <w:tcPr>
            <w:tcW w:w="708" w:type="dxa"/>
            <w:vMerge w:val="continue"/>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vMerge w:val="continue"/>
            <w:shd w:val="clear" w:color="auto" w:fill="auto"/>
            <w:noWrap/>
            <w:tcMar>
              <w:top w:w="15" w:type="dxa"/>
              <w:left w:w="15" w:type="dxa"/>
              <w:right w:w="15" w:type="dxa"/>
            </w:tcMar>
            <w:vAlign w:val="center"/>
          </w:tcPr>
          <w:p>
            <w:pPr>
              <w:pStyle w:val="13"/>
              <w:widowControl/>
              <w:numPr>
                <w:ilvl w:val="0"/>
                <w:numId w:val="1"/>
              </w:numPr>
              <w:adjustRightInd w:val="0"/>
              <w:snapToGrid w:val="0"/>
              <w:ind w:left="0" w:right="-525" w:rightChars="-250" w:firstLine="0" w:firstLineChars="0"/>
              <w:jc w:val="center"/>
              <w:textAlignment w:val="center"/>
              <w:rPr>
                <w:rFonts w:ascii="宋体" w:hAnsi="宋体" w:eastAsia="宋体" w:cs="宋体"/>
                <w:color w:val="000000"/>
                <w:kern w:val="0"/>
                <w:sz w:val="18"/>
                <w:szCs w:val="18"/>
              </w:rPr>
            </w:pPr>
          </w:p>
        </w:tc>
        <w:tc>
          <w:tcPr>
            <w:tcW w:w="805" w:type="dxa"/>
            <w:vMerge w:val="continue"/>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4440" w:type="dxa"/>
            <w:vMerge w:val="continue"/>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国家基本水文测站上下游建设影响水文监测工程的审批：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1.审批申请书；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2.建设工程对水文监测影响程度的分析评价报告；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3.技术审核意见及复核意见；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4.建设单位与受影响水文测站的管理单位就水文测站迁移或改建的相应措施达成的协议书；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5.申请人的统一社会信用代码证</w:t>
            </w:r>
          </w:p>
        </w:tc>
        <w:tc>
          <w:tcPr>
            <w:tcW w:w="850" w:type="dxa"/>
            <w:vMerge w:val="continue"/>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20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关于XXX项目实施对XX水文站影响的有关批复</w:t>
            </w:r>
          </w:p>
        </w:tc>
        <w:tc>
          <w:tcPr>
            <w:tcW w:w="567" w:type="dxa"/>
            <w:vMerge w:val="continue"/>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p>
        </w:tc>
        <w:tc>
          <w:tcPr>
            <w:tcW w:w="708" w:type="dxa"/>
            <w:vMerge w:val="continue"/>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建设工程文物保护和考古许可（在文物保护单位的保护范围内进行其他建设工程或者爆破、钻探、挖掘等作业审批）</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《中华人民共和国文物保护法》（1982年11月19日第五届全国人民代表大会常务委员会令第11号公布实施，2017年11月4日第十二届全国人民代表大会常务委员会第三十次会议予以修改） 第十七条　因特殊情况需要在文物保护单位的保护范围内进行其他建设工程或者爆破、钻探、挖掘等作业的，必须保证文物保护单位的安全，并经核定公布该文物保护单位的人民政府批准，在批准前应当征得上一级人民政府文物行政部门同意；在全国重点文物保护单位的保护范围内进行其他建设工程或者爆破、钻探、挖掘等作业的，必须经省、自治区、直辖市人民政府批准，在批准前应当征得国务院文物行政部门同意。</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1．申请人申请书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2.建设工程的规划、设计方案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3.文物保护、安全的措施方案和应急预案（涉及费用应明确来源）                 4.工程对文物可能产生破坏或影响的评估报告及为保护文物安全及历史、自然环境所采用的相关措施设计            5.考古勘探发掘资料                       6.世界文化遗产管理组织论证材料和有关说明材料(如是世界文化遗产，则需提供该材料)</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柳州市柳江区行政审批局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ascii="宋体" w:hAnsi="宋体" w:eastAsia="宋体" w:cs="宋体"/>
                <w:color w:val="000000"/>
                <w:kern w:val="0"/>
                <w:sz w:val="18"/>
                <w:szCs w:val="18"/>
              </w:rPr>
              <w:t>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广西壮族自治区文化厅行政许可决定书。 </w:t>
            </w:r>
          </w:p>
        </w:tc>
        <w:tc>
          <w:tcPr>
            <w:tcW w:w="567" w:type="dxa"/>
            <w:shd w:val="clear" w:color="auto" w:fill="auto"/>
            <w:noWrap/>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涉及国家安全事项的建设项目审批</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1.《国家安全法》第59条: 国家建立国家安全审查和监管的制度和机制，对...涉及国家安全事项的建设项目...，进行国家安全审查，有效预防和化解国家安全风险。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 《国务院对确需保留的行政审批项目设定行政许可的决定》（国务院第412号令）第66项：涉及国家安全事项的建设项目审批。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3. 《广西壮族自治区涉外建设项目和场所国家安全事项管理办法》（2002年10月30日自治区人民政府令第5号发布，2003年1月1日起实施，2004年6月29日自治区人民政府令第7号修正）。 </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1.涉及国家安全事项的建设项目建设申请书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2.企业营业执照或者组织注册登记证书、申请人有效身份证件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3.委托代理人提出申请的，应提供委托书、代理人的有效身份证件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4.建设项目投资性质、使用功能、地理位置及周边环境说明文件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5.场所使用的权属材料（不动产权证书、场所转移合同）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6. 建设项目规划红线范围内的1：2000地形图或者1：500总平面图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7.建设项目整体规划设计方案及内部智能化集成系统、办公自动化系统、信息网络系统等设计方案</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ascii="Times New Roman" w:hAnsi="Times New Roman" w:eastAsia="宋体" w:cs="Times New Roman"/>
                <w:kern w:val="0"/>
                <w:sz w:val="18"/>
                <w:szCs w:val="18"/>
              </w:rPr>
              <w:t>国家安全机关</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涉及国家安全事项的建设项目审批准予许可决定书、不予许可决定书 </w:t>
            </w: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占用农业灌溉水渠、灌溉工程设施审批</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国务院对确需保留的行政审批项目设定行政许可的决定》（2004年6月29日国务院令第412号，2016年8月25日予以修改）附件第170项：占用农业灌溉水源、灌排工程设施审批。实施机关：各级人民政府水行政主管部门、流域管理机构。《国务院关于取消和下放一批行政审批项目的决定》（国发〔2014〕5号）附件第28项：占用农业灌溉水源、灌排工程设施审批。备注：仅取消水利部审批权，地方各级人民政府水行政主管部门审批权仍然保留。</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1．占用农业灌溉水源、灌排工程设施审批申请书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2.替代工程初步设计报告有关材料（报批稿，初步设计报告、图集、概算）</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3.法定评估机构评定的补偿方案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4.建设项目所依据的可行性研究报告批文或初步设计批文</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5.被占用农业灌溉水源、灌排工程设施涉及利害关系各方的协议（承诺）书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 取水许可证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7.技术审查意见及复核意见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8.申请人的统一社会信用代码证（加盖公章，只验看不收）</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柳州市柳江区行政审批局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ascii="宋体" w:hAnsi="宋体" w:eastAsia="宋体" w:cs="宋体"/>
                <w:color w:val="000000"/>
                <w:kern w:val="0"/>
                <w:sz w:val="18"/>
                <w:szCs w:val="18"/>
              </w:rPr>
              <w:t>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占用农业灌排水源、灌排工程设施同意书</w:t>
            </w: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宗教活动场所内改建或者新建建筑物审批</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1.《宗教事务条例》（2004年11月30日国务院令第426号公布）第二十五条 有关单位和个人在宗教活动场所内改建或者新建建筑物、设立商业服务网点、举办陈列展览、拍摄电影电视片，应当事先征得该宗教活动场所和所在地的县级以上地方人民政府宗教事务部门同意。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关于印发〈宗教事务方面部分行政许可项目实施细则〉的通知》（国宗发〔2006〕52号）第七项规定：1．在宗教活动场所内改建或者新建建筑物，如果不影响该宗教活动场所现有布局和功能的，由该宗教活动场所向其所在地县级宗教事务部门申请，所在地县级宗教事务部门作出行政许可。2．在其他固定宗教活动处所内改建或者新建建筑物，拟改变该固定宗教活动处所现有布局和功能的，由该固定宗教活动处所向其所在地县级宗教事务部门申请，所在地县级宗教事务部门进行审核，拟同意的，上报地级市宗教事务部门审批。3．在寺观教堂所内改建或者新建建筑物，拟改变该寺观教堂现有布局和功能的，由该寺观教堂向其所在地县级宗教事务部门申请，所在地县级宗教事务部门进行审核，拟同意的，逐级上报自治区宗教事务局审批。</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1.申请书，内容包括拟改建或者新建建筑物的项目说明及理由等</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2.宗教活动场所管理组织集体研究同意的书面材料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3.拟改建或者新建建筑物的设计草图、位置图、效果图及可行性报告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4.有权改建或者新建建筑物的相关材料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5.建设资金证明 </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柳州市柳江区行政审批局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ascii="宋体" w:hAnsi="宋体" w:eastAsia="宋体" w:cs="宋体"/>
                <w:color w:val="000000"/>
                <w:kern w:val="0"/>
                <w:sz w:val="18"/>
                <w:szCs w:val="18"/>
              </w:rPr>
              <w:t>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ascii="宋体" w:hAnsi="宋体" w:eastAsia="宋体" w:cs="宋体"/>
                <w:color w:val="000000"/>
                <w:kern w:val="0"/>
                <w:sz w:val="18"/>
                <w:szCs w:val="18"/>
              </w:rPr>
              <w:t>0</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关于同意(不同意)在宗教活动场所内改建或者新建建筑物的许可决定书 </w:t>
            </w: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（在其他固定宗教活动处所内改建或者新建建筑物（拟改变该其他固定宗教活动处所现有布局和功能的）审批）</w:t>
            </w: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建设项目环境影响评价审批</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1.《中华人民共和国环境保护法》（2014年4月24日第十二届全国人民代表大会常务委员会第八次会议修订，2014年4月24日中华人民共和国主席令第9号公布，自2015年1月1日起施行）第十九条第一款  编制有关开发利用规划，建设对环境有影响的项目，应当依法进行环境影响评价。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2.《中华人民共和国环境影响评价法》（2002年10月28日第九届全国人民代表大会常务委员会第三十次会议通过　根据2016年7月2日第十二届全国人民代表大会常务委员会第二十一次会议《关于修改〈中华人民共和国节约能源法〉等六部法律的决定》第一次修正　根据2018年12月29日第十三届全国人民代表大会常务委员会第七次会议《关于修改〈中华人民共和国劳动法〉等七部法律的决定》第二次修正，2018年12月29日起实施）第二十二条  建设项目的环境影响报告书、报告表，由建设单位按照国务院的规定报有审批权的环境保护行政主管部门审批。海洋工程建设项目的海洋环境影响报告书的审批，依照《中华人民共和国海洋环境保护法》的规定办理。审批部门应当自收到环境影响报告书之日起六十日内，收到环境影响报告表之日起三十日内，分别作出审批决定并书面通知建设单位。国家对环境影响登记表实行备案管理。审核、审批建设项目环境影响报告书、报告表以及备案环境影响登记表，不得收取任何费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3.《中华人民共和国环境影响评价法》（2002年10月28日第九届全国人民代表大会常务委员会第三十次会议通过　根据2016年7月2日第十二届全国人民代表大会常务委员会第二十一次会议《关于修改〈中华人民共和国节约能源法〉等六部法律的决定》第一次修正　根据2018年12月29日第十三届全国人民代表大会常务委员会第七次会议《关于修改〈中华人民共和国劳动法〉等七部法律的决定》第二次修正，2018年12月29日起实施）第二十四条 建设项目的环境影响评价文件经批准后，建设项目的性质、规模、地点、采用的生产工艺或者防治污染、防止生态破坏的措施发生重大变动的，建设单位应当重新报批建设项目的环境影响评价文件。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4.《中华人民共和国防止拆船污染环境管理条例》（1988年5月18日国务院国发［1988〕31号发布，自1988年6月1日起施行，2016年2月6日《国务院关于修改部分行政法规的决定》（国令第666号）修订）第六条第一款 设置拆船厂，必须编制环境影响报告书（表）。其内容包括：拆船厂的地理位置、周围环境状况、拆船规模和条件、拆船工艺、防污措施、预期防治效果等。未依法进行环境影响评价的拆船厂，不得开工建设。</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1.建设项目环境影响评价文件审批申请表</w:t>
            </w:r>
            <w:r>
              <w:rPr>
                <w:rFonts w:ascii="宋体" w:hAnsi="宋体" w:eastAsia="宋体" w:cs="宋体"/>
                <w:color w:val="000000"/>
                <w:kern w:val="0"/>
                <w:sz w:val="18"/>
                <w:szCs w:val="18"/>
              </w:rPr>
              <w:br w:type="textWrapping"/>
            </w:r>
            <w:r>
              <w:rPr>
                <w:rFonts w:ascii="宋体" w:hAnsi="宋体" w:eastAsia="宋体" w:cs="宋体"/>
                <w:color w:val="000000"/>
                <w:kern w:val="0"/>
                <w:sz w:val="18"/>
                <w:szCs w:val="18"/>
              </w:rPr>
              <w:t>2.建设项目环境影响报告书（表）报批本及公示本各一式两份（含光盘）</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柳州市行政审批局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报告书：</w:t>
            </w:r>
            <w:r>
              <w:rPr>
                <w:rFonts w:ascii="宋体" w:hAnsi="宋体" w:eastAsia="宋体" w:cs="宋体"/>
                <w:color w:val="000000"/>
                <w:kern w:val="0"/>
                <w:sz w:val="18"/>
                <w:szCs w:val="18"/>
              </w:rPr>
              <w:t>20个工作日；报</w:t>
            </w:r>
            <w:r>
              <w:rPr>
                <w:rFonts w:hint="eastAsia" w:ascii="宋体" w:hAnsi="宋体" w:eastAsia="宋体" w:cs="宋体"/>
                <w:color w:val="000000"/>
                <w:kern w:val="0"/>
                <w:sz w:val="18"/>
                <w:szCs w:val="18"/>
              </w:rPr>
              <w:t>告表：</w:t>
            </w:r>
            <w:r>
              <w:rPr>
                <w:rFonts w:ascii="宋体" w:hAnsi="宋体" w:eastAsia="宋体" w:cs="宋体"/>
                <w:color w:val="000000"/>
                <w:kern w:val="0"/>
                <w:sz w:val="18"/>
                <w:szCs w:val="18"/>
              </w:rPr>
              <w:t>10个工作日</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9</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关于</w:t>
            </w:r>
            <w:r>
              <w:rPr>
                <w:rFonts w:ascii="宋体" w:hAnsi="宋体" w:eastAsia="宋体" w:cs="宋体"/>
                <w:color w:val="000000"/>
                <w:kern w:val="0"/>
                <w:sz w:val="18"/>
                <w:szCs w:val="18"/>
              </w:rPr>
              <w:t>XX项目环境影响报告</w:t>
            </w:r>
            <w:r>
              <w:rPr>
                <w:rFonts w:hint="eastAsia" w:ascii="宋体" w:hAnsi="宋体" w:eastAsia="宋体" w:cs="宋体"/>
                <w:color w:val="000000"/>
                <w:kern w:val="0"/>
                <w:sz w:val="18"/>
                <w:szCs w:val="18"/>
              </w:rPr>
              <w:t>书（表）的批复</w:t>
            </w: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生产建设项目水土保持方案审批</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《中华人民共和国水土保持法》（1991年6月29日主席令第四十九号，2010年12月25日予以修改） 第二十五条：在山区、丘陵区、风沙区以及水土保持规划确定的容易发生水土流失的其他区域开办可能造成水土流失的生产建设项目，生产建设单位应当编制水土保持方案，报县级以上人民政府水行政主管部门审批。 </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1.申请文件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2.生产建设项目水土保持方案报告书（报批稿）</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3.技术审查意见及复核意见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4.申请人的统一社会信用代码证</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柳州市柳江区行政审批局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水利厅关于XXX生产建设项目水土保持方案的批复</w:t>
            </w: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节能审查</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1．《中华人民共和国节约能源法》（1997年11月1日主席令第90号公布，2018年10月26日第十三届全国人民代表大会常务委员会第六次会议修正）第十五条 国家实行固定资产投资项目节能评估和审查制度。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2. 《国务院关于加强节能工作的决定》（国发〔2006〕28号）第二十三条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3.《公共机构节能条例》（2018年8月1日中华人民共和国国务院令第531号印发，2017年3月1日修订）第二十条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4.《固定资产投资项目节能审查办法》（国家发展和改革委员会令第44号印发）第三条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5.《广西壮族自治区固定资产投资项目节能审查办法》（桂发改环资〔2017〕635号）第三条、第八条</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1.办理项目节能审查的申请文件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固定资产投资项目节能报告</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FF0000"/>
                <w:kern w:val="0"/>
                <w:sz w:val="18"/>
                <w:szCs w:val="18"/>
              </w:rPr>
            </w:pPr>
            <w:r>
              <w:rPr>
                <w:rFonts w:hint="eastAsia" w:ascii="宋体" w:hAnsi="宋体" w:eastAsia="宋体" w:cs="宋体"/>
                <w:color w:val="000000"/>
                <w:kern w:val="0"/>
                <w:sz w:val="18"/>
                <w:szCs w:val="18"/>
              </w:rPr>
              <w:t>柳州市柳江区行政审批局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ascii="宋体" w:hAnsi="宋体" w:eastAsia="宋体" w:cs="宋体"/>
                <w:color w:val="000000"/>
                <w:kern w:val="0"/>
                <w:sz w:val="18"/>
                <w:szCs w:val="18"/>
              </w:rPr>
              <w:t>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关于****项目节能报告的审查意见 </w:t>
            </w: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取水许可审批</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1.《中华人民共和国水法》（1988年1月21日主席令第六十一号，2016年7月2日予以修改） 第七条：国家对水资源依法实行取水许可制度和有偿使用制度。 第四十八条：直接从江河、湖泊或者地下取用水资源的单位和个人，应当按照国家取水许可制度和水资源有偿使用制度的规定，向水行政主管部门或者流域管理机构申请领取取水许可证，并缴纳水资源费，取得取水权。但是，家庭生活和零星散养、圈养畜禽饮用等少量取水的除外。</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2.《取水许可和水资源费征收管理条例》（2006年2月21日国务院令第460号，2017年3月1日予以修改） 第二条：取用水资源的单位和个人，除本条例第四条规定的情形外，都应当申请领取取水许可证，并缴纳水资源费。 第三条：县级以上人民政府水行政主管部门按照分级管理权限，负责取水许可制度的组织实施和监督管理。 第四条：下列情形不需要申请领取取水许可证：……（五）为农业抗旱和维护生态与环境必须临时应急取水的。……第（五）项规定的取水，应当经县级以上人民政府水行政主管部门或者流域管理机构同意。 第十四条：取水许可实行分级审批。</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 xml:space="preserve">取水许可申请文件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2.取水许可申请书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3.取水许可复核意见；组织技术审查的单位出具的建设项目水资源论证报告书技术审查意见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4.与第三方有利害关系的，提交与第三方签订的协议或承诺书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5.统一社会信用代码证</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柳州市柳江区行政审批局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r>
              <w:rPr>
                <w:rFonts w:ascii="宋体" w:hAnsi="宋体" w:eastAsia="宋体" w:cs="宋体"/>
                <w:color w:val="000000"/>
                <w:kern w:val="0"/>
                <w:sz w:val="18"/>
                <w:szCs w:val="18"/>
              </w:rPr>
              <w:t>5</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取水许可批复文件</w:t>
            </w:r>
          </w:p>
        </w:tc>
        <w:tc>
          <w:tcPr>
            <w:tcW w:w="567" w:type="dxa"/>
            <w:shd w:val="clear" w:color="auto" w:fill="auto"/>
            <w:noWrap/>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国有建设用地使用权划拨批准</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土地管理法》(中华人民共和国主席令第28号，根据2004年8月28日第十届全国人民代表大会常务委员会第试十一次会议《关于修改（中华人民共和国土地管理法&gt;的决定》第二次修正，自公布之日起施行) 第二条 国家依法实行国有土地有偿使用制度。但是，国家在法律规定的范围内划拨国有土地使用权的除外。 第五十四条 建设单位使用国有土地，应当以出让等有偿使用方式取得；但是，下列建设用地，经县级以上人民政府依法批准，可以以划拨方式取得：（一）国家机关用地和军事用地；（二）城市基础设施用地和公益事业用地；（三）国家重点扶持的能源、交通、水利等基础设施用地；（四）法律、行政法规规定的其他用地;《划拨用地目录》（中华人民共和国国土资源部令第9号）</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1.申请报告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2.申请人资格认定材料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3.授权委托书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4.委托代理人身份证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5.立项批文或备案登记表、列入城市年度投资计划的通知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6.用地预审批复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7.农转用批复或农转用情况告知函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8.征为国有的证明及征地结算相关材料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9。建设用地规划许可证及审批单、建设用地规划定点红线图、总平面图或规划设计条件通知书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10.权属面积审核成果材料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11.城市规划行政主管部门审批的总平面图或规划设条件通知书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12.项目批文或中标通知书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13.林地使用行政决定书或不占用林地的证明</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柳州市柳江区自然资源局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ascii="宋体" w:hAnsi="宋体" w:eastAsia="宋体" w:cs="宋体"/>
                <w:color w:val="000000"/>
                <w:kern w:val="0"/>
                <w:sz w:val="18"/>
                <w:szCs w:val="18"/>
              </w:rPr>
              <w:t>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《国有建设用地使用权划拨决定书》、《建设用地批准书》及用地红线图</w:t>
            </w: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收费</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优化营商环境压缩后审批时限10个工作日不包括政府审批时间。</w:t>
            </w: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restart"/>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r>
              <w:rPr>
                <w:rFonts w:hint="eastAsia" w:ascii="宋体" w:hAnsi="宋体" w:eastAsia="宋体" w:cs="宋体"/>
                <w:color w:val="000000"/>
                <w:spacing w:val="40"/>
                <w:kern w:val="0"/>
                <w:sz w:val="18"/>
                <w:szCs w:val="18"/>
              </w:rPr>
              <w:t>工程建设许可阶段</w:t>
            </w: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建设工程规划类许可证核发（设计方案审查）</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《中华人民共和国城乡规划法》（2007年主席令第七十四号公布）第四十条 在城市、镇规划区内进行建筑物、构筑物、道路、管线和其他工程建设的，建设单位或者个人应当向城市、县人民政府城乡规划主管部门或者省、自治区、直辖市人民政府确定的镇人民政府申请办理建设工程规划许可证。申请办理建设工程规划许可证，应当提交使用土地的有关证明文件、建设工程设计方案等材料。需要建设单位编制修建性详细规划的建设项目，还应当提交修建性详细规划。对符合控制性详细规划和规划条件的，由城市、县人民政府城乡规划主管部门或者省、自治区、直辖市人民政府确定的镇人民政府核发建设工程规划许可证。</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 工程建设项目建设工程规划许可并联审批申请表（房建类）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2、法人委托书、法人身份证及经办人身份证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3、方案文本</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柳州市自然资源和规划局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ascii="宋体" w:hAnsi="宋体" w:eastAsia="宋体" w:cs="宋体"/>
                <w:color w:val="000000"/>
                <w:kern w:val="0"/>
                <w:sz w:val="18"/>
                <w:szCs w:val="18"/>
              </w:rPr>
              <w:t>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建设工程规划许可证</w:t>
            </w: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（建设工程（含临时建设）规划许可证核发）</w:t>
            </w: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numPr>
                <w:ilvl w:val="0"/>
                <w:numId w:val="1"/>
              </w:numPr>
              <w:adjustRightInd w:val="0"/>
              <w:snapToGrid w:val="0"/>
              <w:ind w:left="0"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21221</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新建、改建、扩建从事港口</w:t>
            </w:r>
          </w:p>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危险货物作业的建设项目安全条件审查</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《中华人民共和国安全生产法》、《港口危险货物安全管理规定》（2017年9月4日交通运输部令2017年第27号）</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1.建设项目安全条件审查申请书</w:t>
            </w:r>
            <w:r>
              <w:rPr>
                <w:rFonts w:ascii="宋体" w:hAnsi="宋体" w:eastAsia="宋体" w:cs="宋体"/>
                <w:color w:val="000000"/>
                <w:kern w:val="0"/>
                <w:sz w:val="18"/>
                <w:szCs w:val="18"/>
              </w:rPr>
              <w:br w:type="textWrapping"/>
            </w:r>
            <w:r>
              <w:rPr>
                <w:rFonts w:ascii="宋体" w:hAnsi="宋体" w:eastAsia="宋体" w:cs="宋体"/>
                <w:color w:val="000000"/>
                <w:kern w:val="0"/>
                <w:sz w:val="18"/>
                <w:szCs w:val="18"/>
              </w:rPr>
              <w:t>2.建设项目安全预评价报告</w:t>
            </w:r>
            <w:r>
              <w:rPr>
                <w:rFonts w:ascii="宋体" w:hAnsi="宋体" w:eastAsia="宋体" w:cs="宋体"/>
                <w:color w:val="000000"/>
                <w:kern w:val="0"/>
                <w:sz w:val="18"/>
                <w:szCs w:val="18"/>
              </w:rPr>
              <w:br w:type="textWrapping"/>
            </w:r>
            <w:r>
              <w:rPr>
                <w:rFonts w:ascii="宋体" w:hAnsi="宋体" w:eastAsia="宋体" w:cs="宋体"/>
                <w:color w:val="000000"/>
                <w:kern w:val="0"/>
                <w:sz w:val="18"/>
                <w:szCs w:val="18"/>
              </w:rPr>
              <w:t>3.建设项目安全条件论证报告（涉及危险化学品的提供）</w:t>
            </w:r>
            <w:r>
              <w:rPr>
                <w:rFonts w:ascii="宋体" w:hAnsi="宋体" w:eastAsia="宋体" w:cs="宋体"/>
                <w:color w:val="000000"/>
                <w:kern w:val="0"/>
                <w:sz w:val="18"/>
                <w:szCs w:val="18"/>
              </w:rPr>
              <w:br w:type="textWrapping"/>
            </w:r>
            <w:r>
              <w:rPr>
                <w:rFonts w:ascii="宋体" w:hAnsi="宋体" w:eastAsia="宋体" w:cs="宋体"/>
                <w:color w:val="000000"/>
                <w:kern w:val="0"/>
                <w:sz w:val="18"/>
                <w:szCs w:val="18"/>
              </w:rPr>
              <w:t>4.依法需取得的建设项目规划选址文件</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themeColor="text1"/>
                <w:kern w:val="0"/>
                <w:sz w:val="18"/>
                <w:szCs w:val="18"/>
              </w:rPr>
              <w:t>柳州市柳江区行政审批局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r>
              <w:rPr>
                <w:rFonts w:ascii="宋体" w:hAnsi="宋体" w:eastAsia="宋体" w:cs="宋体"/>
                <w:color w:val="000000"/>
                <w:kern w:val="0"/>
                <w:sz w:val="18"/>
                <w:szCs w:val="18"/>
              </w:rPr>
              <w:t>5</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关于XX建设项目安全条件审核的意见</w:t>
            </w: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乡村建设规划许可证核发</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中华人民共和国城乡规划法》（2007年10月28日主席令第七十四号，2015年4月24日予以修改）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2.《广西壮族自治区实施〈中华人民共和国城乡规划法〉办法》（2010年3月31日广西壮族自治区第十一届人民代表大会常务委员会第十四次会议通过，2016年11月30日予以修改）第三十七条　在乡、村庄规划区内进行乡镇企业、乡村公共设施和公益事业建设，应当办理乡村建设规划许可证。 建设单位或者个人应当持经有关部门审批、核准或者备案文件、标明拟建项目用地范围的规定比例尺地形图、建设工程设计方案（包括图纸和说明，下同）、有关村民委员会意见、建设单位或者个人有效证件等材料，向所在地镇或者乡人民政府提出书面申请。镇或者乡人民政府对提交的材料进行初审，对材料齐全的，提出初审意见；对材料不齐全的，告知其应当补正的有关材料。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3.《广西壮族自治区实施〈中华人民共和国城乡规划法〉办法》（2010年3月31日广西壮族自治区第十一届人民代表大会常务委员会第十四次会议通过，2016年11月30日予以修改）第三十八条　村民在乡、村庄规划区范围内进行住宅建设的，应当办理乡村建设规划许可证。 建房村民须持拟建住房用地的有关证明文件、村民小组和村民委员会意见、四邻关系图、建设工程设计方案或者房屋建筑通用图集、有效身份证件等材料向所在地镇或者乡人民政府提出书面申请。镇或者乡人民政府审核申请人提交的各项文件、资料、图纸等是否完备，并依据经依法批准的乡、村庄规划进行核查，对具备相关文件材料且符合乡、村庄规划及国家有关规范、标准要求，属于使用原有宅基地建造住宅的，由乡、镇人民政府核发乡村建设规划许可证，不属于使用原有宅基地建造住宅的，提出初审意见，报上一级人民政府城乡规划主管部门审定、核发乡村建设规划许可证；对不符合要求的，不予核发，并书面说明理由。</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1、申请报告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2、建设单位法人或者个人验核身份证或身份证明材料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3、项目地形图资料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4、建设项目批准文件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5、使用土地的证明文件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6、村民小组和村民委员会意见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7、属村民住宅建设的，须提供四邻关系图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8、属乡镇企业、乡村公共设施、公益事业建设的，须提供经依法审定的建设工程设计方案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9、属于县级以上规划主管部门核发的，还应附镇、乡人民政府或者街道办事处审查意见</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柳州市自然资源和规划局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ascii="宋体" w:hAnsi="宋体" w:eastAsia="宋体" w:cs="宋体"/>
                <w:color w:val="000000"/>
                <w:kern w:val="0"/>
                <w:sz w:val="18"/>
                <w:szCs w:val="18"/>
              </w:rPr>
              <w:t>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ascii="宋体" w:hAnsi="宋体" w:eastAsia="宋体" w:cs="宋体"/>
                <w:color w:val="000000"/>
                <w:kern w:val="0"/>
                <w:sz w:val="18"/>
                <w:szCs w:val="18"/>
              </w:rPr>
              <w:t>2</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乡村建设规划许可证  </w:t>
            </w: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江河、湖泊新建、改建或者扩大排污口审核</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《中华人民共和国水污染防治法》（1984年5月11日主席令第十二号，2008年2月28日予以修改，自2008年6月1日施行）第十七条第二款 建设单位在江河、湖泊新建、扩建排污口的，应当取得水行政主管部门或者流域管理机构同意。 《中华人民共和国水法》（2002年8月29日主席令第74号公布，自2002年10月1日起施行)第三十四条 在江河、湖泊新建、改建或者扩大排污口，应当经过有管辖权的水行政主管部门或者流域管理机构同意。</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1、入河排污口设置申请文件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2、入河排污口设置申请书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3、建设项目立项文件或同意开展前期工作的文件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入河排污口设置论证报告书（报批稿），或建设项目水资源论证报告书（报批稿），（设置入河排污口需要同时办理取水许可申请的，申请人提交的水资源论证报告中应当包含入河排污口设置论证的内容，不再单独提交入河排污口设置论证报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5、水利厅水资源处出具的复核意见，组织技术审查单位出具的技术审查意。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6、与第三方有利害关系的，提交与第三方签订的协议或承诺书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7、统一社会信用代码证</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柳州市柳江区行政审批局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ascii="宋体" w:hAnsi="宋体" w:eastAsia="宋体" w:cs="宋体"/>
                <w:color w:val="000000"/>
                <w:kern w:val="0"/>
                <w:sz w:val="18"/>
                <w:szCs w:val="18"/>
              </w:rPr>
              <w:t>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入河排污口批复文件 </w:t>
            </w: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房屋建筑和市政基础设施工程建设项目初步设计文件审批</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1.《国务院关于投资体制改革的决定》（国发〔2004〕20号，2004年7月16日国务院颁布实施）</w:t>
            </w:r>
          </w:p>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《中央预算内直接投资项目管理办法》（国家发展改革委令2014年第7号，2014年3月1日实施）</w:t>
            </w:r>
          </w:p>
          <w:p>
            <w:pPr>
              <w:widowControl/>
              <w:snapToGrid w:val="0"/>
              <w:jc w:val="lef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3.</w:t>
            </w:r>
            <w:r>
              <w:rPr>
                <w:rFonts w:hint="eastAsia" w:ascii="宋体" w:hAnsi="宋体" w:eastAsia="宋体" w:cs="宋体"/>
                <w:color w:val="000000"/>
                <w:kern w:val="0"/>
                <w:sz w:val="18"/>
                <w:szCs w:val="18"/>
              </w:rPr>
              <w:t>《建设工程勘察设计管理条例》（2000年9月25日国务院令第293号公布；2017年10月7日修改）</w:t>
            </w:r>
          </w:p>
          <w:p>
            <w:pPr>
              <w:widowControl/>
              <w:snapToGrid w:val="0"/>
              <w:jc w:val="lef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4</w:t>
            </w:r>
            <w:r>
              <w:rPr>
                <w:rFonts w:hint="eastAsia" w:ascii="宋体" w:hAnsi="宋体" w:eastAsia="宋体" w:cs="宋体"/>
                <w:color w:val="000000"/>
                <w:kern w:val="0"/>
                <w:sz w:val="18"/>
                <w:szCs w:val="18"/>
              </w:rPr>
              <w:t>.《广西壮族自治区建设工程勘察设计管理条例》（1999年3月26日自治区九届人大常委</w:t>
            </w:r>
            <w:r>
              <w:rPr>
                <w:rFonts w:hint="eastAsia" w:ascii="宋体" w:hAnsi="宋体" w:eastAsia="宋体" w:cs="宋体"/>
                <w:color w:val="000000"/>
                <w:kern w:val="0"/>
                <w:sz w:val="18"/>
                <w:szCs w:val="18"/>
                <w:lang w:val="en-US" w:eastAsia="zh-CN"/>
              </w:rPr>
              <w:t>会</w:t>
            </w:r>
            <w:r>
              <w:rPr>
                <w:rFonts w:hint="eastAsia" w:ascii="宋体" w:hAnsi="宋体" w:eastAsia="宋体" w:cs="宋体"/>
                <w:color w:val="000000"/>
                <w:kern w:val="0"/>
                <w:sz w:val="18"/>
                <w:szCs w:val="18"/>
              </w:rPr>
              <w:t>第十次会议通过，2016年11月30日修改）</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1、办理项目初步设计审批的申请文</w:t>
            </w:r>
            <w:r>
              <w:rPr>
                <w:rFonts w:hint="eastAsia" w:ascii="宋体" w:hAnsi="宋体" w:eastAsia="宋体" w:cs="宋体"/>
                <w:color w:val="000000" w:themeColor="text1"/>
                <w:kern w:val="0"/>
                <w:sz w:val="18"/>
                <w:szCs w:val="18"/>
              </w:rPr>
              <w:br w:type="textWrapping"/>
            </w:r>
            <w:r>
              <w:rPr>
                <w:rFonts w:hint="eastAsia" w:ascii="宋体" w:hAnsi="宋体" w:eastAsia="宋体" w:cs="宋体"/>
                <w:color w:val="000000" w:themeColor="text1"/>
                <w:kern w:val="0"/>
                <w:sz w:val="18"/>
                <w:szCs w:val="18"/>
              </w:rPr>
              <w:t>2、可行性研究报告批复文件</w:t>
            </w:r>
            <w:r>
              <w:rPr>
                <w:rFonts w:hint="eastAsia" w:ascii="宋体" w:hAnsi="宋体" w:eastAsia="宋体" w:cs="宋体"/>
                <w:color w:val="000000" w:themeColor="text1"/>
                <w:kern w:val="0"/>
                <w:sz w:val="18"/>
                <w:szCs w:val="18"/>
              </w:rPr>
              <w:br w:type="textWrapping"/>
            </w:r>
            <w:r>
              <w:rPr>
                <w:rFonts w:hint="eastAsia" w:ascii="宋体" w:hAnsi="宋体" w:eastAsia="宋体" w:cs="宋体"/>
                <w:color w:val="000000" w:themeColor="text1"/>
                <w:kern w:val="0"/>
                <w:sz w:val="18"/>
                <w:szCs w:val="18"/>
              </w:rPr>
              <w:t>3、由相应工程咨询资格的机构编制的初步设计（含调概）文本</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themeColor="text1"/>
                <w:kern w:val="0"/>
                <w:sz w:val="18"/>
                <w:szCs w:val="18"/>
              </w:rPr>
            </w:pPr>
            <w:r>
              <w:rPr>
                <w:rFonts w:hint="eastAsia" w:ascii="宋体" w:hAnsi="宋体" w:eastAsia="宋体" w:cs="宋体"/>
                <w:color w:val="000000"/>
                <w:kern w:val="0"/>
                <w:sz w:val="18"/>
                <w:szCs w:val="18"/>
              </w:rPr>
              <w:t>柳州市柳江区行政审批局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关于XXX项目初步设计的批复 </w:t>
            </w: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依据发改投资〔2019〕268号</w:t>
            </w: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应建防空地下室的民用建筑项目报建（规划）审批</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1.《中华人民共和国人民防空法》第二十二条 城市新建民用建筑，按照国家有关规定修建战时可用于防空的地下室。第二十三条 人民防空工程建设的设计、施工、质量必须符合国家规定的防护标准和质量标准。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2.《广西壮族自治区实施〈中华人民共和国人民防空法〉办法》（1999年5月29日广西壮族自治区九届</w:t>
            </w:r>
            <w:bookmarkStart w:id="0" w:name="_GoBack"/>
            <w:bookmarkEnd w:id="0"/>
            <w:r>
              <w:rPr>
                <w:rFonts w:hint="eastAsia" w:ascii="宋体" w:hAnsi="宋体" w:eastAsia="宋体" w:cs="宋体"/>
                <w:color w:val="000000"/>
                <w:kern w:val="0"/>
                <w:sz w:val="18"/>
                <w:szCs w:val="18"/>
              </w:rPr>
              <w:t>人大常委会第11次会议通过，2016年11月30日予以修改）第十六条“城市规划内的新建民用建筑…应当按照国家有关要求和标准修建战时可用于防空的地下室”。第二十二条“人民防空主管部门参与对应建防空地下室的新建民用建筑项目的报建联审，负责防空地下室的防护设计审查；未经审查或者审查不合格的，住房城乡建设（规划）主管部门不得核发建设工程规划许可证、施工许可证”。</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1、广西壮族自治区防空地下室防护设计（易地建设）规划审查表；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2、经批准的规划总平图（或修建性控制性详细规划总平图，含各项规划经济技术指标及明细表）；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3、经审批的建设工程设计方案图（含单体方案）复印件1份；（核查原件，提供AUTOCAD格式电子版光盘）；</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4、申请易地建设的项目证明材料（申请减免易地建设费项目同时须提供）；</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5、申请减免防空地下室易地建设费的证明材料；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6、广西壮族自治区防空地下室易地建设费减免审批表。</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柳州市柳江区行政审批局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ascii="宋体" w:hAnsi="宋体" w:eastAsia="宋体" w:cs="宋体"/>
                <w:color w:val="000000"/>
                <w:kern w:val="0"/>
                <w:sz w:val="18"/>
                <w:szCs w:val="18"/>
              </w:rPr>
              <w:t>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关于XX项目（XX栋）防空地下室防护设计规划审查意见书（修建防空地下室规划阶段）；关于XX项目（XX栋）防空地下室易地建设规划审查意见书（易地建设或减免防空地下室规划阶段）</w:t>
            </w: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应建防空地下室的民用建筑项目报建审批</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1.《中华人民共和国人民防空法》第二十二条 城市新建民用建筑，按照国家有关规定修建战时可用于防空的地下室。第二十三条 人民防空工程建设的设计、施工、质量必须符合国家规定的防护标准和质量标准。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2.《广西壮族自治区实施〈中华人民共和国人民防空法〉办法》（1999年5月29日广西壮族自治区九届人大常委会第11次会议通过，2016年11月30日予以修改）第十六条“城市规划内的新建民用建筑…应当按照国家有关要求和标准修建战时可用于防空的地下室”。第二十二条“人民防空主管部门参与对应建防空地下室的新建民用建筑项目的报建联审，负责防空地下室的防护设计审查；未经审查或者审查不合格的，住房城乡建设（规划）主管部门不得核发建设工程规划许可证、施工许可证”。</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 《广西壮族自治区防空地下室防护设计（易地建设）施工审查表》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2、具有人防工程施工图审查资格机构出具的施工图审查报告表（含各专业）；（修建防空地下室项目须提供）</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 具有人防工程施工图审查资格的机构审查合格的人防工程施工图设计文件（含建筑、结构、暖通、水电等全套施工图纸）（含电子光盘）；（修建防空地下室项目须提供）</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4、 人防部门出具的关于XXX项目（XX栋）防空地下室防护设计（易地建设）规划审查意见书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5、 人防工程质量监督登记表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6、经批准的《广西壮族自治区防空地下室易地建设费减免审批表》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7、具有房屋建筑和市政基础设施施工图审查资格的机构出具的施工图设计文件审查报告表（易地建设项目防护设计施工审查阶段许提供）</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8、经具有人防工程施工图审查资格的机构审查合格的防空地下室平战转换设计方案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9、 经具有房屋建筑和市政基础设施施工图审查资格的机构审查合格的施工图设计文件全套（建筑专业）（申请易地建设防空地下室的项目施工审查须提供）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10、经批准的《防空地下室防护设计（易地建设）规划审查表》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11、防空地下室易地建设费缴费凭证</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柳州市柳江区行政审批局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ascii="宋体" w:hAnsi="宋体" w:eastAsia="宋体" w:cs="宋体"/>
                <w:color w:val="000000"/>
                <w:kern w:val="0"/>
                <w:sz w:val="18"/>
                <w:szCs w:val="18"/>
              </w:rPr>
              <w:t>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关于XX项目防空地下室防护设计施工审查意见书（修建防空地下室规划阶段）;关于XX项目防空地下室易地建设施工审查意见书（易地建设或减免防空地下室施工阶段）） </w:t>
            </w: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（应建防空地下室的新建民用建筑项目防空地下室防护设计（施工）审查）</w:t>
            </w: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拆除人民防空工程的审批</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人民防空法》（1996年主席令第七十八号公布，1997年1月1日起施行，2009年8月27日修正）第二十八条任何组织或者个人不得擅自拆除本法第二十一条规定的人民防空工程；确需拆除的，必须报经人民防空主管部门批准，并由拆除单位负责补建或补偿。第二十一条人民防空指挥工程、公用的人员掩蔽工程和疏散干道工程由人民防空主管部门负责组织修建；医疗救护、物资储备等专用工程由其他有关部门负责组织修建，有关单位负责修建本单位的人员与物资掩蔽工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广西壮族自治区实施〈中华人民共和国人民防空法〉办法》（广西壮族自治区人大常委会公告十一届第41号，2012年1月1日起施行）第三十二条确需拆除人民防空工程的，应当报经有管理权限的人民防空主管部门批准，拆除单位应当在批准的期限内按照不少于原面积、不低于原防护等级的人民防空工程标准补建或者按照易地建设收费标准予以补偿。</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（3）《人民防空工程维护管理办法》（国人防办字﹝2001﹞第210号）第二十条但必须按应补建人民防空工程面积所需造价缴纳易地建设费，由人民防空主管部门统一建设。</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1、市（县）级行政审批部门初审意见；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2、广西壮族自治区人民防空工程拆除审批表；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3、新建设项目立项批文或备案证明、规划部门批准的规划红线或总平复印件；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4、需拆除的工程平面位置示意图和工程平面图。</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themeColor="text1"/>
                <w:kern w:val="0"/>
                <w:sz w:val="18"/>
                <w:szCs w:val="18"/>
              </w:rPr>
            </w:pPr>
            <w:r>
              <w:rPr>
                <w:rFonts w:hint="eastAsia" w:ascii="宋体" w:hAnsi="宋体" w:eastAsia="宋体" w:cs="宋体"/>
                <w:color w:val="000000"/>
                <w:kern w:val="0"/>
                <w:sz w:val="18"/>
                <w:szCs w:val="18"/>
              </w:rPr>
              <w:t>柳州市柳江区行政审批局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ascii="宋体" w:hAnsi="宋体" w:eastAsia="宋体" w:cs="宋体"/>
                <w:color w:val="000000"/>
                <w:kern w:val="0"/>
                <w:sz w:val="18"/>
                <w:szCs w:val="18"/>
              </w:rPr>
              <w:t>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拆除XXX人防工事的批复</w:t>
            </w: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水运工程设计（含设计变更）审批</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1.《建设工程勘察设计管理条例》（2000年9月25日国务院令293号公布，自公布之日起施行，2015年6月12日国务院令662号予以修改）第二十八条第三款 建设工程勘察、设计文件内容需要作重大修改的，建设单位应当报经原审批机关批准后，方可修改。 第三十三条 县级以上人民政府建设行政主管部门或者交通、水利等有关部门应当对施工图设计文件中涉及公共利益、公众安全、工程建设强制性标准的内容进行审查。施工图设计文件未经审查批准的，不得使用。 2.《建设工程质量管理条例》（2000年1月30日国务院令第279号公布，自公布之日起施行）第十一条 建设单位应当将施工图设计文件报县级以上人民政府建设行政主管部门或者其他有关部门审查。施工图设计文件审查的具体办法，由国务院建设行政主管部门会同国务院其他有关部门制定。施工图设计文件未经审查批准的，不得使用。 3.《港口工程建设管理规定》（2018年1月15日交通部令2018年第2号公布自2018年3月1日起施行）第十三条 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 第十六条 所在地港口行政管理部门负责港口工程建设项目施工图设计审批，对施工图设计文件中涉及公共利益、公众安全、工程建设强制性标准的内容进行审查。 4.《航道建设管理规定》（2007年4月11日交通部令2007年第3号公布，自2007年5月1日起施行）第三条第二款 省级交通主管部门负责本行政区域内航道建设的监督管理。具体负责经省级人民政府有关部门批准的航道建设项目的前期工作和设计文件审批、招标投标、开工备案、竣工验收等项目实施过程中的监督管理工作；负责经省级人民政府核准的航道建设项目的设计文件审批、开工备案和竣工验收工作。 5.《中华人民共和国安全生产法》（2002年6月29日中华人民共和国主席令第七十号公布，根据2014年8月31日第十二届全国人民代表大会常务委员会关于修改《中华人民共和国安全生产法》的决定修正）第三十条 建设项目安全设施的设计人、设计单位应当对安全设施设计负责。矿山、金属冶炼建设项目和用于生产、储存、装卸危险物品的建设项目的安全设施设计应当按照国家有关规定报经有关部门审查，审查部门及其负责审查的人员对审查结果负责。 6.《港口危险货物安全管理规定》（2017年9月4日交通运输部令2017年第27号公布，自2017年10月15日起施行）第十四条　由港口行政管理部门负责初步设计审批的危险货物港口建设项目，在初步设计审批中对安全设施设计进行审查。 前款规定之外的其他危险货物港口建设项目，由负责安全条件审查的港口行政管理部门进行安全设施设计审查。</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1、行政许可申请书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2、全部工程设计文件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3、经批准的可行性研究报告，或者经核准的项目申请书，或者备案证明；经批准的航道项目可行性研究报告或者经核准的项目申请报告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4、初步设计批复文件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5、咨询审查单位书面审查意见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 安全设施设计审查意见</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FF0000"/>
                <w:kern w:val="0"/>
                <w:sz w:val="18"/>
                <w:szCs w:val="18"/>
              </w:rPr>
            </w:pPr>
            <w:r>
              <w:rPr>
                <w:rFonts w:hint="eastAsia" w:ascii="宋体" w:hAnsi="宋体" w:eastAsia="宋体" w:cs="宋体"/>
                <w:color w:val="000000" w:themeColor="text1"/>
                <w:kern w:val="0"/>
                <w:sz w:val="18"/>
                <w:szCs w:val="18"/>
              </w:rPr>
              <w:t>柳州市柳江区行政审批局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初步设计的批复文件</w:t>
            </w: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（水运工程设计（含设计变更）审批）</w:t>
            </w: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6" w:hRule="atLeast"/>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水利基建项目初步设计文件审批</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《国务院对确需保留的行政审批项目设定行政许可的决定》（2004年6月29日国务院令第412号，2016年8月25日予以修改）附件第172项：水利基建项目初步设计文件审批。实施机关：县级以上人民政府水行政主管部门。</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1、水利基建项目初步设计文件审批申请文件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2、初步设计报告（报批稿）</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3、技术审查意见及复核意见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4、工程可行性研究报告审批（核准、备案）文件或已复核工程安全鉴定书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5、影响公共利益或第三人合法权益的协调意见书或承诺书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6、申请人的统一社会信用代码证</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柳州市柳江区行政审批局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ascii="宋体" w:hAnsi="宋体" w:eastAsia="宋体" w:cs="宋体"/>
                <w:color w:val="000000"/>
                <w:kern w:val="0"/>
                <w:sz w:val="18"/>
                <w:szCs w:val="18"/>
              </w:rPr>
              <w:t>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水利基建项目初步设计批复文件</w:t>
            </w: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jc w:val="center"/>
        </w:trPr>
        <w:tc>
          <w:tcPr>
            <w:tcW w:w="421" w:type="dxa"/>
            <w:vMerge w:val="restart"/>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r>
              <w:rPr>
                <w:rFonts w:hint="eastAsia" w:ascii="宋体" w:hAnsi="宋体" w:eastAsia="宋体" w:cs="宋体"/>
                <w:color w:val="000000"/>
                <w:spacing w:val="40"/>
                <w:kern w:val="0"/>
                <w:sz w:val="18"/>
                <w:szCs w:val="18"/>
              </w:rPr>
              <w:t>施工许可阶段</w:t>
            </w: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消防设计审查</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《中华人民共和国消防法》（1998年4月29日中华人民共和国主席令第4号公布，2008年10月28日中华人民共和国主席令第6号修订）第十一条 国务院公安部门规定的大型的人员密集场所和其他特殊建设工程，建设单位应当将消防设计文件报送公安机关消防机构审核。公安机关消防机构依法对审核的结果负责。 第十三条 按照国家工程建设消防技术标准需要进行消防设计的建设工程竣工，依照下列规定进行消防验收、备案： （一）本法第十一条规定的建设工程，建设单位应当向公安机关消防机构申请消防验收； （二）其他建设工程，建设单位在验收后应当报公安机关消防机构备案，公安机关消防机构应当进行抽查。 依法应当进行消防验收的建设工程，未经消防验收或者消防验收不合格的，禁止投入使用；其他建设工程经依法抽查不合格的，应当停止使用。 </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1、建设工程消防设计审核申报表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2、（现场核验）建设单位的工商营业执照等合法身份证明文件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3、（现场核验）设计单位、施工图审查机构合法身份证明及资质证明文件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4、消防设计文件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5、建设工程规划许可证明文件（新建设项目提供）</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6、施工图审查合格文件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7、非法定代表人前来办理时相关委托证明文件</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柳州市柳江区行政审批局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ascii="宋体" w:hAnsi="宋体" w:eastAsia="宋体" w:cs="宋体"/>
                <w:color w:val="000000"/>
                <w:kern w:val="0"/>
                <w:sz w:val="18"/>
                <w:szCs w:val="18"/>
              </w:rPr>
              <w:t>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建设工程消防设计审核意见书</w:t>
            </w: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施工许可证核发（质量监督手续）</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1、建筑工程施工许可证核发： 《中华人民共和国建筑法》第七条第一款，建筑工程开工前，建设单位应当按照国家有关规定向工程所在地县级以上建设行政主管部门申请领取施工许可证。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2、消防设计审核、备案： ①《中华人民共和国消防法》、《广西壮族自治区实施&lt;中华人民共和国消防法&gt;办法》、《南宁市消防条例》；②《建设工程消防监督管理规定》等消防法规； 3、国家工程建设消防技术标准。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房屋建筑工程施工图审查情况备案：2013年4月27日建设部令第13号公布，自2013年8月1日起实施的《房屋建筑和市政基础设施工程施工图设计文件审查管理办法》第十三条第一款第（一）项规定，审查机构应当在出具审查合格书后5个工作日内将审查情况报工程所在地县级以上地方人民政府建设行政主管部门备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4、应建防空地下室的新建民用建筑项目防空地下室防护设计审查：①《中华人民共和国人民防空法》第二十二条 ；②国家国防动员委员会、国家发展计划委员会、建设部、财政部《关于颁发〈人民防空工程建设管理规定〉的通知》[2003]国人防办字第18号第四十五条、第四十六条、第四十七条；③广西壮族自治区国防动员委员会、发展计划委员会、建设厅、财政厅联合转发国家国防动员委员会、国家发展计划委员会、建设部、财政部《关于颁发〈人民防空工程建设管理规定〉的通知》（桂人防办[2004]17号）第四条；④《广西壮族自治区人民防空工程建设与维护管理办法》（政府令第86号）第十二条 ⑤《南宁市人防门防空管理办法》第三章。 </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1、《施工许可阶段并联审批申请表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项目用地批准手续（需提供其中一项：①《国有土地使用证》或凭《国有建设用地土地出让合同》缺项办理；②《国有土地划拨决定书》或市政项目凭用地预审批复缺项办理；③危旧房改住房项目若未能提供《国有土地使用证》，可提供原用地《土地使用权证》和房改部门批复代替）。</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3、建设工程规划许可证（正本、附件及附图）；基坑支护工程只需要提供经自然资源部门审定的项目规划总平面图、建筑单体方案批复文件和建筑定位图等证明基坑位置的材料。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施工单位中标通知书或发承包审核通知书或施工合同；如果施工单位是通过政府采购程序确定的，除提供采购的中标通知书外，还需要提供采购合同中明确由中标单位施工的合同条款页和施工单位施工资质证书的复印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施工图设计文件审查合格证明文件（包含：①消防审查合格书；②施工图设计文件审查合格书；③如项目规划有人防工程的还需要提供人防工程施工图设计文件审查报告，项目未规划有人防工程的申请防空地下室易地建设；④如项目属于超限高层建筑，还需要提供超限高层建筑抗震设防专项审查意见）由建设单位提供加盖本单位公章的施工图备案表。此项材料中②、④两项以市住建局BIM系统查询结果为准。</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柳州市柳江区行政审批局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ascii="宋体" w:hAnsi="宋体" w:eastAsia="宋体" w:cs="宋体"/>
                <w:color w:val="000000"/>
                <w:kern w:val="0"/>
                <w:sz w:val="18"/>
                <w:szCs w:val="18"/>
              </w:rPr>
              <w:t>5</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建筑工程施工许可证、建设工程消防设计审核或备案意见书、施工图审查备案表、防空地下室施工图设计文件审查备案登记表</w:t>
            </w: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（建筑工程施工许可证核发并联审批（含消防、施工图审查备案、人防审查备案））</w:t>
            </w: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公路建设项目施工许可</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1.《中华人民共和国公路法》（1997年7月3日主席令第86号，2009年8月27日予以修改）第二十五条 公路建设项目的施工，须按国务院交通主管部门的规定报请县级以上地方人民政府交通主管部门批准。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2.《公路建设市场管理办法》（交通运输部令2011年第11号）第二十四条 公路建设项目依法实行施工许可制度。国家和国务院交通运输主管部门确定的重点公路建设项目的施工许可由国务院交通运输主管部门实施，其他公路建设项目的施工许可按照项目管理权限由县级以上地方人民政府交通运输主管部门实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 3.《国务院关于取消和调整一批行政审批项目等事项的决定》（国发〔2014〕50号），国家重点公路工程施工许可下放至省级交通运输主管部门。</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1、公路建设项目施工许可申请书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2、施工图设计文件批复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3、交通主管部门对建设资金落实情况的审计意见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4、国土资源部门关于征地的批复或者控制性用地的批复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5、建设项目各合同段的施工单位和监理单位名单、合同价情况</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6、应当报备的资格预审报告、招标文件和评标报告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7、 已办理的质量监督手续材料复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8、保证工程质量和安全的申请材料</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柳州市柳江区行政审批局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公路建设项目施工许可申请书 </w:t>
            </w:r>
          </w:p>
        </w:tc>
        <w:tc>
          <w:tcPr>
            <w:tcW w:w="567" w:type="dxa"/>
            <w:shd w:val="clear" w:color="auto" w:fill="auto"/>
            <w:noWrap/>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施工图设计文件审查情况备案（联合图审，含消防、技防、人防</w:t>
            </w:r>
            <w:r>
              <w:rPr>
                <w:rFonts w:hint="eastAsia" w:ascii="宋体" w:hAnsi="宋体" w:eastAsia="宋体" w:cs="宋体"/>
                <w:color w:val="000000"/>
                <w:kern w:val="0"/>
                <w:sz w:val="18"/>
                <w:szCs w:val="18"/>
              </w:rPr>
              <w:t>、气象</w:t>
            </w:r>
            <w:r>
              <w:rPr>
                <w:rFonts w:ascii="宋体" w:hAnsi="宋体" w:eastAsia="宋体" w:cs="宋体"/>
                <w:color w:val="000000"/>
                <w:kern w:val="0"/>
                <w:sz w:val="18"/>
                <w:szCs w:val="18"/>
              </w:rPr>
              <w:t>）</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《房屋建筑和市政基础设施工程施工图设计文件审查管理办法》（中华人民共和国住房和城乡建设部令第13号）第十三条 审查机构应当在出具审查合格书后5个工作日内，将审查情况报工程所在地县级以上地方人民政府住房城乡建设主管部门备案。</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1、建设工程报建表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2、项目核准、登记备案证等材料或初步设计批复文</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3、规划部门审批的总平图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4、工程抗震部分要求审定的行政许可决定书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勘察单位、设计单位资质证书副本，若属外地入桂企业，还应附自治区住建厅出具的《外省入桂工程勘察设计企业信息登记书》，其中所附的参加项目勘察设计工作技术人员名单须与勘察设计文件中的名单相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6、超限高层建筑抗震设防专项审查意见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7、建设单位与审查机构签订的审查协议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8、民用建筑设计方案节能意见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9、绿色建筑施工图审查集成表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10、勘察全套文件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11、 结构计算书、室外排水计算书，盖单位出图专业章、审查专用章及相对应注册师章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12、施工图设计文本</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13、审查报告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14、申请人主体资格材料（企业、单位提供营业执照或组织机构代码证等复印件，自然人提供身份证复印件）、经办人身份证复印件及授权委托书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15、建筑节能审查备案表</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柳州市柳江区住房和城乡建设局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ascii="宋体" w:hAnsi="宋体" w:eastAsia="宋体" w:cs="宋体"/>
                <w:color w:val="000000"/>
                <w:kern w:val="0"/>
                <w:sz w:val="18"/>
                <w:szCs w:val="18"/>
              </w:rPr>
              <w:t>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房屋建筑和市政基础设施施工图设计文件审查备案表 </w:t>
            </w: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（施工图设计文件审查情况备案）</w:t>
            </w: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市政设施建设类审批</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【法规】《城市道路管理条例》（1996年国务院第198号令）</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第三条　本条例适用于城市道路规划、建设、养护、维修和路政管理。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第三十条 未经市政工程主管部门和公安交通管理部门批准，任何单位和个人不得占用或者挖掘城市道路。</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第三十三条 因工程建设需要挖掘城市道路的，应当持城市规划部门批准签发的文件和有关设计文件，到市政工程行政主管部门和公安交通管理部门办理审批手续，方可按照规定挖掘。</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【法规】《城市道路管理条例》（国务院令第198号）</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第三十一条　因特殊情况需要临时占用城市道路的，须经市政工程行政主管部门和公安交通管理部门批准，方可按照规定占用。该条例同样适用于此类行政许可。</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kern w:val="0"/>
                <w:sz w:val="18"/>
                <w:szCs w:val="18"/>
              </w:rPr>
            </w:pPr>
            <w:r>
              <w:rPr>
                <w:rFonts w:hint="eastAsia" w:ascii="宋体" w:hAnsi="宋体" w:eastAsia="宋体" w:cs="宋体"/>
                <w:kern w:val="0"/>
                <w:sz w:val="18"/>
                <w:szCs w:val="18"/>
              </w:rPr>
              <w:t>1.《柳州市临时挖掘道路申请表》、《柳州市临时占用城市道路申请表》                                                     2.城市规划行政主管部门批准文件和有关设计文件（建设工程规划许可证（含审批单、附件）、施工设计图、施工图、道口开设方案征求意见表）                                           3.申请人身份证明（申请单位为企业法人或组织的，提供组织机构代码证（营业执照）和法人代表身份证，同时提供相关委托经办人办理的该事项的委托书、身份证）                          4.施工单位营业执照、施工企业资质证书</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柳州市柳江区行政审批局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ascii="宋体" w:hAnsi="宋体" w:eastAsia="宋体" w:cs="宋体"/>
                <w:color w:val="000000"/>
                <w:kern w:val="0"/>
                <w:sz w:val="18"/>
                <w:szCs w:val="18"/>
              </w:rPr>
              <w:t>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ascii="宋体" w:hAnsi="宋体" w:eastAsia="宋体" w:cs="宋体"/>
                <w:color w:val="000000"/>
                <w:kern w:val="0"/>
                <w:sz w:val="18"/>
                <w:szCs w:val="18"/>
              </w:rPr>
              <w:t>0</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567" w:type="dxa"/>
            <w:shd w:val="clear" w:color="auto" w:fill="auto"/>
            <w:noWrap/>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市政设施建设类审批（含人防）</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《中华人民共和国防空法》第十四条</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FF0000"/>
                <w:kern w:val="0"/>
                <w:sz w:val="18"/>
                <w:szCs w:val="18"/>
              </w:rPr>
            </w:pP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柳州市柳江区行政审批局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ascii="宋体" w:hAnsi="宋体" w:eastAsia="宋体" w:cs="宋体"/>
                <w:color w:val="000000"/>
                <w:kern w:val="0"/>
                <w:sz w:val="18"/>
                <w:szCs w:val="18"/>
              </w:rPr>
              <w:t>0</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工程建设涉及城市绿地、树木审批</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根据1992年6月22日第100号国务院令发布，2017年3月1日国务院令（第676号）修改，1992年8月1日起施行的《城市绿化条例》第二十条：任何单位和个人都不得损坏城市树木花草和绿化设施。砍伐城市树木，必须经城市人民政府城市绿化行政主管部门批准，并按照国家有关规定补植树木或者采取其他补救措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 根据2016年3月31日广西壮族自治区第十二届人民代表大会常务委员会第二十二次会议关于批准《南宁市人民代表大会常务委员会关于修改&lt;南宁市市政设施管理条例&gt;等八件地方性法规的决定》的决定修正的《南宁市城市绿化条例》第二十四条：严格限制砍伐树木。下列树木，经市、县（区）园林绿化行政主管部门批准可以砍伐：1.已经死亡的；2.危及人身安全的；3.发生检疫性病虫害或者其他严重病虫害的；4.成片林间伐或者更新改造需要且无移植价值的；5.因建设需要无法保留且无移植价值的。 第二十五条：按本条例规定经批准移植、砍伐公共绿地的树木的，申请人应当向市、县（区）园林绿化行政管理部门缴纳绿化补偿费，由公共绿地管理单位统一组织施工，施工费用由申请人支付。除树木已经自然死亡外，申请人经批准砍伐属自己所有的树木的，应当按批准机关要求补植相应数量的树木。</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1、砍伐城市树木审批申请表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2、法人委托书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3、建设项目立项批文</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4、建设工程规划许可证（或建设用地规划许可证）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5、规划部门审定的总平面图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6、政府会议纪要文件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7、广告牌建设开工单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8、现场照片</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柳州市柳江区行政审批局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ascii="宋体" w:hAnsi="宋体" w:eastAsia="宋体" w:cs="宋体"/>
                <w:color w:val="000000"/>
                <w:kern w:val="0"/>
                <w:sz w:val="18"/>
                <w:szCs w:val="18"/>
              </w:rPr>
              <w:t>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砍伐城市树木占用绿化用地许可证</w:t>
            </w: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收费</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（砍伐城市树木审批）</w:t>
            </w: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因工程建设需要拆除、改动、迁移供水、排水与污水处理设施审核</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《城镇排水与污水处理条例》 （2013年10月国务院令第641号，2013年9月18日国务院第24次常务会议通过，2013年10月2日公布，自2014年1月1日起施行）第四十三条，新建、改建、扩建建设工程，不得影响城镇排水与污水处理设施安全。建设工程开工前，建设单位应当查明工程建设范围内地下城镇排水与污水处理设施的相关情况。城镇排水主管部门及其他相关部门和单位应当及时提供相关资料。建设工程施工范围内有排水管网等城镇排水与污水处理设施的，建设单位应当与施工单位、设施维护运营单位共同制定设施保护方案，并采取相应的安全保护措施。因工程建设需要拆除、改动城镇排水与污水处理设施的，建设单位应当制定拆除、改动方案，报城镇排水主管部门审核，并承担重建、改建和采取临时措施的费用。</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1、拆除、改动城镇排水与污水处理设施申请表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2、排水口、污水排放口拆除、改动前位置和口径的图纸及材料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3、排水口、污水排放口拆除、改动后位置和口径的图纸及材料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4、与交通部门或建设部门签订的安全施工承诺书</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kern w:val="0"/>
                <w:sz w:val="18"/>
                <w:szCs w:val="18"/>
              </w:rPr>
              <w:t>柳州市柳江区行政审批局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ascii="宋体" w:hAnsi="宋体" w:eastAsia="宋体" w:cs="宋体"/>
                <w:color w:val="000000"/>
                <w:kern w:val="0"/>
                <w:sz w:val="18"/>
                <w:szCs w:val="18"/>
              </w:rPr>
              <w:t>0</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拆除、改动城镇排水与污水处理设施许可证</w:t>
            </w: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（拆除、改动城镇排水与污水处理设施方案审核）</w:t>
            </w: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公路工程建设项目设计文件审批</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《建设工程勘察设计管理条例》（2000年9月25日国务院令293号，2015年6月12日予以修改）第三十三条</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ascii="宋体" w:hAnsi="宋体" w:eastAsia="宋体" w:cs="宋体"/>
                <w:color w:val="000000"/>
                <w:kern w:val="0"/>
                <w:sz w:val="18"/>
                <w:szCs w:val="18"/>
              </w:rPr>
              <w:t>1.请示文件</w:t>
            </w:r>
            <w:r>
              <w:rPr>
                <w:rFonts w:ascii="宋体" w:hAnsi="宋体" w:eastAsia="宋体" w:cs="宋体"/>
                <w:color w:val="000000"/>
                <w:kern w:val="0"/>
                <w:sz w:val="18"/>
                <w:szCs w:val="18"/>
              </w:rPr>
              <w:br w:type="textWrapping"/>
            </w:r>
            <w:r>
              <w:rPr>
                <w:rFonts w:ascii="宋体" w:hAnsi="宋体" w:eastAsia="宋体" w:cs="宋体"/>
                <w:color w:val="000000"/>
                <w:kern w:val="0"/>
                <w:sz w:val="18"/>
                <w:szCs w:val="18"/>
              </w:rPr>
              <w:t>2.施工图设计全套文件</w:t>
            </w:r>
            <w:r>
              <w:rPr>
                <w:rFonts w:ascii="宋体" w:hAnsi="宋体" w:eastAsia="宋体" w:cs="宋体"/>
                <w:color w:val="000000"/>
                <w:kern w:val="0"/>
                <w:sz w:val="18"/>
                <w:szCs w:val="18"/>
              </w:rPr>
              <w:br w:type="textWrapping"/>
            </w:r>
            <w:r>
              <w:rPr>
                <w:rFonts w:ascii="宋体" w:hAnsi="宋体" w:eastAsia="宋体" w:cs="宋体"/>
                <w:color w:val="000000"/>
                <w:kern w:val="0"/>
                <w:sz w:val="18"/>
                <w:szCs w:val="18"/>
              </w:rPr>
              <w:t>3.国土、环保、水利部门对土地、环保、水利等的批复文件，涉及地震、建设、文</w:t>
            </w:r>
            <w:r>
              <w:rPr>
                <w:rFonts w:hint="eastAsia" w:ascii="宋体" w:hAnsi="宋体" w:eastAsia="宋体" w:cs="宋体"/>
                <w:color w:val="000000"/>
                <w:kern w:val="0"/>
                <w:sz w:val="18"/>
                <w:szCs w:val="18"/>
              </w:rPr>
              <w:t>化、铁路情况时应附相关批复文件复印件</w:t>
            </w:r>
            <w:r>
              <w:rPr>
                <w:rFonts w:ascii="宋体" w:hAnsi="宋体" w:eastAsia="宋体" w:cs="宋体"/>
                <w:color w:val="000000"/>
                <w:kern w:val="0"/>
                <w:sz w:val="18"/>
                <w:szCs w:val="18"/>
              </w:rPr>
              <w:br w:type="textWrapping"/>
            </w:r>
            <w:r>
              <w:rPr>
                <w:rFonts w:ascii="宋体" w:hAnsi="宋体" w:eastAsia="宋体" w:cs="宋体"/>
                <w:color w:val="000000"/>
                <w:kern w:val="0"/>
                <w:sz w:val="18"/>
                <w:szCs w:val="18"/>
              </w:rPr>
              <w:t>4.工程可行性研究批复或建设项目核准文件复印件。</w:t>
            </w:r>
          </w:p>
          <w:p>
            <w:pPr>
              <w:widowControl/>
              <w:snapToGrid w:val="0"/>
              <w:jc w:val="left"/>
              <w:textAlignment w:val="center"/>
              <w:rPr>
                <w:rFonts w:ascii="宋体" w:hAnsi="宋体" w:eastAsia="宋体" w:cs="宋体"/>
                <w:color w:val="000000"/>
                <w:kern w:val="0"/>
                <w:sz w:val="18"/>
                <w:szCs w:val="18"/>
              </w:rPr>
            </w:pP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FF0000"/>
                <w:kern w:val="0"/>
                <w:sz w:val="18"/>
                <w:szCs w:val="18"/>
              </w:rPr>
            </w:pPr>
            <w:r>
              <w:rPr>
                <w:rFonts w:hint="eastAsia" w:ascii="宋体" w:hAnsi="宋体" w:eastAsia="宋体" w:cs="宋体"/>
                <w:color w:val="000000" w:themeColor="text1"/>
                <w:kern w:val="0"/>
                <w:sz w:val="18"/>
                <w:szCs w:val="18"/>
              </w:rPr>
              <w:t>柳州市柳江区行政审批局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工程设计文件的批复</w:t>
            </w: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航道及其附属设施建设项目开工备案</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建筑法》（中华人民共和国主席令第46号，《全国人民代表大会常务委员会关于修改〈中华人民共和国建筑法〉的决定》已由中华人民共和国第十一届全国人民代表大会常务委员会第20次会议于2011年4月22日通过，现予公布，自2011年7月1日起施行）第七条：建筑工程开工前，建设单位应当按照国家有关规定向工程所在地县级以上人民政府建设行政主管部门申请领取施工许可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2.《航道建设管理规定》(2007年4月11日交通部令2007年第3号公布，自2007年5月1日起施行)第七条 航道建设应当符合航道规划，并考虑行洪安全、水上交通安全和环境保护的要求。 航道建设项目单位应当依法选择勘察、设计、施工、咨询、监理单位，依法采购与工程建设有关的重要设备和材料，办理开工备案，组织项目实施，组织项目交工验收，准备项目竣工验收工作。 第九条　政府投资的航道建设项目，按照以下建设程序执行（六）根据国家有关规定，进行施工前准备工作，并向交通主管部门办理开工备案。 第十条　企业投资的航道建设项目，按照以下建设程序执行：（七）根据国家有关规定，进行施工前准备工作，并向交通主管部门办理开工备案。</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1、开工备案的请示文件及备案表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2、施工图设计批复文件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3、控制性用地批复文件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4、建设单位与施工单位和监理单位签订的合同文件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5、质量监督手续材料</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6、港口岸线使用批准文件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7、落实建设资金等相关证明材料</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柳州市柳江区交通运输局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是否同意备案的开工备案表</w:t>
            </w:r>
          </w:p>
        </w:tc>
        <w:tc>
          <w:tcPr>
            <w:tcW w:w="567" w:type="dxa"/>
            <w:shd w:val="clear" w:color="auto" w:fill="auto"/>
            <w:noWrap/>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4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水利工程开工报告备案</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中华人民共和国建筑法》（中华人民共和国主席令第46号，《全国人民代表大会常务委员会关于修改〈中华人民共和国建筑法〉的决定》已由中华人民共和国第十一届全国人民代表大会常务委员会第20次会议于2011年4月22日通过，现予公布，自2011年7月1日起施行）第七条：建筑工程开工前，建设单位应当按照国家有关规定向工程所在地县级以上人民政府建设行政主管部门申请领取施工许可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2.《水利部关于水利工程开工审批取消后加强后续监管工作的通知》(水建管〔2013〕331号) 二、水利工程开工条件：项目法人已设立，初步设计已批准，施工详图设计满足主体工程施工需要，建设资金已落实，主体工程施工、监理单位已按规定选定并依法签订了合同，工程阶段验收、竣工验收主持单位已明确，质量安全监督手续已办理，主要设备和材料已落实来源，施工准备和征地移民工作满足主体工程开工需要等。</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3.《水利厅关于加强水利工程开工管理的通知》(桂水基〔2015〕22号) 二、水利工程开工条件：项目法人已设立，初步设计已批准，施工图设计满足主体工程施工需要，建设资金已落实，主体工程施工、监理单位已按规定选定并依法签订了合同，工程竣工验收主持单位已明确，质量安全监督手续已办理，主要设备和材料已落实来源，施工准备和征地移民工作满足主体工程开工需要，可研审批前置要件已全部完成审批等。</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1、×××工程开工备案表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2、组建项目法人的复印件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3、初设批复文件复印件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4、设计合同复印件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5、投资下达文件复印件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6、监理合同复印件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7、施工合同复印件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8、广西水利水电工程质量与安全监督书复印件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9、施工准备和征地移民工作已完成的情况，明确是否满足主体工程开工需要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10、主要设备和材料落实情况</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11、可研审批前置要件的审批完成情况</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12、竣工验收主持单位名称</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柳州市柳江区水利局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ascii="宋体" w:hAnsi="宋体" w:eastAsia="宋体" w:cs="宋体"/>
                <w:color w:val="000000"/>
                <w:kern w:val="0"/>
                <w:sz w:val="18"/>
                <w:szCs w:val="18"/>
              </w:rPr>
              <w:t>5</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ascii="宋体" w:hAnsi="宋体" w:eastAsia="宋体" w:cs="宋体"/>
                <w:color w:val="000000"/>
                <w:kern w:val="0"/>
                <w:sz w:val="18"/>
                <w:szCs w:val="18"/>
              </w:rPr>
              <w:t>0</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接受备案材料回执</w:t>
            </w:r>
          </w:p>
        </w:tc>
        <w:tc>
          <w:tcPr>
            <w:tcW w:w="567" w:type="dxa"/>
            <w:shd w:val="clear" w:color="auto" w:fill="auto"/>
            <w:noWrap/>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restart"/>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spacing w:val="20"/>
                <w:kern w:val="0"/>
                <w:sz w:val="18"/>
                <w:szCs w:val="18"/>
              </w:rPr>
            </w:pPr>
            <w:r>
              <w:rPr>
                <w:rFonts w:hint="eastAsia" w:ascii="宋体" w:hAnsi="宋体" w:eastAsia="宋体" w:cs="宋体"/>
                <w:color w:val="000000"/>
                <w:spacing w:val="20"/>
                <w:kern w:val="0"/>
                <w:sz w:val="18"/>
                <w:szCs w:val="18"/>
              </w:rPr>
              <w:t>竣工验收阶段</w:t>
            </w: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联合验收（规划、土地、消防、气象、人防、档案等）</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1、《城市建设档案管理规定》第八条 “列入城建档案馆档案接收范围的工程，城建档案管理机构按照建设工程竣工联合验收的规定对工程档案进行验收”。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2、《国务院办公厅关于全面开展工程建设项目审批制度改革的实施意见》（国办发〔2019〕11号） 二、（六）竣工验收阶段主要包括规划、土地、消防、人防、档案等验收及竣工验收备案等。</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3、《中华人民共和国城乡规划法》（2007年10月28日主席令第七十四号，2015年4月24日予以修改）第四十五条：县级以上地方人民政府城乡规划主管部门按照国务院规定对建设工程是否符合规划条件予以核实。</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4、《广西壮族自治区实施&lt;中华人民共和国城乡规划法&gt;办法》（2010年3月31日讨论通过，自2010年6月1日起施行，2016年11月30日予以修正）第四十六条 城乡规划主管部门或者自治区人民政府确定的镇人民政府应当对竣工后的建设工程是否符合规划条件予以核实。......未取得建设工程规划核实证明的，建设单位或者个人不得组织竣工验收，住房和城乡建设行政主管部门和其他有关部门不得办理竣工验收备案；不动产登记机构不得办理不动产权属登记。</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5、《建设工程质量管理条例》第四十九条第一款</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6、《房屋建筑和市政基础设施工程竣工验收备案管理办法》（建设部令第78号、住房城乡建设部令第2号）第四条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7、《人民防空工程建设管理规定》（国人防办字〔2003〕第18号）第三十八条规定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8、《广西壮族自治区实施〈中华人民共和国人民防空法〉办法》（广西壮族自治区人大常委会公告十一届第41号，2012年1月1日起施行）第二十五条规定 </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1、工程竣工验收备案表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2、工程竣工验收报告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3、工程施工许可证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4、施工图设计文件审查意见（含施工图报审单及建筑面积审定单或施工图审查批准书或施工图审查备案表）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5、公安消防认可文件或使用文件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6、环保验收或检测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7、人防审批意见或缴纳人防易地建设费意见书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8、建设工程规划许可证及建设工程竣工规划条件核实证明</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9、建设工程质量竣工意见书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10、市政基础设施工程质量检测和功能试验资料（排水入网许可证）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11、施工单位签署的工程质量保修书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12、法规、规章规定的其他有关文件（包含立项文、定点文、选址文、规划用地批文等）</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13、住宅工程的《住宅质量保证书》、《住宅使用说明书》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14、建设工程款及民工工资支付证明</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柳州市柳江区住房和城乡建设局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ascii="宋体" w:hAnsi="宋体" w:eastAsia="宋体" w:cs="宋体"/>
                <w:color w:val="000000"/>
                <w:kern w:val="0"/>
                <w:sz w:val="18"/>
                <w:szCs w:val="18"/>
              </w:rPr>
              <w:t>1</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ascii="宋体" w:hAnsi="宋体" w:eastAsia="宋体" w:cs="宋体"/>
                <w:color w:val="000000"/>
                <w:kern w:val="0"/>
                <w:sz w:val="18"/>
                <w:szCs w:val="18"/>
              </w:rPr>
              <w:t>1</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房屋建筑工程和市政基础设施工程竣工验收备案表</w:t>
            </w:r>
          </w:p>
        </w:tc>
        <w:tc>
          <w:tcPr>
            <w:tcW w:w="567" w:type="dxa"/>
            <w:shd w:val="clear" w:color="auto" w:fill="auto"/>
            <w:noWrap/>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（建设工程竣工验收备案）</w:t>
            </w: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水利工程建设项目竣工验收</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（一）《建设工程质量管理条例》（中华人民共和国国务院令第279号，发布日期：2000年1月30日） 第十六条：建设单位收到建设工程竣工报告后，应当组织设计、施工、工程监理等有关单位进行竣工验收。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（二）《水利工程建设项目验收管理规定》（水利部令第30号）（2006年发布，2014年、2016年、2017年修改）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第二条  本规定适用于由中央或者地方财政全部投资或者部分投资建设的大中型水利工程建设项目（含1、2、3级堤防工程）的验收活动。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第四条  水利工程建设项目具备验收条件时，应当及时组织验收。未经验收或者验收不合格的，不得交付使用或者进行后续工程施工。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第十条 县级以上地方人民政府水行政主管部门按照规定权限负责本行政区域内水利工程建设项目验收的监督工作。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第二十条 地方负责初步设计审批的项目，竣工验收主持单位为省级人民政府水行政主管部门（或者其委托的单位）。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第三十条  工程具备竣工验收条件的，项目法人应当提出竣工验收申请，经法人验收监督管理机关审查后报竣工验收主持单位。竣工验收主持单位应当自收到竣工验收申请之日起20个工作日内决定是否同意进行竣工验收。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（三）《水利水电工程验收规程》（SL233-2008）</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8.1.7竣工验收应具备以下条件：</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1.工程已按批准设计全部完成；</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2.工程重大设计变更已经有审批权的单位批准；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3.各单位工程能正常运行；</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4.历次验收所发现的问题已基本处理完毕；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5.各专项验收已通过；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6.工程投资已全部到位；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7.竣工财务决算已通过竣工审计，审计意见中提出的问题已整改并提交了整改报告；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8.运行管理单位已明确，管理养护经费已基本落实；</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9.质量和安全监督工作报告已提交，工程质量达到合格标准；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10.竣工验收资料已准备就绪。</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1、关于对××项目进行竣工验收的申请[××水利局（××项目法人）向法人验收监督管理机关（市水利局）提出]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2、××市水利局关于对××市××县××工程进行竣工验收的请示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3、工程建设管理工作报告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4、工程施工管理工作报告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5、工程设计工作报告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6、工程建设监理工作报告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7、运行管理工作报告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8、工程质量安全监督工作报告</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柳州市柳江区水利局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r>
              <w:rPr>
                <w:rFonts w:ascii="宋体" w:hAnsi="宋体" w:eastAsia="宋体" w:cs="宋体"/>
                <w:color w:val="000000"/>
                <w:kern w:val="0"/>
                <w:sz w:val="18"/>
                <w:szCs w:val="18"/>
              </w:rPr>
              <w:t>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关于印发XX市XX工程XX验收鉴定书的通知 </w:t>
            </w: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1" w:type="dxa"/>
            <w:vMerge w:val="continue"/>
            <w:shd w:val="clear" w:color="auto" w:fill="auto"/>
            <w:noWrap/>
            <w:tcMar>
              <w:top w:w="15" w:type="dxa"/>
              <w:left w:w="15" w:type="dxa"/>
              <w:right w:w="15" w:type="dxa"/>
            </w:tcMar>
            <w:textDirection w:val="tbRlV"/>
            <w:vAlign w:val="center"/>
          </w:tcPr>
          <w:p>
            <w:pPr>
              <w:widowControl/>
              <w:snapToGrid w:val="0"/>
              <w:jc w:val="center"/>
              <w:textAlignment w:val="center"/>
              <w:rPr>
                <w:rFonts w:ascii="宋体" w:hAnsi="宋体" w:eastAsia="宋体" w:cs="宋体"/>
                <w:color w:val="000000"/>
                <w:kern w:val="0"/>
                <w:sz w:val="18"/>
                <w:szCs w:val="18"/>
              </w:rPr>
            </w:pPr>
          </w:p>
        </w:tc>
        <w:tc>
          <w:tcPr>
            <w:tcW w:w="283" w:type="dxa"/>
            <w:shd w:val="clear" w:color="auto" w:fill="auto"/>
            <w:noWrap/>
            <w:tcMar>
              <w:top w:w="15" w:type="dxa"/>
              <w:left w:w="15" w:type="dxa"/>
              <w:right w:w="15" w:type="dxa"/>
            </w:tcMar>
            <w:vAlign w:val="center"/>
          </w:tcPr>
          <w:p>
            <w:pPr>
              <w:pStyle w:val="13"/>
              <w:widowControl/>
              <w:adjustRightInd w:val="0"/>
              <w:snapToGrid w:val="0"/>
              <w:ind w:right="-525" w:rightChars="-250"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w:t>
            </w:r>
          </w:p>
        </w:tc>
        <w:tc>
          <w:tcPr>
            <w:tcW w:w="805"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燃气设施建设工程竣工验收备案</w:t>
            </w:r>
          </w:p>
        </w:tc>
        <w:tc>
          <w:tcPr>
            <w:tcW w:w="444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1.《城镇燃气管理条例》（国务院第666号）第十一条 进行新区建设、旧区改造，应当按照城乡规划和燃气发展规划配套建设燃气设施或者预留燃气设施建设用地。 对燃气发展规划范围内的燃气设施建设工程，城乡规划主管部门在依法核发选址意见书时，应当就燃气设施建设是否符合燃气发展规划征求燃气管理部门的意见；不需要核发选址意见书的，城乡规划主管部门在依法核发建设用地规划许可证或者乡村建设规划许可证时，应当就燃气设施建设是否符合燃气发展规划征求燃气管理部门的意见。 燃气设施建设工程竣工后，建设单位应当依法组织竣工验收，并自竣工验收合格之日起15日内，将竣工验收情况报燃气管理部门备案。</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2.《广西壮族自治区燃气管理条例》(2006年9月29日广西壮族自治区第十届人民代表大会常务委员会第二十二次会议通过) （2006年9月29日广西壮族自治区第十届人民代表大会常务委员会第二十二次会议通过）第九条　燃气工程竣工后，建设单位应当依法组织竣工验收。未经验收或者经验收不合格的，不得交付使用。 燃气工程自竣工验收合格之日起15日内，建设单位应当向当地建设行政主管部门备案。</w:t>
            </w:r>
          </w:p>
        </w:tc>
        <w:tc>
          <w:tcPr>
            <w:tcW w:w="226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1、《燃气工程竣工验收合格后备案申请表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2、建设行政主管部门出具的建设工程竣工验收备案证明</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3、燃气设施安装、工艺流程专项安全评价报告</w:t>
            </w:r>
          </w:p>
        </w:tc>
        <w:tc>
          <w:tcPr>
            <w:tcW w:w="850"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柳州市柳江区住房和城乡建设局</w:t>
            </w:r>
          </w:p>
        </w:tc>
        <w:tc>
          <w:tcPr>
            <w:tcW w:w="851"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ascii="宋体" w:hAnsi="宋体" w:eastAsia="宋体" w:cs="宋体"/>
                <w:color w:val="000000"/>
                <w:kern w:val="0"/>
                <w:sz w:val="18"/>
                <w:szCs w:val="18"/>
              </w:rPr>
              <w:t>0</w:t>
            </w:r>
          </w:p>
        </w:tc>
        <w:tc>
          <w:tcPr>
            <w:tcW w:w="850"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ascii="宋体" w:hAnsi="宋体" w:eastAsia="宋体" w:cs="宋体"/>
                <w:color w:val="000000"/>
                <w:kern w:val="0"/>
                <w:sz w:val="18"/>
                <w:szCs w:val="18"/>
              </w:rPr>
              <w:t>0</w:t>
            </w:r>
          </w:p>
        </w:tc>
        <w:tc>
          <w:tcPr>
            <w:tcW w:w="993"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关于燃气工程竣工验收合格后的备案</w:t>
            </w:r>
          </w:p>
        </w:tc>
        <w:tc>
          <w:tcPr>
            <w:tcW w:w="567"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w:t>
            </w:r>
          </w:p>
        </w:tc>
        <w:tc>
          <w:tcPr>
            <w:tcW w:w="708" w:type="dxa"/>
            <w:shd w:val="clear" w:color="auto" w:fill="auto"/>
            <w:tcMar>
              <w:top w:w="15" w:type="dxa"/>
              <w:left w:w="15" w:type="dxa"/>
              <w:right w:w="15" w:type="dxa"/>
            </w:tcMar>
            <w:vAlign w:val="center"/>
          </w:tcPr>
          <w:p>
            <w:pPr>
              <w:widowControl/>
              <w:snapToGrid w:val="0"/>
              <w:jc w:val="left"/>
              <w:textAlignment w:val="center"/>
              <w:rPr>
                <w:rFonts w:ascii="宋体" w:hAnsi="宋体" w:eastAsia="宋体" w:cs="宋体"/>
                <w:color w:val="000000"/>
                <w:kern w:val="0"/>
                <w:sz w:val="18"/>
                <w:szCs w:val="18"/>
              </w:rPr>
            </w:pPr>
          </w:p>
        </w:tc>
        <w:tc>
          <w:tcPr>
            <w:tcW w:w="503" w:type="dxa"/>
            <w:shd w:val="clear" w:color="auto" w:fill="auto"/>
            <w:tcMar>
              <w:top w:w="15" w:type="dxa"/>
              <w:left w:w="15" w:type="dxa"/>
              <w:right w:w="15" w:type="dxa"/>
            </w:tcMar>
            <w:vAlign w:val="center"/>
          </w:tcPr>
          <w:p>
            <w:pPr>
              <w:widowControl/>
              <w:snapToGrid w:val="0"/>
              <w:jc w:val="center"/>
              <w:textAlignment w:val="center"/>
              <w:rPr>
                <w:rFonts w:ascii="宋体" w:hAnsi="宋体" w:eastAsia="宋体" w:cs="宋体"/>
                <w:color w:val="000000"/>
                <w:kern w:val="0"/>
                <w:sz w:val="18"/>
                <w:szCs w:val="18"/>
              </w:rPr>
            </w:pPr>
          </w:p>
        </w:tc>
      </w:tr>
    </w:tbl>
    <w:p>
      <w:pPr>
        <w:rPr>
          <w:rFonts w:ascii="仿宋_GB2312" w:hAnsi="仿宋_GB2312" w:eastAsia="仿宋_GB2312" w:cs="仿宋_GB2312"/>
          <w:sz w:val="32"/>
          <w:szCs w:val="32"/>
        </w:rPr>
      </w:pPr>
    </w:p>
    <w:sectPr>
      <w:footerReference r:id="rId3" w:type="default"/>
      <w:pgSz w:w="16838" w:h="11906" w:orient="landscape"/>
      <w:pgMar w:top="1531" w:right="1440" w:bottom="1701" w:left="2041" w:header="851" w:footer="992" w:gutter="0"/>
      <w:pgNumType w:fmt="numberInDash" w:start="1"/>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66BBA2-C8FF-4AA7-852B-C5B78A2E64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D0A96DF4-BFE6-4BC0-8E0D-01B628DA6AC2}"/>
  </w:font>
  <w:font w:name="方正仿宋_GBK">
    <w:panose1 w:val="02000000000000000000"/>
    <w:charset w:val="86"/>
    <w:family w:val="script"/>
    <w:pitch w:val="default"/>
    <w:sig w:usb0="A00002BF" w:usb1="38CF7CFA" w:usb2="00082016" w:usb3="00000000" w:csb0="00040001" w:csb1="00000000"/>
    <w:embedRegular r:id="rId3" w:fontKey="{ACEF867B-3358-4587-BD1F-B47ED53E74B3}"/>
  </w:font>
  <w:font w:name="仿宋_GB2312">
    <w:altName w:val="仿宋"/>
    <w:panose1 w:val="02010609030101010101"/>
    <w:charset w:val="86"/>
    <w:family w:val="modern"/>
    <w:pitch w:val="default"/>
    <w:sig w:usb0="00000000" w:usb1="00000000" w:usb2="00000010" w:usb3="00000000" w:csb0="00040000" w:csb1="00000000"/>
    <w:embedRegular r:id="rId4" w:fontKey="{D6E21475-C80F-4BEC-B605-EE35AA7BA9AE}"/>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81234"/>
      <w:docPartObj>
        <w:docPartGallery w:val="AutoText"/>
      </w:docPartObj>
    </w:sdtPr>
    <w:sdtContent>
      <w:p>
        <w:pPr>
          <w:pStyle w:val="3"/>
          <w:jc w:val="cente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12 -</w:t>
        </w:r>
        <w:r>
          <w:rPr>
            <w:rFonts w:asciiTheme="majorEastAsia" w:hAnsiTheme="majorEastAsia" w:eastAsiaTheme="majorEastAsia"/>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D4680"/>
    <w:multiLevelType w:val="multilevel"/>
    <w:tmpl w:val="1CAD4680"/>
    <w:lvl w:ilvl="0" w:tentative="0">
      <w:start w:val="1"/>
      <w:numFmt w:val="decimal"/>
      <w:lvlText w:val="%1"/>
      <w:lvlJc w:val="right"/>
      <w:pPr>
        <w:ind w:left="420" w:hanging="132"/>
      </w:pPr>
      <w:rPr>
        <w:rFonts w:hint="eastAsia"/>
        <w:snapToGrid/>
        <w:kern w:val="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JjMTQ3MjlhOTIzYzA2NWY1OTQ3ODRjNDEzZWExZGMifQ=="/>
  </w:docVars>
  <w:rsids>
    <w:rsidRoot w:val="0034371E"/>
    <w:rsid w:val="00000264"/>
    <w:rsid w:val="00012C30"/>
    <w:rsid w:val="00030A3B"/>
    <w:rsid w:val="000364BE"/>
    <w:rsid w:val="00043DCB"/>
    <w:rsid w:val="00047611"/>
    <w:rsid w:val="000507D8"/>
    <w:rsid w:val="00050B85"/>
    <w:rsid w:val="00060F2C"/>
    <w:rsid w:val="00063E5B"/>
    <w:rsid w:val="00071DC1"/>
    <w:rsid w:val="0007211F"/>
    <w:rsid w:val="00073BF8"/>
    <w:rsid w:val="000749C7"/>
    <w:rsid w:val="0007502A"/>
    <w:rsid w:val="0007517F"/>
    <w:rsid w:val="00077842"/>
    <w:rsid w:val="00085935"/>
    <w:rsid w:val="000A520E"/>
    <w:rsid w:val="000A7FB7"/>
    <w:rsid w:val="000B0259"/>
    <w:rsid w:val="000B1A7E"/>
    <w:rsid w:val="000B281F"/>
    <w:rsid w:val="000B4601"/>
    <w:rsid w:val="000B4641"/>
    <w:rsid w:val="000B5462"/>
    <w:rsid w:val="000C6A65"/>
    <w:rsid w:val="000E5815"/>
    <w:rsid w:val="000F0747"/>
    <w:rsid w:val="000F2066"/>
    <w:rsid w:val="000F374E"/>
    <w:rsid w:val="000F7709"/>
    <w:rsid w:val="00101B99"/>
    <w:rsid w:val="001023C5"/>
    <w:rsid w:val="00127EA3"/>
    <w:rsid w:val="00140712"/>
    <w:rsid w:val="001519DA"/>
    <w:rsid w:val="00154531"/>
    <w:rsid w:val="00162577"/>
    <w:rsid w:val="001643CF"/>
    <w:rsid w:val="001644DF"/>
    <w:rsid w:val="0016597B"/>
    <w:rsid w:val="001761B6"/>
    <w:rsid w:val="001830C8"/>
    <w:rsid w:val="00186264"/>
    <w:rsid w:val="00186C89"/>
    <w:rsid w:val="00193125"/>
    <w:rsid w:val="001932CF"/>
    <w:rsid w:val="001A3B04"/>
    <w:rsid w:val="001A73D6"/>
    <w:rsid w:val="001A7E8F"/>
    <w:rsid w:val="001B6F69"/>
    <w:rsid w:val="001E0205"/>
    <w:rsid w:val="001E1A42"/>
    <w:rsid w:val="001E45BB"/>
    <w:rsid w:val="001E7454"/>
    <w:rsid w:val="001F0E0E"/>
    <w:rsid w:val="001F4AFF"/>
    <w:rsid w:val="001F7468"/>
    <w:rsid w:val="002039EA"/>
    <w:rsid w:val="00205A18"/>
    <w:rsid w:val="002126CA"/>
    <w:rsid w:val="002138FB"/>
    <w:rsid w:val="00214C8F"/>
    <w:rsid w:val="00227B25"/>
    <w:rsid w:val="0023501F"/>
    <w:rsid w:val="002414D1"/>
    <w:rsid w:val="00243B76"/>
    <w:rsid w:val="002452BC"/>
    <w:rsid w:val="00246881"/>
    <w:rsid w:val="00260037"/>
    <w:rsid w:val="00263132"/>
    <w:rsid w:val="002632FF"/>
    <w:rsid w:val="002702BD"/>
    <w:rsid w:val="002746F2"/>
    <w:rsid w:val="00280F66"/>
    <w:rsid w:val="002853F0"/>
    <w:rsid w:val="00285623"/>
    <w:rsid w:val="0028781F"/>
    <w:rsid w:val="00287DDB"/>
    <w:rsid w:val="00292C39"/>
    <w:rsid w:val="00295B54"/>
    <w:rsid w:val="002971B2"/>
    <w:rsid w:val="002A066C"/>
    <w:rsid w:val="002A3352"/>
    <w:rsid w:val="002A741D"/>
    <w:rsid w:val="002B3515"/>
    <w:rsid w:val="002B7638"/>
    <w:rsid w:val="002C4EF5"/>
    <w:rsid w:val="002D01BF"/>
    <w:rsid w:val="002D359C"/>
    <w:rsid w:val="002D44CD"/>
    <w:rsid w:val="002E129C"/>
    <w:rsid w:val="002E53B0"/>
    <w:rsid w:val="00300214"/>
    <w:rsid w:val="00313FBF"/>
    <w:rsid w:val="00324C0E"/>
    <w:rsid w:val="00327148"/>
    <w:rsid w:val="0033650D"/>
    <w:rsid w:val="0034371E"/>
    <w:rsid w:val="0035575F"/>
    <w:rsid w:val="0036078E"/>
    <w:rsid w:val="00361D97"/>
    <w:rsid w:val="00367C70"/>
    <w:rsid w:val="00371E42"/>
    <w:rsid w:val="00377EF0"/>
    <w:rsid w:val="00384419"/>
    <w:rsid w:val="00393F49"/>
    <w:rsid w:val="003A41FE"/>
    <w:rsid w:val="003D3988"/>
    <w:rsid w:val="003D3999"/>
    <w:rsid w:val="003F1FD8"/>
    <w:rsid w:val="003F49E3"/>
    <w:rsid w:val="003F577C"/>
    <w:rsid w:val="00402131"/>
    <w:rsid w:val="00407345"/>
    <w:rsid w:val="004147E1"/>
    <w:rsid w:val="00414F84"/>
    <w:rsid w:val="0044563F"/>
    <w:rsid w:val="00445FD8"/>
    <w:rsid w:val="0045254B"/>
    <w:rsid w:val="0045623A"/>
    <w:rsid w:val="0046239C"/>
    <w:rsid w:val="00463C33"/>
    <w:rsid w:val="00465AFB"/>
    <w:rsid w:val="00470F74"/>
    <w:rsid w:val="004857CC"/>
    <w:rsid w:val="004A2AF8"/>
    <w:rsid w:val="004A5002"/>
    <w:rsid w:val="004A6948"/>
    <w:rsid w:val="004C3580"/>
    <w:rsid w:val="004C7DEF"/>
    <w:rsid w:val="004D1802"/>
    <w:rsid w:val="004D75E4"/>
    <w:rsid w:val="004E0CD7"/>
    <w:rsid w:val="004E3E39"/>
    <w:rsid w:val="004E6BAE"/>
    <w:rsid w:val="004F3C48"/>
    <w:rsid w:val="004F6E74"/>
    <w:rsid w:val="00507ECB"/>
    <w:rsid w:val="005258F5"/>
    <w:rsid w:val="00526D56"/>
    <w:rsid w:val="00526E10"/>
    <w:rsid w:val="00547211"/>
    <w:rsid w:val="0055405A"/>
    <w:rsid w:val="00565EC4"/>
    <w:rsid w:val="00573842"/>
    <w:rsid w:val="00573D8C"/>
    <w:rsid w:val="00574B10"/>
    <w:rsid w:val="00581DCA"/>
    <w:rsid w:val="00586599"/>
    <w:rsid w:val="00592F11"/>
    <w:rsid w:val="005952FF"/>
    <w:rsid w:val="00596027"/>
    <w:rsid w:val="005A4CEE"/>
    <w:rsid w:val="005B4B21"/>
    <w:rsid w:val="005C2421"/>
    <w:rsid w:val="005D42D2"/>
    <w:rsid w:val="005F0588"/>
    <w:rsid w:val="005F0C2E"/>
    <w:rsid w:val="005F6FB4"/>
    <w:rsid w:val="006276E9"/>
    <w:rsid w:val="00627ADE"/>
    <w:rsid w:val="00640954"/>
    <w:rsid w:val="0064757F"/>
    <w:rsid w:val="00655A71"/>
    <w:rsid w:val="00655E7F"/>
    <w:rsid w:val="00661DBC"/>
    <w:rsid w:val="006702C9"/>
    <w:rsid w:val="006819D7"/>
    <w:rsid w:val="006944F4"/>
    <w:rsid w:val="00694FE6"/>
    <w:rsid w:val="006A27E2"/>
    <w:rsid w:val="006A5201"/>
    <w:rsid w:val="006B33A4"/>
    <w:rsid w:val="006B459C"/>
    <w:rsid w:val="006D30B8"/>
    <w:rsid w:val="006D73FA"/>
    <w:rsid w:val="006D77AA"/>
    <w:rsid w:val="006E299C"/>
    <w:rsid w:val="006F4F90"/>
    <w:rsid w:val="0070343B"/>
    <w:rsid w:val="00706D7E"/>
    <w:rsid w:val="00712CB1"/>
    <w:rsid w:val="00730DC4"/>
    <w:rsid w:val="00731FAE"/>
    <w:rsid w:val="00741927"/>
    <w:rsid w:val="0075409F"/>
    <w:rsid w:val="007562CE"/>
    <w:rsid w:val="00762326"/>
    <w:rsid w:val="00772A22"/>
    <w:rsid w:val="00777018"/>
    <w:rsid w:val="007804B5"/>
    <w:rsid w:val="00780EC4"/>
    <w:rsid w:val="00782BE5"/>
    <w:rsid w:val="007842E3"/>
    <w:rsid w:val="00785A6F"/>
    <w:rsid w:val="007900D5"/>
    <w:rsid w:val="00790713"/>
    <w:rsid w:val="007A7626"/>
    <w:rsid w:val="007C32AA"/>
    <w:rsid w:val="007D4634"/>
    <w:rsid w:val="007D4C6C"/>
    <w:rsid w:val="007E01A0"/>
    <w:rsid w:val="007E5D7A"/>
    <w:rsid w:val="007E740A"/>
    <w:rsid w:val="007F4F99"/>
    <w:rsid w:val="0081095F"/>
    <w:rsid w:val="00816525"/>
    <w:rsid w:val="00822C4D"/>
    <w:rsid w:val="00827D02"/>
    <w:rsid w:val="00830341"/>
    <w:rsid w:val="0084217B"/>
    <w:rsid w:val="008705D9"/>
    <w:rsid w:val="00870879"/>
    <w:rsid w:val="008756BE"/>
    <w:rsid w:val="008802EE"/>
    <w:rsid w:val="00885133"/>
    <w:rsid w:val="008865BE"/>
    <w:rsid w:val="00891ADA"/>
    <w:rsid w:val="00894C2B"/>
    <w:rsid w:val="00896A7C"/>
    <w:rsid w:val="008A56F9"/>
    <w:rsid w:val="008A5A6A"/>
    <w:rsid w:val="008A6CEA"/>
    <w:rsid w:val="008B2959"/>
    <w:rsid w:val="008B72BC"/>
    <w:rsid w:val="008C15B2"/>
    <w:rsid w:val="008C4FB2"/>
    <w:rsid w:val="008C52BF"/>
    <w:rsid w:val="008C588D"/>
    <w:rsid w:val="008D1FB5"/>
    <w:rsid w:val="008D4A9A"/>
    <w:rsid w:val="008D78B1"/>
    <w:rsid w:val="008E6485"/>
    <w:rsid w:val="008E69AC"/>
    <w:rsid w:val="008F0B9C"/>
    <w:rsid w:val="00911D08"/>
    <w:rsid w:val="00914FB1"/>
    <w:rsid w:val="009312CB"/>
    <w:rsid w:val="00933268"/>
    <w:rsid w:val="00933B6E"/>
    <w:rsid w:val="00943E72"/>
    <w:rsid w:val="00945CA7"/>
    <w:rsid w:val="00947ECD"/>
    <w:rsid w:val="00953358"/>
    <w:rsid w:val="00957D78"/>
    <w:rsid w:val="00985E9D"/>
    <w:rsid w:val="00993ABD"/>
    <w:rsid w:val="00996CE3"/>
    <w:rsid w:val="009A1193"/>
    <w:rsid w:val="009A1F58"/>
    <w:rsid w:val="009A3144"/>
    <w:rsid w:val="009A3CAE"/>
    <w:rsid w:val="009A464D"/>
    <w:rsid w:val="009B1889"/>
    <w:rsid w:val="009B2B22"/>
    <w:rsid w:val="009C7282"/>
    <w:rsid w:val="009D4239"/>
    <w:rsid w:val="009D4534"/>
    <w:rsid w:val="009E1F94"/>
    <w:rsid w:val="009F43BD"/>
    <w:rsid w:val="009F78B8"/>
    <w:rsid w:val="00A10812"/>
    <w:rsid w:val="00A22E5C"/>
    <w:rsid w:val="00A40C4A"/>
    <w:rsid w:val="00A41A20"/>
    <w:rsid w:val="00A45042"/>
    <w:rsid w:val="00A47333"/>
    <w:rsid w:val="00A85E5D"/>
    <w:rsid w:val="00A97685"/>
    <w:rsid w:val="00AA3B6E"/>
    <w:rsid w:val="00AB0392"/>
    <w:rsid w:val="00AB1F7B"/>
    <w:rsid w:val="00AB58FD"/>
    <w:rsid w:val="00AC06EA"/>
    <w:rsid w:val="00AC4BD2"/>
    <w:rsid w:val="00AD100E"/>
    <w:rsid w:val="00AD490F"/>
    <w:rsid w:val="00AD54FA"/>
    <w:rsid w:val="00AE0AB8"/>
    <w:rsid w:val="00AE42C3"/>
    <w:rsid w:val="00AE62A1"/>
    <w:rsid w:val="00AF508B"/>
    <w:rsid w:val="00AF7B1E"/>
    <w:rsid w:val="00B04591"/>
    <w:rsid w:val="00B04FF8"/>
    <w:rsid w:val="00B128E6"/>
    <w:rsid w:val="00B15D56"/>
    <w:rsid w:val="00B17185"/>
    <w:rsid w:val="00B3277A"/>
    <w:rsid w:val="00B52AA2"/>
    <w:rsid w:val="00B55810"/>
    <w:rsid w:val="00B63270"/>
    <w:rsid w:val="00B64CA4"/>
    <w:rsid w:val="00B772FD"/>
    <w:rsid w:val="00B87547"/>
    <w:rsid w:val="00B92A10"/>
    <w:rsid w:val="00B9789B"/>
    <w:rsid w:val="00BA79A9"/>
    <w:rsid w:val="00BB2259"/>
    <w:rsid w:val="00BB278A"/>
    <w:rsid w:val="00BB3A2C"/>
    <w:rsid w:val="00BC03ED"/>
    <w:rsid w:val="00BC1BF7"/>
    <w:rsid w:val="00BC1C84"/>
    <w:rsid w:val="00BC52B8"/>
    <w:rsid w:val="00BE0815"/>
    <w:rsid w:val="00BE4A26"/>
    <w:rsid w:val="00BF3643"/>
    <w:rsid w:val="00BF3AD9"/>
    <w:rsid w:val="00BF6E40"/>
    <w:rsid w:val="00C0395E"/>
    <w:rsid w:val="00C1457E"/>
    <w:rsid w:val="00C2425E"/>
    <w:rsid w:val="00C26739"/>
    <w:rsid w:val="00C32241"/>
    <w:rsid w:val="00C3404F"/>
    <w:rsid w:val="00C35776"/>
    <w:rsid w:val="00C50B59"/>
    <w:rsid w:val="00C51BE4"/>
    <w:rsid w:val="00C6139F"/>
    <w:rsid w:val="00C63CBC"/>
    <w:rsid w:val="00C7327C"/>
    <w:rsid w:val="00C91E85"/>
    <w:rsid w:val="00C92AEF"/>
    <w:rsid w:val="00CA4B06"/>
    <w:rsid w:val="00CB1B55"/>
    <w:rsid w:val="00CB4375"/>
    <w:rsid w:val="00CB5448"/>
    <w:rsid w:val="00CB71A5"/>
    <w:rsid w:val="00CC41AA"/>
    <w:rsid w:val="00CC43E0"/>
    <w:rsid w:val="00CC7E57"/>
    <w:rsid w:val="00CD22D1"/>
    <w:rsid w:val="00CD4952"/>
    <w:rsid w:val="00CE070C"/>
    <w:rsid w:val="00CE1B31"/>
    <w:rsid w:val="00CF25EC"/>
    <w:rsid w:val="00CF7026"/>
    <w:rsid w:val="00D04C85"/>
    <w:rsid w:val="00D21BA8"/>
    <w:rsid w:val="00D23706"/>
    <w:rsid w:val="00D25463"/>
    <w:rsid w:val="00D32E76"/>
    <w:rsid w:val="00D34BE5"/>
    <w:rsid w:val="00D54209"/>
    <w:rsid w:val="00D60BA0"/>
    <w:rsid w:val="00D642C1"/>
    <w:rsid w:val="00D705E1"/>
    <w:rsid w:val="00D77CCD"/>
    <w:rsid w:val="00D86797"/>
    <w:rsid w:val="00D874AA"/>
    <w:rsid w:val="00D92181"/>
    <w:rsid w:val="00DA457B"/>
    <w:rsid w:val="00DA5551"/>
    <w:rsid w:val="00DB2F0C"/>
    <w:rsid w:val="00DB691C"/>
    <w:rsid w:val="00DC2279"/>
    <w:rsid w:val="00DD708B"/>
    <w:rsid w:val="00DD7D1E"/>
    <w:rsid w:val="00DE38ED"/>
    <w:rsid w:val="00DE53F3"/>
    <w:rsid w:val="00E0686C"/>
    <w:rsid w:val="00E267A3"/>
    <w:rsid w:val="00E2768E"/>
    <w:rsid w:val="00E347D2"/>
    <w:rsid w:val="00E4087E"/>
    <w:rsid w:val="00E41987"/>
    <w:rsid w:val="00E41F35"/>
    <w:rsid w:val="00E476D3"/>
    <w:rsid w:val="00E52BED"/>
    <w:rsid w:val="00E97331"/>
    <w:rsid w:val="00EA1708"/>
    <w:rsid w:val="00EA1716"/>
    <w:rsid w:val="00EA3C8E"/>
    <w:rsid w:val="00EA47CE"/>
    <w:rsid w:val="00EB6EBA"/>
    <w:rsid w:val="00EC4429"/>
    <w:rsid w:val="00EC4985"/>
    <w:rsid w:val="00EC65C1"/>
    <w:rsid w:val="00EC7A9A"/>
    <w:rsid w:val="00ED174D"/>
    <w:rsid w:val="00ED30AE"/>
    <w:rsid w:val="00ED4377"/>
    <w:rsid w:val="00ED4857"/>
    <w:rsid w:val="00ED588A"/>
    <w:rsid w:val="00ED64E5"/>
    <w:rsid w:val="00EF1DF9"/>
    <w:rsid w:val="00EF2E66"/>
    <w:rsid w:val="00F02204"/>
    <w:rsid w:val="00F05BFE"/>
    <w:rsid w:val="00F10B11"/>
    <w:rsid w:val="00F30796"/>
    <w:rsid w:val="00F320F5"/>
    <w:rsid w:val="00F42105"/>
    <w:rsid w:val="00F53562"/>
    <w:rsid w:val="00F612D8"/>
    <w:rsid w:val="00F6483F"/>
    <w:rsid w:val="00F64CDF"/>
    <w:rsid w:val="00F654CC"/>
    <w:rsid w:val="00F86CF8"/>
    <w:rsid w:val="00FB146E"/>
    <w:rsid w:val="00FB30F4"/>
    <w:rsid w:val="00FB32D4"/>
    <w:rsid w:val="00FB3D2B"/>
    <w:rsid w:val="00FB4E1F"/>
    <w:rsid w:val="00FC1543"/>
    <w:rsid w:val="00FC6E80"/>
    <w:rsid w:val="00FC79F0"/>
    <w:rsid w:val="00FD4264"/>
    <w:rsid w:val="03ED596F"/>
    <w:rsid w:val="08386BFE"/>
    <w:rsid w:val="0891239D"/>
    <w:rsid w:val="0D6F25FA"/>
    <w:rsid w:val="192C1A94"/>
    <w:rsid w:val="1D203C4C"/>
    <w:rsid w:val="26BC1558"/>
    <w:rsid w:val="31B22032"/>
    <w:rsid w:val="34105D2E"/>
    <w:rsid w:val="38CD3BBB"/>
    <w:rsid w:val="41CB45BF"/>
    <w:rsid w:val="45887462"/>
    <w:rsid w:val="48254802"/>
    <w:rsid w:val="496955D6"/>
    <w:rsid w:val="4C1C6EE2"/>
    <w:rsid w:val="4EF45766"/>
    <w:rsid w:val="5A2B3116"/>
    <w:rsid w:val="765D354B"/>
    <w:rsid w:val="774E02D9"/>
    <w:rsid w:val="7AE35A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autoRedefine/>
    <w:qFormat/>
    <w:uiPriority w:val="0"/>
    <w:rPr>
      <w:rFonts w:ascii="Times New Roman" w:hAnsi="Times New Roman" w:eastAsia="宋体" w:cs="Times New Roman"/>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批注框文本 Char"/>
    <w:basedOn w:val="6"/>
    <w:link w:val="2"/>
    <w:autoRedefine/>
    <w:semiHidden/>
    <w:qFormat/>
    <w:uiPriority w:val="99"/>
    <w:rPr>
      <w:kern w:val="2"/>
      <w:sz w:val="18"/>
      <w:szCs w:val="18"/>
    </w:rPr>
  </w:style>
  <w:style w:type="character" w:customStyle="1" w:styleId="11">
    <w:name w:val="font61"/>
    <w:basedOn w:val="6"/>
    <w:autoRedefine/>
    <w:qFormat/>
    <w:uiPriority w:val="0"/>
    <w:rPr>
      <w:rFonts w:hint="eastAsia" w:ascii="宋体" w:hAnsi="宋体" w:eastAsia="宋体" w:cs="宋体"/>
      <w:color w:val="000000"/>
      <w:sz w:val="18"/>
      <w:szCs w:val="18"/>
      <w:u w:val="none"/>
    </w:rPr>
  </w:style>
  <w:style w:type="character" w:customStyle="1" w:styleId="12">
    <w:name w:val="font71"/>
    <w:basedOn w:val="6"/>
    <w:autoRedefine/>
    <w:qFormat/>
    <w:uiPriority w:val="0"/>
    <w:rPr>
      <w:rFonts w:hint="eastAsia" w:ascii="宋体" w:hAnsi="宋体" w:eastAsia="宋体" w:cs="宋体"/>
      <w:b/>
      <w:color w:val="000000"/>
      <w:sz w:val="18"/>
      <w:szCs w:val="18"/>
      <w:u w:val="none"/>
    </w:rPr>
  </w:style>
  <w:style w:type="paragraph" w:styleId="13">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8AFB1-028B-44E9-A1B4-66725737337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4541</Words>
  <Characters>25889</Characters>
  <Lines>215</Lines>
  <Paragraphs>60</Paragraphs>
  <TotalTime>3</TotalTime>
  <ScaleCrop>false</ScaleCrop>
  <LinksUpToDate>false</LinksUpToDate>
  <CharactersWithSpaces>30370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2019-11-04T09:45:00Z</dcterms:created>
  <dc:creator>董华</dc:creator>
  <cp:lastModifiedBy>Rancho</cp:lastModifiedBy>
  <cp:lastPrinted>2019-10-23T07:40:00Z</cp:lastPrinted>
  <dcterms:modified xsi:type="dcterms:W3CDTF">2024-03-19T07:48:34Z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2116F7541ECD43CD836DD259C5345213_12</vt:lpwstr>
  </property>
</Properties>
</file>