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rPr>
        <w:t>柳州市柳江区</w:t>
      </w:r>
      <w:r>
        <w:rPr>
          <w:rFonts w:hint="eastAsia" w:ascii="方正小标宋简体" w:hAnsi="方正小标宋简体" w:eastAsia="方正小标宋简体" w:cs="方正小标宋简体"/>
          <w:color w:val="000000"/>
          <w:sz w:val="44"/>
          <w:szCs w:val="44"/>
          <w:lang w:eastAsia="zh-CN"/>
        </w:rPr>
        <w:t>进德镇人民政府</w:t>
      </w:r>
      <w:r>
        <w:rPr>
          <w:rFonts w:hint="eastAsia" w:ascii="方正小标宋简体" w:hAnsi="方正小标宋简体" w:eastAsia="方正小标宋简体" w:cs="方正小标宋简体"/>
          <w:color w:val="000000"/>
          <w:sz w:val="44"/>
          <w:szCs w:val="44"/>
        </w:rPr>
        <w:t>关于</w:t>
      </w:r>
      <w:r>
        <w:rPr>
          <w:rFonts w:hint="eastAsia" w:ascii="方正小标宋简体" w:hAnsi="方正小标宋简体" w:eastAsia="方正小标宋简体" w:cs="方正小标宋简体"/>
          <w:color w:val="000000"/>
          <w:sz w:val="44"/>
          <w:szCs w:val="44"/>
          <w:lang w:eastAsia="zh-CN"/>
        </w:rPr>
        <w:t>行政许可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z w:val="44"/>
          <w:szCs w:val="44"/>
        </w:rPr>
      </w:pPr>
      <w:r>
        <w:rPr>
          <w:rFonts w:hint="eastAsia" w:ascii="方正小标宋简体" w:hAnsi="方正小标宋简体" w:eastAsia="方正小标宋简体" w:cs="方正小标宋简体"/>
          <w:color w:val="000000"/>
          <w:sz w:val="44"/>
          <w:szCs w:val="44"/>
          <w:lang w:eastAsia="zh-CN"/>
        </w:rPr>
        <w:t>事项《设置非公路标志审批》</w:t>
      </w:r>
      <w:r>
        <w:rPr>
          <w:rFonts w:hint="eastAsia" w:ascii="方正小标宋简体" w:hAnsi="方正小标宋简体" w:eastAsia="方正小标宋简体" w:cs="方正小标宋简体"/>
          <w:color w:val="000000"/>
          <w:sz w:val="44"/>
          <w:szCs w:val="44"/>
          <w:lang w:val="en-US" w:eastAsia="zh-CN"/>
        </w:rPr>
        <w:t>承接</w:t>
      </w:r>
      <w:r>
        <w:rPr>
          <w:rFonts w:hint="eastAsia" w:ascii="方正小标宋简体" w:hAnsi="方正小标宋简体" w:eastAsia="方正小标宋简体" w:cs="方正小标宋简体"/>
          <w:color w:val="000000"/>
          <w:sz w:val="44"/>
          <w:szCs w:val="44"/>
        </w:rPr>
        <w:t>实施方案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　　</w:t>
      </w:r>
      <w:r>
        <w:rPr>
          <w:rFonts w:hint="default" w:ascii="Times New Roman" w:hAnsi="Times New Roman" w:eastAsia="仿宋_GB2312" w:cs="Times New Roman"/>
          <w:color w:val="000000"/>
          <w:sz w:val="32"/>
          <w:szCs w:val="32"/>
        </w:rPr>
        <w:t>为进一步贯彻落实</w:t>
      </w:r>
      <w:r>
        <w:rPr>
          <w:rFonts w:hint="default" w:ascii="Times New Roman" w:hAnsi="Times New Roman" w:eastAsia="仿宋_GB2312" w:cs="Times New Roman"/>
          <w:kern w:val="0"/>
          <w:sz w:val="32"/>
          <w:szCs w:val="32"/>
          <w:lang w:eastAsia="zh-CN"/>
        </w:rPr>
        <w:t>区委编办</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中共柳江区委机构编制委员会办公室关于转发自治区党委编办</w:t>
      </w:r>
      <w:r>
        <w:rPr>
          <w:rFonts w:hint="default" w:ascii="Times New Roman" w:hAnsi="Times New Roman" w:eastAsia="仿宋_GB2312" w:cs="Times New Roman"/>
          <w:kern w:val="0"/>
          <w:sz w:val="32"/>
          <w:szCs w:val="32"/>
          <w:lang w:val="en-US" w:eastAsia="zh-CN"/>
        </w:rPr>
        <w:t>&lt;</w:t>
      </w:r>
      <w:r>
        <w:rPr>
          <w:rFonts w:hint="default" w:ascii="Times New Roman" w:hAnsi="Times New Roman" w:eastAsia="仿宋_GB2312" w:cs="Times New Roman"/>
          <w:kern w:val="0"/>
          <w:sz w:val="32"/>
          <w:szCs w:val="32"/>
        </w:rPr>
        <w:t>广西赋予乡镇（街道部分县级管理权限清单（第一批）</w:t>
      </w:r>
      <w:r>
        <w:rPr>
          <w:rFonts w:hint="default" w:ascii="Times New Roman" w:hAnsi="Times New Roman" w:eastAsia="仿宋_GB2312" w:cs="Times New Roman"/>
          <w:kern w:val="0"/>
          <w:sz w:val="32"/>
          <w:szCs w:val="32"/>
          <w:lang w:val="en-US" w:eastAsia="zh-CN"/>
        </w:rPr>
        <w:t>&gt;</w:t>
      </w:r>
      <w:r>
        <w:rPr>
          <w:rFonts w:hint="default" w:ascii="Times New Roman" w:hAnsi="Times New Roman" w:eastAsia="仿宋_GB2312" w:cs="Times New Roman"/>
          <w:kern w:val="0"/>
          <w:sz w:val="32"/>
          <w:szCs w:val="32"/>
        </w:rPr>
        <w:t>的通知</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（江编办〔2020〕3号）精神，做好</w:t>
      </w:r>
      <w:r>
        <w:rPr>
          <w:rFonts w:hint="default" w:ascii="Times New Roman" w:hAnsi="Times New Roman" w:eastAsia="仿宋_GB2312" w:cs="Times New Roman"/>
          <w:kern w:val="0"/>
          <w:sz w:val="32"/>
          <w:szCs w:val="32"/>
          <w:lang w:val="en-US" w:eastAsia="zh-CN"/>
        </w:rPr>
        <w:t>区行政审批局下放的行政许可事项</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设置非公路标志审批》</w:t>
      </w:r>
      <w:r>
        <w:rPr>
          <w:rFonts w:hint="default" w:ascii="Times New Roman" w:hAnsi="Times New Roman" w:eastAsia="仿宋_GB2312" w:cs="Times New Roman"/>
          <w:kern w:val="0"/>
          <w:sz w:val="32"/>
          <w:szCs w:val="32"/>
          <w:lang w:val="en-US" w:eastAsia="zh-CN"/>
        </w:rPr>
        <w:t>承接</w:t>
      </w:r>
      <w:r>
        <w:rPr>
          <w:rFonts w:hint="default" w:ascii="Times New Roman" w:hAnsi="Times New Roman" w:eastAsia="仿宋_GB2312" w:cs="Times New Roman"/>
          <w:kern w:val="0"/>
          <w:sz w:val="32"/>
          <w:szCs w:val="32"/>
        </w:rPr>
        <w:t>实施工作，现结合工作实际，制定行政许可事项实施方案：</w:t>
      </w:r>
    </w:p>
    <w:p>
      <w:pPr>
        <w:keepNext w:val="0"/>
        <w:keepLines w:val="0"/>
        <w:pageBreakBefore w:val="0"/>
        <w:widowControl w:val="0"/>
        <w:kinsoku/>
        <w:wordWrap/>
        <w:overflowPunct/>
        <w:topLinePunct w:val="0"/>
        <w:autoSpaceDE/>
        <w:autoSpaceDN/>
        <w:bidi w:val="0"/>
        <w:adjustRightInd/>
        <w:snapToGrid/>
        <w:spacing w:line="240" w:lineRule="auto"/>
        <w:ind w:left="630" w:left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一、实施的行政许可事项基本情况</w:t>
      </w:r>
    </w:p>
    <w:p>
      <w:pPr>
        <w:keepNext w:val="0"/>
        <w:keepLines w:val="0"/>
        <w:pageBreakBefore w:val="0"/>
        <w:widowControl w:val="0"/>
        <w:kinsoku/>
        <w:wordWrap/>
        <w:overflowPunct/>
        <w:topLinePunct w:val="0"/>
        <w:autoSpaceDE/>
        <w:autoSpaceDN/>
        <w:bidi w:val="0"/>
        <w:adjustRightInd/>
        <w:snapToGrid/>
        <w:spacing w:line="240" w:lineRule="auto"/>
        <w:ind w:left="630" w:left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项目名称：</w:t>
      </w:r>
      <w:r>
        <w:rPr>
          <w:rFonts w:hint="default" w:ascii="Times New Roman" w:hAnsi="Times New Roman" w:eastAsia="仿宋_GB2312" w:cs="Times New Roman"/>
          <w:color w:val="000000"/>
          <w:sz w:val="32"/>
          <w:szCs w:val="32"/>
          <w:lang w:eastAsia="zh-CN"/>
        </w:rPr>
        <w:t>《设置非公路标志审批》</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　　</w:t>
      </w:r>
      <w:r>
        <w:rPr>
          <w:rFonts w:hint="default" w:ascii="Times New Roman" w:hAnsi="Times New Roman" w:eastAsia="仿宋_GB2312" w:cs="Times New Roman"/>
          <w:color w:val="000000"/>
          <w:sz w:val="32"/>
          <w:szCs w:val="32"/>
        </w:rPr>
        <w:t>实施依据：</w:t>
      </w:r>
      <w:r>
        <w:rPr>
          <w:rFonts w:hint="default" w:ascii="Times New Roman" w:hAnsi="Times New Roman" w:eastAsia="仿宋_GB2312" w:cs="Times New Roman"/>
          <w:color w:val="000000"/>
          <w:sz w:val="32"/>
          <w:szCs w:val="32"/>
          <w:lang w:eastAsia="zh-CN"/>
        </w:rPr>
        <w:t>柳江区编办关于转发自治区党委编办&lt;广西赋予乡镇（街道部分县级管理权限清单（第一批）&gt;的通知》（江编办〔2020〕3号）</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tabs>
          <w:tab w:val="left" w:pos="5579"/>
        </w:tabs>
        <w:kinsoku/>
        <w:wordWrap/>
        <w:overflowPunct/>
        <w:topLinePunct w:val="0"/>
        <w:autoSpaceDE/>
        <w:autoSpaceDN/>
        <w:bidi w:val="0"/>
        <w:adjustRightInd/>
        <w:snapToGrid/>
        <w:spacing w:line="240" w:lineRule="auto"/>
        <w:ind w:left="630" w:leftChars="200"/>
        <w:textAlignment w:val="auto"/>
        <w:rPr>
          <w:rFonts w:hint="eastAsia"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color w:val="000000"/>
          <w:sz w:val="32"/>
          <w:szCs w:val="32"/>
        </w:rPr>
        <w:t>二、监管依据</w:t>
      </w:r>
      <w:r>
        <w:rPr>
          <w:rFonts w:hint="eastAsia" w:ascii="Times New Roman" w:hAnsi="Times New Roman" w:eastAsia="仿宋_GB2312" w:cs="Times New Roman"/>
          <w:b/>
          <w:color w:val="000000"/>
          <w:sz w:val="32"/>
          <w:szCs w:val="32"/>
          <w:lang w:eastAsia="zh-CN"/>
        </w:rPr>
        <w:tab/>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1．</w:t>
      </w:r>
      <w:r>
        <w:rPr>
          <w:rFonts w:hint="default" w:ascii="Times New Roman" w:hAnsi="Times New Roman" w:eastAsia="仿宋_GB2312" w:cs="Times New Roman"/>
          <w:color w:val="000000"/>
          <w:sz w:val="32"/>
          <w:szCs w:val="32"/>
          <w:lang w:eastAsia="zh-CN"/>
        </w:rPr>
        <w:t>自治区党委《广西赋予乡镇（街道）部分县级管理权限清单（第一批）的通知》（桂编办发</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195</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2．</w:t>
      </w:r>
      <w:r>
        <w:rPr>
          <w:rFonts w:hint="default" w:ascii="Times New Roman" w:hAnsi="Times New Roman" w:eastAsia="仿宋_GB2312" w:cs="Times New Roman"/>
          <w:color w:val="000000"/>
          <w:sz w:val="32"/>
          <w:szCs w:val="32"/>
          <w:lang w:eastAsia="zh-CN"/>
        </w:rPr>
        <w:t>【法律】《中华人民共和国公路法》第五十四条  任何单位和个人未经县级以上地方人民政府交通主管部门批准，不得在公路用地范围内设置公路标志以外的其他标志。</w:t>
      </w:r>
      <w:r>
        <w:rPr>
          <w:rFonts w:hint="default" w:ascii="Times New Roman" w:hAnsi="Times New Roman" w:eastAsia="仿宋_GB2312" w:cs="Times New Roman"/>
          <w:color w:val="000000"/>
          <w:sz w:val="32"/>
          <w:szCs w:val="32"/>
          <w:lang w:eastAsia="zh-CN"/>
        </w:rPr>
        <w:br w:type="textWrapping"/>
      </w: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３．</w:t>
      </w:r>
      <w:r>
        <w:rPr>
          <w:rFonts w:hint="default" w:ascii="Times New Roman" w:hAnsi="Times New Roman" w:eastAsia="仿宋_GB2312" w:cs="Times New Roman"/>
          <w:color w:val="000000"/>
          <w:sz w:val="32"/>
          <w:szCs w:val="32"/>
          <w:lang w:eastAsia="zh-CN"/>
        </w:rPr>
        <w:t xml:space="preserve">【行政法规】《公路安全保护条例》第二十七条  进行下列涉路施工活动，建设单位应当向公路管理机构提出申请：（五）利用跨越公路的设施悬挂非公路标志。第七十五条  村道的管理和养护工作，由乡级人民政府参照本条例的规定执行。 </w:t>
      </w:r>
      <w:r>
        <w:rPr>
          <w:rFonts w:hint="default" w:ascii="Times New Roman" w:hAnsi="Times New Roman" w:eastAsia="仿宋_GB2312" w:cs="Times New Roman"/>
          <w:color w:val="000000"/>
          <w:sz w:val="32"/>
          <w:szCs w:val="32"/>
          <w:lang w:eastAsia="zh-CN"/>
        </w:rPr>
        <w:br w:type="textWrapping"/>
      </w:r>
      <w:r>
        <w:rPr>
          <w:rFonts w:hint="eastAsia" w:ascii="Times New Roman" w:hAnsi="Times New Roman" w:eastAsia="仿宋_GB2312" w:cs="Times New Roman"/>
          <w:color w:val="000000"/>
          <w:sz w:val="32"/>
          <w:szCs w:val="32"/>
          <w:lang w:eastAsia="zh-CN"/>
        </w:rPr>
        <w:t>　　４．</w:t>
      </w:r>
      <w:r>
        <w:rPr>
          <w:rFonts w:hint="default" w:ascii="Times New Roman" w:hAnsi="Times New Roman" w:eastAsia="仿宋_GB2312" w:cs="Times New Roman"/>
          <w:color w:val="000000"/>
          <w:sz w:val="32"/>
          <w:szCs w:val="32"/>
          <w:lang w:eastAsia="zh-CN"/>
        </w:rPr>
        <w:t>【政府规章】《广西壮族自治区农村公路管理办法》第三十五条 县级以上人民政府交通运输主管部门负责本行政区域内县道、乡道的路政管理工作。乡镇人民政府、街道办事处按照县级人民政府确定的职责范围负责村道的路政管理工作。</w:t>
      </w:r>
    </w:p>
    <w:p>
      <w:pPr>
        <w:keepNext w:val="0"/>
        <w:keepLines w:val="0"/>
        <w:pageBreakBefore w:val="0"/>
        <w:widowControl w:val="0"/>
        <w:kinsoku/>
        <w:wordWrap/>
        <w:overflowPunct/>
        <w:topLinePunct w:val="0"/>
        <w:autoSpaceDE/>
        <w:autoSpaceDN/>
        <w:bidi w:val="0"/>
        <w:adjustRightInd/>
        <w:snapToGrid/>
        <w:spacing w:line="240" w:lineRule="auto"/>
        <w:ind w:firstLine="850"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三、监管措施</w:t>
      </w:r>
    </w:p>
    <w:p>
      <w:pPr>
        <w:keepNext w:val="0"/>
        <w:keepLines w:val="0"/>
        <w:pageBreakBefore w:val="0"/>
        <w:widowControl w:val="0"/>
        <w:kinsoku/>
        <w:wordWrap/>
        <w:overflowPunct/>
        <w:topLinePunct w:val="0"/>
        <w:autoSpaceDE/>
        <w:autoSpaceDN/>
        <w:bidi w:val="0"/>
        <w:adjustRightInd/>
        <w:snapToGrid/>
        <w:spacing w:line="240" w:lineRule="auto"/>
        <w:ind w:left="630" w:leftChars="200"/>
        <w:textAlignment w:val="auto"/>
        <w:rPr>
          <w:rFonts w:hint="eastAsia" w:ascii="楷体" w:hAnsi="楷体" w:eastAsia="楷体" w:cs="楷体"/>
          <w:color w:val="000000"/>
          <w:sz w:val="32"/>
          <w:szCs w:val="32"/>
          <w:lang w:val="zh-CN"/>
        </w:rPr>
      </w:pPr>
      <w:r>
        <w:rPr>
          <w:rFonts w:hint="eastAsia" w:ascii="楷体" w:hAnsi="楷体" w:eastAsia="楷体" w:cs="楷体"/>
          <w:color w:val="000000"/>
          <w:sz w:val="32"/>
          <w:szCs w:val="32"/>
        </w:rPr>
        <w:t>（一）</w:t>
      </w:r>
      <w:r>
        <w:rPr>
          <w:rFonts w:hint="eastAsia" w:ascii="楷体" w:hAnsi="楷体" w:eastAsia="楷体" w:cs="楷体"/>
          <w:color w:val="000000"/>
          <w:sz w:val="32"/>
          <w:szCs w:val="32"/>
          <w:lang w:val="zh-CN"/>
        </w:rPr>
        <w:t>监管职责定义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zh-CN"/>
        </w:rPr>
        <w:t>　　</w:t>
      </w:r>
      <w:r>
        <w:rPr>
          <w:rFonts w:hint="default" w:ascii="Times New Roman" w:hAnsi="Times New Roman" w:eastAsia="仿宋_GB2312" w:cs="Times New Roman"/>
          <w:color w:val="000000"/>
          <w:sz w:val="32"/>
          <w:szCs w:val="32"/>
          <w:lang w:val="zh-CN"/>
        </w:rPr>
        <w:t>在辖区内设置非公路标志，建设单位或者个人应当向乡、镇人民政府提出申请，由乡、镇人民政府报区人民政府城乡规划主管部门核发乡村建设规划许可证。</w:t>
      </w:r>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int="eastAsia" w:ascii="楷体" w:hAnsi="楷体" w:eastAsia="楷体" w:cs="楷体"/>
          <w:color w:val="000000"/>
          <w:sz w:val="32"/>
          <w:szCs w:val="32"/>
          <w:lang w:val="zh-CN"/>
        </w:rPr>
      </w:pPr>
      <w:r>
        <w:rPr>
          <w:rFonts w:hint="eastAsia" w:ascii="楷体" w:hAnsi="楷体" w:eastAsia="楷体" w:cs="楷体"/>
          <w:color w:val="000000"/>
          <w:sz w:val="32"/>
          <w:szCs w:val="32"/>
          <w:lang w:val="zh-CN"/>
        </w:rPr>
        <w:t>　　（二）监管对象范围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val="zh-CN"/>
        </w:rPr>
        <w:t>　　</w:t>
      </w:r>
      <w:r>
        <w:rPr>
          <w:rFonts w:hint="default" w:ascii="Times New Roman" w:hAnsi="Times New Roman" w:eastAsia="仿宋_GB2312" w:cs="Times New Roman"/>
          <w:color w:val="000000"/>
          <w:sz w:val="32"/>
          <w:szCs w:val="32"/>
          <w:lang w:val="zh-CN"/>
        </w:rPr>
        <w:t>进德镇内需要设置非公路标志的机关、事业单位、企业、社会组织及个人。</w:t>
      </w:r>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int="eastAsia" w:ascii="楷体" w:hAnsi="楷体" w:eastAsia="楷体" w:cs="楷体"/>
          <w:color w:val="000000"/>
          <w:sz w:val="32"/>
          <w:szCs w:val="32"/>
          <w:lang w:val="zh-CN"/>
        </w:rPr>
      </w:pPr>
      <w:r>
        <w:rPr>
          <w:rFonts w:hint="eastAsia" w:ascii="楷体" w:hAnsi="楷体" w:eastAsia="楷体" w:cs="楷体"/>
          <w:color w:val="000000"/>
          <w:sz w:val="32"/>
          <w:szCs w:val="32"/>
          <w:lang w:val="zh-CN"/>
        </w:rPr>
        <w:t>　　（三）监管工作内容及操作程序</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30" w:leftChars="200"/>
        <w:textAlignment w:val="auto"/>
        <w:rPr>
          <w:rFonts w:hint="default"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val="zh-CN"/>
        </w:rPr>
        <w:t>１．</w:t>
      </w:r>
      <w:r>
        <w:rPr>
          <w:rFonts w:hint="default" w:ascii="Times New Roman" w:hAnsi="Times New Roman" w:eastAsia="仿宋_GB2312" w:cs="Times New Roman"/>
          <w:color w:val="000000"/>
          <w:sz w:val="32"/>
          <w:szCs w:val="32"/>
          <w:lang w:val="zh-CN"/>
        </w:rPr>
        <w:t>交通行政许可申请书（一式一份）</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30" w:leftChars="200"/>
        <w:textAlignment w:val="auto"/>
        <w:rPr>
          <w:rFonts w:hint="default"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val="zh-CN"/>
        </w:rPr>
        <w:t>２．</w:t>
      </w:r>
      <w:r>
        <w:rPr>
          <w:rFonts w:hint="default" w:ascii="Times New Roman" w:hAnsi="Times New Roman" w:eastAsia="仿宋_GB2312" w:cs="Times New Roman"/>
          <w:color w:val="000000"/>
          <w:sz w:val="32"/>
          <w:szCs w:val="32"/>
          <w:lang w:val="zh-CN"/>
        </w:rPr>
        <w:t>非公路标志设置的图纸和内容</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30" w:leftChars="200"/>
        <w:textAlignment w:val="auto"/>
        <w:rPr>
          <w:rFonts w:hint="default"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val="zh-CN"/>
        </w:rPr>
        <w:t>３．</w:t>
      </w:r>
      <w:r>
        <w:rPr>
          <w:rFonts w:hint="default" w:ascii="Times New Roman" w:hAnsi="Times New Roman" w:eastAsia="仿宋_GB2312" w:cs="Times New Roman"/>
          <w:color w:val="000000"/>
          <w:sz w:val="32"/>
          <w:szCs w:val="32"/>
          <w:lang w:val="zh-CN"/>
        </w:rPr>
        <w:t>公路施工方案</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30" w:leftChars="200"/>
        <w:textAlignment w:val="auto"/>
        <w:rPr>
          <w:rFonts w:hint="default"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val="zh-CN"/>
        </w:rPr>
        <w:t>４．</w:t>
      </w:r>
      <w:r>
        <w:rPr>
          <w:rFonts w:hint="default" w:ascii="Times New Roman" w:hAnsi="Times New Roman" w:eastAsia="仿宋_GB2312" w:cs="Times New Roman"/>
          <w:color w:val="000000"/>
          <w:sz w:val="32"/>
          <w:szCs w:val="32"/>
          <w:lang w:val="zh-CN"/>
        </w:rPr>
        <w:t>安全保障措施</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val="zh-CN"/>
        </w:rPr>
        <w:t>　　５．</w:t>
      </w:r>
      <w:r>
        <w:rPr>
          <w:rFonts w:hint="default" w:ascii="Times New Roman" w:hAnsi="Times New Roman" w:eastAsia="仿宋_GB2312" w:cs="Times New Roman"/>
          <w:color w:val="000000"/>
          <w:sz w:val="32"/>
          <w:szCs w:val="32"/>
          <w:lang w:val="zh-CN"/>
        </w:rPr>
        <w:t>申请人身份证，如申请人为法人，还应提供单位法人证书或者营业执照、法人身份证明以及办理人授权委托书和身份证明（原件审查后退回，交复印件一份）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仿宋_GB2312" w:cs="Times New Roman"/>
          <w:sz w:val="32"/>
          <w:szCs w:val="32"/>
        </w:rPr>
        <w:t xml:space="preserve">                     </w:t>
      </w:r>
    </w:p>
    <w:sectPr>
      <w:footerReference r:id="rId3" w:type="default"/>
      <w:pgSz w:w="11906" w:h="16838"/>
      <w:pgMar w:top="2098" w:right="1474" w:bottom="1984" w:left="1587" w:header="851" w:footer="1400" w:gutter="0"/>
      <w:paperSrc/>
      <w:pgNumType w:fmt="decimal"/>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32"/>
                              <w:szCs w:val="32"/>
                              <w:lang w:eastAsia="zh-CN"/>
                            </w:rPr>
                          </w:pPr>
                          <w:r>
                            <w:rPr>
                              <w:rFonts w:hint="eastAsia" w:asciiTheme="minorEastAsia" w:hAnsiTheme="minorEastAsia" w:eastAsiaTheme="minorEastAsia" w:cstheme="minorEastAsia"/>
                              <w:spacing w:val="20"/>
                              <w:sz w:val="32"/>
                              <w:szCs w:val="32"/>
                              <w:lang w:eastAsia="zh-CN"/>
                            </w:rPr>
                            <w:t>—</w:t>
                          </w:r>
                          <w:r>
                            <w:rPr>
                              <w:rFonts w:hint="eastAsia" w:asciiTheme="minorEastAsia" w:hAnsiTheme="minorEastAsia" w:eastAsiaTheme="minorEastAsia" w:cstheme="minorEastAsia"/>
                              <w:spacing w:val="20"/>
                              <w:sz w:val="32"/>
                              <w:szCs w:val="32"/>
                              <w:lang w:eastAsia="zh-CN"/>
                            </w:rPr>
                            <w:fldChar w:fldCharType="begin"/>
                          </w:r>
                          <w:r>
                            <w:rPr>
                              <w:rFonts w:hint="eastAsia" w:asciiTheme="minorEastAsia" w:hAnsiTheme="minorEastAsia" w:eastAsiaTheme="minorEastAsia" w:cstheme="minorEastAsia"/>
                              <w:spacing w:val="20"/>
                              <w:sz w:val="32"/>
                              <w:szCs w:val="32"/>
                              <w:lang w:eastAsia="zh-CN"/>
                            </w:rPr>
                            <w:instrText xml:space="preserve"> PAGE  \* MERGEFORMAT </w:instrText>
                          </w:r>
                          <w:r>
                            <w:rPr>
                              <w:rFonts w:hint="eastAsia" w:asciiTheme="minorEastAsia" w:hAnsiTheme="minorEastAsia" w:eastAsiaTheme="minorEastAsia" w:cstheme="minorEastAsia"/>
                              <w:spacing w:val="20"/>
                              <w:sz w:val="32"/>
                              <w:szCs w:val="32"/>
                              <w:lang w:eastAsia="zh-CN"/>
                            </w:rPr>
                            <w:fldChar w:fldCharType="separate"/>
                          </w:r>
                          <w:r>
                            <w:rPr>
                              <w:rFonts w:hint="eastAsia" w:asciiTheme="minorEastAsia" w:hAnsiTheme="minorEastAsia" w:eastAsiaTheme="minorEastAsia" w:cstheme="minorEastAsia"/>
                              <w:spacing w:val="20"/>
                              <w:sz w:val="32"/>
                              <w:szCs w:val="32"/>
                              <w:lang w:eastAsia="zh-CN"/>
                            </w:rPr>
                            <w:t>1</w:t>
                          </w:r>
                          <w:r>
                            <w:rPr>
                              <w:rFonts w:hint="eastAsia" w:asciiTheme="minorEastAsia" w:hAnsiTheme="minorEastAsia" w:eastAsiaTheme="minorEastAsia" w:cstheme="minorEastAsia"/>
                              <w:spacing w:val="20"/>
                              <w:sz w:val="32"/>
                              <w:szCs w:val="32"/>
                              <w:lang w:eastAsia="zh-CN"/>
                            </w:rPr>
                            <w:fldChar w:fldCharType="end"/>
                          </w:r>
                          <w:r>
                            <w:rPr>
                              <w:rFonts w:hint="eastAsia" w:asciiTheme="minorEastAsia" w:hAnsiTheme="minorEastAsia" w:eastAsiaTheme="minorEastAsia" w:cstheme="minorEastAsia"/>
                              <w:spacing w:val="20"/>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58240;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Y41njUAAAACA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32"/>
                        <w:szCs w:val="32"/>
                        <w:lang w:eastAsia="zh-CN"/>
                      </w:rPr>
                    </w:pPr>
                    <w:r>
                      <w:rPr>
                        <w:rFonts w:hint="eastAsia" w:asciiTheme="minorEastAsia" w:hAnsiTheme="minorEastAsia" w:eastAsiaTheme="minorEastAsia" w:cstheme="minorEastAsia"/>
                        <w:spacing w:val="20"/>
                        <w:sz w:val="32"/>
                        <w:szCs w:val="32"/>
                        <w:lang w:eastAsia="zh-CN"/>
                      </w:rPr>
                      <w:t>—</w:t>
                    </w:r>
                    <w:r>
                      <w:rPr>
                        <w:rFonts w:hint="eastAsia" w:asciiTheme="minorEastAsia" w:hAnsiTheme="minorEastAsia" w:eastAsiaTheme="minorEastAsia" w:cstheme="minorEastAsia"/>
                        <w:spacing w:val="20"/>
                        <w:sz w:val="32"/>
                        <w:szCs w:val="32"/>
                        <w:lang w:eastAsia="zh-CN"/>
                      </w:rPr>
                      <w:fldChar w:fldCharType="begin"/>
                    </w:r>
                    <w:r>
                      <w:rPr>
                        <w:rFonts w:hint="eastAsia" w:asciiTheme="minorEastAsia" w:hAnsiTheme="minorEastAsia" w:eastAsiaTheme="minorEastAsia" w:cstheme="minorEastAsia"/>
                        <w:spacing w:val="20"/>
                        <w:sz w:val="32"/>
                        <w:szCs w:val="32"/>
                        <w:lang w:eastAsia="zh-CN"/>
                      </w:rPr>
                      <w:instrText xml:space="preserve"> PAGE  \* MERGEFORMAT </w:instrText>
                    </w:r>
                    <w:r>
                      <w:rPr>
                        <w:rFonts w:hint="eastAsia" w:asciiTheme="minorEastAsia" w:hAnsiTheme="minorEastAsia" w:eastAsiaTheme="minorEastAsia" w:cstheme="minorEastAsia"/>
                        <w:spacing w:val="20"/>
                        <w:sz w:val="32"/>
                        <w:szCs w:val="32"/>
                        <w:lang w:eastAsia="zh-CN"/>
                      </w:rPr>
                      <w:fldChar w:fldCharType="separate"/>
                    </w:r>
                    <w:r>
                      <w:rPr>
                        <w:rFonts w:hint="eastAsia" w:asciiTheme="minorEastAsia" w:hAnsiTheme="minorEastAsia" w:eastAsiaTheme="minorEastAsia" w:cstheme="minorEastAsia"/>
                        <w:spacing w:val="20"/>
                        <w:sz w:val="32"/>
                        <w:szCs w:val="32"/>
                        <w:lang w:eastAsia="zh-CN"/>
                      </w:rPr>
                      <w:t>1</w:t>
                    </w:r>
                    <w:r>
                      <w:rPr>
                        <w:rFonts w:hint="eastAsia" w:asciiTheme="minorEastAsia" w:hAnsiTheme="minorEastAsia" w:eastAsiaTheme="minorEastAsia" w:cstheme="minorEastAsia"/>
                        <w:spacing w:val="20"/>
                        <w:sz w:val="32"/>
                        <w:szCs w:val="32"/>
                        <w:lang w:eastAsia="zh-CN"/>
                      </w:rPr>
                      <w:fldChar w:fldCharType="end"/>
                    </w:r>
                    <w:r>
                      <w:rPr>
                        <w:rFonts w:hint="eastAsia" w:asciiTheme="minorEastAsia" w:hAnsiTheme="minorEastAsia" w:eastAsiaTheme="minorEastAsia" w:cstheme="minorEastAsia"/>
                        <w:spacing w:val="20"/>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25"/>
    <w:rsid w:val="001749D3"/>
    <w:rsid w:val="00607B22"/>
    <w:rsid w:val="006E227C"/>
    <w:rsid w:val="00847F25"/>
    <w:rsid w:val="00935457"/>
    <w:rsid w:val="02DC1959"/>
    <w:rsid w:val="042D2749"/>
    <w:rsid w:val="04AB1B88"/>
    <w:rsid w:val="05B15FCB"/>
    <w:rsid w:val="062A3AEA"/>
    <w:rsid w:val="07472C74"/>
    <w:rsid w:val="07890F2B"/>
    <w:rsid w:val="07E7191F"/>
    <w:rsid w:val="08196C7C"/>
    <w:rsid w:val="0A8861F1"/>
    <w:rsid w:val="0CA20E64"/>
    <w:rsid w:val="0CB24E4E"/>
    <w:rsid w:val="0DDE1947"/>
    <w:rsid w:val="0E531C55"/>
    <w:rsid w:val="10044448"/>
    <w:rsid w:val="10E53E55"/>
    <w:rsid w:val="114E3B47"/>
    <w:rsid w:val="117829E6"/>
    <w:rsid w:val="117925D3"/>
    <w:rsid w:val="126B4868"/>
    <w:rsid w:val="129A5350"/>
    <w:rsid w:val="13F822F2"/>
    <w:rsid w:val="15201119"/>
    <w:rsid w:val="18C16AF8"/>
    <w:rsid w:val="18F05566"/>
    <w:rsid w:val="1EF031E0"/>
    <w:rsid w:val="224627CD"/>
    <w:rsid w:val="22764AA1"/>
    <w:rsid w:val="228C0782"/>
    <w:rsid w:val="240D083E"/>
    <w:rsid w:val="242963C3"/>
    <w:rsid w:val="264F71CD"/>
    <w:rsid w:val="289C6988"/>
    <w:rsid w:val="30191902"/>
    <w:rsid w:val="321462BE"/>
    <w:rsid w:val="32544EFC"/>
    <w:rsid w:val="34532447"/>
    <w:rsid w:val="34965669"/>
    <w:rsid w:val="372548C3"/>
    <w:rsid w:val="386A5494"/>
    <w:rsid w:val="39483605"/>
    <w:rsid w:val="3D6B40F3"/>
    <w:rsid w:val="3F1B08B1"/>
    <w:rsid w:val="415F2590"/>
    <w:rsid w:val="43B26F99"/>
    <w:rsid w:val="488406FA"/>
    <w:rsid w:val="4AAE403B"/>
    <w:rsid w:val="4E65424F"/>
    <w:rsid w:val="4ECD3001"/>
    <w:rsid w:val="5103561D"/>
    <w:rsid w:val="5106129F"/>
    <w:rsid w:val="52E247C1"/>
    <w:rsid w:val="54685383"/>
    <w:rsid w:val="56F14943"/>
    <w:rsid w:val="5D8D7128"/>
    <w:rsid w:val="60847221"/>
    <w:rsid w:val="630F0039"/>
    <w:rsid w:val="64573DAB"/>
    <w:rsid w:val="66836B3F"/>
    <w:rsid w:val="69B41E84"/>
    <w:rsid w:val="69BE40DF"/>
    <w:rsid w:val="6BF80191"/>
    <w:rsid w:val="6D3400EF"/>
    <w:rsid w:val="6FB25484"/>
    <w:rsid w:val="727E02AC"/>
    <w:rsid w:val="72B165C0"/>
    <w:rsid w:val="73BE669B"/>
    <w:rsid w:val="79185826"/>
    <w:rsid w:val="792A070F"/>
    <w:rsid w:val="7BA65BA6"/>
    <w:rsid w:val="7F590293"/>
    <w:rsid w:val="7F86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snapToGrid w:val="0"/>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373</Characters>
  <Lines>3</Lines>
  <Paragraphs>1</Paragraphs>
  <TotalTime>43</TotalTime>
  <ScaleCrop>false</ScaleCrop>
  <LinksUpToDate>false</LinksUpToDate>
  <CharactersWithSpaces>437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2018-03-15T14:39:00Z</dcterms:created>
  <dc:creator>编办</dc:creator>
  <cp:lastModifiedBy>刘照国</cp:lastModifiedBy>
  <dcterms:modified xsi:type="dcterms:W3CDTF">2020-04-02T08:52:58Z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