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after="100" w:afterAutospacing="1" w:line="440" w:lineRule="exact"/>
        <w:ind w:firstLine="960" w:firstLineChars="30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2018年重点工程项目清单</w:t>
      </w:r>
    </w:p>
    <w:bookmarkEnd w:id="0"/>
    <w:tbl>
      <w:tblPr>
        <w:tblStyle w:val="3"/>
        <w:tblW w:w="9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45"/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45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  <w:t>烟粉尘污染治理项目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53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项目主体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53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柳江区柳州恒泰食品有限公司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锅炉除尘升级改造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5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  <w:t>其他整治项目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53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项目主体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53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柳州市闽航隆染织有限公司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燃煤锅炉淘汰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45329"/>
    <w:rsid w:val="00E877AC"/>
    <w:rsid w:val="19745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2019-01-16T02:48:00Z</dcterms:created>
  <dc:creator>县政府办公室</dc:creator>
  <cp:lastModifiedBy>县政府办公室</cp:lastModifiedBy>
  <dcterms:modified xsi:type="dcterms:W3CDTF">2019-01-16T02:57:08Z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