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Ansi="方正小标宋简体" w:eastAsia="方正小标宋简体" w:cs="Times New Roman"/>
          <w:sz w:val="44"/>
          <w:szCs w:val="44"/>
        </w:rPr>
      </w:pPr>
    </w:p>
    <w:p>
      <w:pPr>
        <w:pStyle w:val="2"/>
      </w:pPr>
    </w:p>
    <w:p>
      <w:pPr>
        <w:spacing w:line="560" w:lineRule="exact"/>
        <w:jc w:val="center"/>
        <w:rPr>
          <w:rFonts w:hAnsi="方正小标宋简体" w:eastAsia="方正小标宋简体" w:cs="Times New Roman"/>
          <w:sz w:val="44"/>
          <w:szCs w:val="44"/>
        </w:rPr>
      </w:pPr>
    </w:p>
    <w:p>
      <w:pPr>
        <w:spacing w:line="560" w:lineRule="exact"/>
        <w:jc w:val="center"/>
        <w:rPr>
          <w:rFonts w:ascii="Times New Roman" w:hAnsi="Times New Roman" w:eastAsia="仿宋_GB2312" w:cs="Times New Roman"/>
          <w:sz w:val="32"/>
          <w:szCs w:val="32"/>
        </w:rPr>
      </w:pPr>
    </w:p>
    <w:p>
      <w:pPr>
        <w:pStyle w:val="2"/>
        <w:spacing w:line="560" w:lineRule="exact"/>
        <w:ind w:firstLine="562"/>
      </w:pPr>
    </w:p>
    <w:p>
      <w:pPr>
        <w:spacing w:line="540" w:lineRule="exact"/>
        <w:jc w:val="center"/>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江政办发〔</w:t>
      </w:r>
      <w:r>
        <w:rPr>
          <w:rFonts w:ascii="Times New Roman" w:hAnsi="Times New Roman" w:eastAsia="仿宋_GB2312" w:cs="Times New Roman"/>
          <w:sz w:val="32"/>
          <w:szCs w:val="32"/>
        </w:rPr>
        <w:t>2019</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79</w:t>
      </w:r>
      <w:r>
        <w:rPr>
          <w:rFonts w:hint="eastAsia" w:ascii="Times New Roman" w:hAnsi="Times New Roman" w:eastAsia="仿宋_GB2312" w:cs="仿宋_GB2312"/>
          <w:sz w:val="32"/>
          <w:szCs w:val="32"/>
        </w:rPr>
        <w:t>号</w:t>
      </w:r>
    </w:p>
    <w:p>
      <w:pPr>
        <w:spacing w:line="540" w:lineRule="exact"/>
        <w:jc w:val="center"/>
        <w:rPr>
          <w:rFonts w:eastAsia="仿宋_GB2312" w:cs="Times New Roman"/>
          <w:sz w:val="32"/>
          <w:szCs w:val="32"/>
        </w:rPr>
      </w:pPr>
    </w:p>
    <w:p>
      <w:pPr>
        <w:spacing w:line="540" w:lineRule="exact"/>
        <w:jc w:val="center"/>
        <w:rPr>
          <w:rFonts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柳州市柳江区人民政府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办公室关于印发《柳江区保护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发展森林资源目标责任制考核办法》的通知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各镇人民政府，区</w:t>
      </w:r>
      <w:r>
        <w:rPr>
          <w:rFonts w:hint="eastAsia" w:ascii="Times New Roman" w:hAnsi="Times New Roman" w:eastAsia="仿宋_GB2312" w:cs="Times New Roman"/>
          <w:sz w:val="32"/>
          <w:szCs w:val="32"/>
          <w:lang w:eastAsia="zh-CN"/>
        </w:rPr>
        <w:t>直各</w:t>
      </w:r>
      <w:r>
        <w:rPr>
          <w:rFonts w:ascii="Times New Roman" w:hAnsi="Times New Roman" w:eastAsia="仿宋_GB2312" w:cs="Times New Roman"/>
          <w:sz w:val="32"/>
          <w:szCs w:val="32"/>
        </w:rPr>
        <w:t>有关办、局，国有冲马岭林场、新兴农场：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经区人民政府同意，现将</w:t>
      </w:r>
      <w:r>
        <w:rPr>
          <w:rFonts w:ascii="Times New Roman" w:hAnsi="Times New Roman" w:eastAsia="仿宋_GB2312" w:cs="Times New Roman"/>
          <w:sz w:val="32"/>
          <w:szCs w:val="32"/>
        </w:rPr>
        <w:t>《柳江区保护发展森林资源目标责任制考核办</w:t>
      </w:r>
      <w:r>
        <w:rPr>
          <w:rFonts w:hint="eastAsia" w:ascii="Times New Roman" w:hAnsi="Times New Roman" w:eastAsia="仿宋_GB2312" w:cs="Times New Roman"/>
          <w:sz w:val="32"/>
          <w:szCs w:val="32"/>
          <w:lang w:eastAsia="zh-CN"/>
        </w:rPr>
        <w:t>法</w:t>
      </w:r>
      <w:r>
        <w:rPr>
          <w:rFonts w:ascii="Times New Roman" w:hAnsi="Times New Roman" w:eastAsia="仿宋_GB2312" w:cs="Times New Roman"/>
          <w:sz w:val="32"/>
          <w:szCs w:val="32"/>
        </w:rPr>
        <w:t>》印发给你们，请认真组织实施。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柳州市柳江区人民政府办公室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2019年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w:t>
      </w:r>
    </w:p>
    <w:p>
      <w:pPr>
        <w:pStyle w:val="2"/>
        <w:rPr>
          <w:rFonts w:ascii="Times New Roman" w:hAnsi="Times New Roman" w:eastAsia="仿宋_GB2312" w:cs="Times New Roman"/>
          <w:sz w:val="32"/>
          <w:szCs w:val="32"/>
        </w:rPr>
      </w:pPr>
    </w:p>
    <w:p>
      <w:pPr>
        <w:pStyle w:val="2"/>
        <w:ind w:left="0" w:leftChars="0" w:firstLine="0" w:firstLineChars="0"/>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eastAsia="方正小标宋简体"/>
          <w:bCs/>
          <w:sz w:val="44"/>
          <w:szCs w:val="44"/>
        </w:rPr>
      </w:pPr>
      <w:r>
        <w:rPr>
          <w:rFonts w:hint="eastAsia" w:ascii="方正小标宋简体" w:eastAsia="方正小标宋简体"/>
          <w:bCs/>
          <w:sz w:val="44"/>
          <w:szCs w:val="44"/>
        </w:rPr>
        <w:t>柳江区保护发展森林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eastAsia="方正小标宋简体"/>
          <w:b/>
          <w:sz w:val="44"/>
          <w:szCs w:val="44"/>
        </w:rPr>
      </w:pPr>
      <w:r>
        <w:rPr>
          <w:rFonts w:hint="eastAsia" w:ascii="方正小标宋简体" w:eastAsia="方正小标宋简体"/>
          <w:bCs/>
          <w:sz w:val="44"/>
          <w:szCs w:val="44"/>
        </w:rPr>
        <w:t>资源目标责任制考核办法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eastAsia="仿宋"/>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第一条  </w:t>
      </w:r>
      <w:r>
        <w:rPr>
          <w:rFonts w:ascii="Times New Roman" w:hAnsi="Times New Roman" w:eastAsia="仿宋_GB2312" w:cs="Times New Roman"/>
          <w:sz w:val="32"/>
          <w:szCs w:val="32"/>
        </w:rPr>
        <w:t>为贯彻落实林业法规，贯彻落实中央和自治区加快生态文明建设的决策部署和《广西保护发展森林资源目标责任制考核办法》《柳州市保护发展森林资源目标责任制考核办法》，将我区保护发展森林资源目标责任制落到实处，充分发挥考核评价的导向、激励和约束作用，特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第二条  </w:t>
      </w:r>
      <w:r>
        <w:rPr>
          <w:rFonts w:ascii="Times New Roman" w:hAnsi="Times New Roman" w:eastAsia="仿宋_GB2312" w:cs="Times New Roman"/>
          <w:sz w:val="32"/>
          <w:szCs w:val="32"/>
        </w:rPr>
        <w:t>各级人民政府是保护发展森林资源的责任主体，政府主要负责同志为保护发展森林资源的第一责任人，分管负责同志为主要责任人。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cs="Times New Roman"/>
          <w:color w:val="FF0000"/>
          <w:spacing w:val="6"/>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w:t>
      </w:r>
      <w:r>
        <w:rPr>
          <w:rFonts w:ascii="Times New Roman" w:hAnsi="Times New Roman" w:eastAsia="仿宋_GB2312" w:cs="Times New Roman"/>
          <w:spacing w:val="6"/>
          <w:sz w:val="32"/>
          <w:szCs w:val="32"/>
        </w:rPr>
        <w:t>区人民政府统筹推进全</w:t>
      </w:r>
      <w:r>
        <w:rPr>
          <w:rFonts w:hint="eastAsia" w:ascii="Times New Roman" w:hAnsi="Times New Roman" w:eastAsia="仿宋_GB2312" w:cs="Times New Roman"/>
          <w:spacing w:val="6"/>
          <w:sz w:val="32"/>
          <w:szCs w:val="32"/>
          <w:lang w:eastAsia="zh-CN"/>
        </w:rPr>
        <w:t>区</w:t>
      </w:r>
      <w:r>
        <w:rPr>
          <w:rFonts w:ascii="Times New Roman" w:hAnsi="Times New Roman" w:eastAsia="仿宋_GB2312" w:cs="Times New Roman"/>
          <w:spacing w:val="6"/>
          <w:sz w:val="32"/>
          <w:szCs w:val="32"/>
        </w:rPr>
        <w:t>保护发展森林资源目标考核工作。区林业局牵头会同区直</w:t>
      </w:r>
      <w:r>
        <w:rPr>
          <w:rFonts w:hint="eastAsia" w:ascii="Times New Roman" w:hAnsi="Times New Roman" w:eastAsia="仿宋_GB2312" w:cs="Times New Roman"/>
          <w:spacing w:val="6"/>
          <w:sz w:val="32"/>
          <w:szCs w:val="32"/>
          <w:lang w:eastAsia="zh-CN"/>
        </w:rPr>
        <w:t>各</w:t>
      </w:r>
      <w:r>
        <w:rPr>
          <w:rFonts w:ascii="Times New Roman" w:hAnsi="Times New Roman" w:eastAsia="仿宋_GB2312" w:cs="Times New Roman"/>
          <w:spacing w:val="6"/>
          <w:sz w:val="32"/>
          <w:szCs w:val="32"/>
        </w:rPr>
        <w:t>有关部门负责各镇人民政府、国有林场保护发展森林资源目标责任制执行情况的考核工作。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第四条 </w:t>
      </w:r>
      <w:r>
        <w:rPr>
          <w:rFonts w:ascii="Times New Roman" w:hAnsi="Times New Roman" w:eastAsia="仿宋_GB2312" w:cs="Times New Roman"/>
          <w:sz w:val="32"/>
          <w:szCs w:val="32"/>
        </w:rPr>
        <w:t xml:space="preserve"> 保护发展森林资源目标责任制考核内容包括：保护发展森林资源目标责任制建立和落实情况、森林资源总体状况、森林资源培育情况、森林资源保护管理情况、生物多样性保护情况、森林防火情况、林业有害生物防治情况、林业资金使用情况、破坏森林资源案件查处情况等9个方面（见附件：柳州市保护发展森林资源目标责任制考核指标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第五条 </w:t>
      </w:r>
      <w:r>
        <w:rPr>
          <w:rFonts w:ascii="Times New Roman" w:hAnsi="Times New Roman" w:eastAsia="仿宋_GB2312" w:cs="Times New Roman"/>
          <w:sz w:val="32"/>
          <w:szCs w:val="32"/>
        </w:rPr>
        <w:t xml:space="preserve"> 区林业局根据自治区下达给我区各年度的保护发展森林资源目标任务，在每年5月底前逐项分解到各镇、场。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sz w:val="32"/>
          <w:szCs w:val="32"/>
        </w:rPr>
        <w:t>第六条</w:t>
      </w:r>
      <w:r>
        <w:rPr>
          <w:rFonts w:ascii="Times New Roman" w:hAnsi="Times New Roman" w:eastAsia="仿宋_GB2312" w:cs="Times New Roman"/>
          <w:sz w:val="32"/>
          <w:szCs w:val="32"/>
        </w:rPr>
        <w:t xml:space="preserve">  考核指标及分值参照柳州市制定的《柳州市保护发展森林资源目标责任制考核指标体系》执行，满分标准为100分，并可根据重要的指标设置加分项，最高可加10分。考核采取百分制评分的分数对应评语结论，结果分为优秀、良好、合格、不合格四个等级。得分95分以上为优秀，85分以上95分以下为良好，75分以上85分以下为合格，75分以下为不合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保护发展森林资源目标责任制考核采取指标考核和察访核验两种方法相结合。指标考核中，对自治区或市级层面已经进行专项考核的指标，直接采用专项考核结果，不再重复考核；察访核验采取明察和暗访相结合的方式开展，通过听取汇报、查看资料、现场调查等形式，了解责任制执行的真实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sz w:val="32"/>
          <w:szCs w:val="32"/>
        </w:rPr>
        <w:t>第八条</w:t>
      </w:r>
      <w:r>
        <w:rPr>
          <w:rFonts w:ascii="Times New Roman" w:hAnsi="Times New Roman" w:eastAsia="仿宋_GB2312" w:cs="Times New Roman"/>
          <w:sz w:val="32"/>
          <w:szCs w:val="32"/>
        </w:rPr>
        <w:t xml:space="preserve">  各镇人民政府、国有林场应当在每年10月组织开展本辖区保护发展森林资源目标责任制执行情况考核自查工作，并于10月底前将自查报告及各项考核指标数据材料报送区林业局，区级检查核实应当在11月底完成并形成考核结果，报区人民政府审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第九条 </w:t>
      </w:r>
      <w:r>
        <w:rPr>
          <w:rFonts w:ascii="Times New Roman" w:hAnsi="Times New Roman" w:eastAsia="仿宋_GB2312" w:cs="Times New Roman"/>
          <w:sz w:val="32"/>
          <w:szCs w:val="32"/>
        </w:rPr>
        <w:t xml:space="preserve"> 考核结果经区人民政府审定后在全区公开通报，对考核结果为“优秀”的，给予通报表扬；对考核结果为“不合格”的，进行通报批评，责令整改。连续三年考核“不合格”，森林资源保护不力，导致森林资源遭受严重破坏，生态环境受到严重损害的镇、场，依照《党政干部生态环境损害责任追究办法（试行）》的规定，对相关人员进行严肃问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考核工作应当公平公正、实事求是。对在考核中弄虚作假、虚报瞒报的，予以通报批评；对违反规定造成考核结果失真的，视情节轻重，由所在单位或纪检监察部门对相关人员进行问责处理。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eastAsia="zh-CN"/>
        </w:rPr>
        <w:t>一</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本办法</w:t>
      </w:r>
      <w:r>
        <w:rPr>
          <w:rFonts w:hint="eastAsia" w:ascii="Times New Roman" w:hAnsi="Times New Roman" w:eastAsia="仿宋_GB2312" w:cs="Times New Roman"/>
          <w:sz w:val="32"/>
          <w:szCs w:val="32"/>
          <w:lang w:eastAsia="zh-CN"/>
        </w:rPr>
        <w:t>自印发之日</w:t>
      </w:r>
      <w:r>
        <w:rPr>
          <w:rFonts w:ascii="Times New Roman" w:hAnsi="Times New Roman" w:eastAsia="仿宋_GB2312" w:cs="Times New Roman"/>
          <w:sz w:val="32"/>
          <w:szCs w:val="32"/>
        </w:rPr>
        <w:t>起施行。</w:t>
      </w:r>
    </w:p>
    <w:p>
      <w:pPr>
        <w:pStyle w:val="2"/>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sz w:val="32"/>
          <w:szCs w:val="32"/>
        </w:rPr>
      </w:pPr>
      <w:r>
        <w:rPr>
          <w:rFonts w:ascii="Times New Roman" w:hAnsi="仿宋_GB2312" w:eastAsia="仿宋_GB2312" w:cs="Times New Roman"/>
          <w:sz w:val="32"/>
          <w:szCs w:val="32"/>
        </w:rPr>
        <w:t>附件：</w:t>
      </w:r>
      <w:r>
        <w:rPr>
          <w:rFonts w:ascii="Times New Roman" w:hAnsi="Times New Roman" w:eastAsia="仿宋_GB2312" w:cs="Times New Roman"/>
          <w:sz w:val="32"/>
          <w:szCs w:val="32"/>
        </w:rPr>
        <w:t>1.</w:t>
      </w:r>
      <w:r>
        <w:rPr>
          <w:rFonts w:ascii="Times New Roman" w:hAnsi="仿宋_GB2312" w:eastAsia="仿宋_GB2312" w:cs="Times New Roman"/>
          <w:sz w:val="32"/>
          <w:szCs w:val="32"/>
        </w:rPr>
        <w:t>柳州市保护发展森林资源目标责任制考核指标体系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imes New Roman" w:hAnsi="Times New Roman" w:eastAsia="仿宋_GB2312" w:cs="Times New Roman"/>
          <w:spacing w:val="-4"/>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w:t>
      </w:r>
      <w:r>
        <w:rPr>
          <w:rFonts w:ascii="Times New Roman" w:hAnsi="仿宋_GB2312" w:eastAsia="仿宋_GB2312" w:cs="Times New Roman"/>
          <w:spacing w:val="-4"/>
          <w:sz w:val="32"/>
          <w:szCs w:val="32"/>
        </w:rPr>
        <w:t>柳江区保护发展森林资源目标责任制检查考评细则</w:t>
      </w: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r>
        <w:rPr>
          <w:rFonts w:hint="eastAsia" w:ascii="黑体" w:hAnsi="黑体" w:eastAsia="黑体" w:cs="仿宋_GB2312"/>
          <w:sz w:val="32"/>
          <w:szCs w:val="32"/>
        </w:rPr>
        <w:t>附件1</w:t>
      </w:r>
    </w:p>
    <w:p>
      <w:pPr>
        <w:spacing w:line="560" w:lineRule="exact"/>
        <w:jc w:val="center"/>
        <w:rPr>
          <w:rFonts w:ascii="方正小标宋简体" w:hAnsi="宋体" w:eastAsia="方正小标宋简体"/>
          <w:bCs/>
          <w:sz w:val="36"/>
          <w:szCs w:val="36"/>
        </w:rPr>
      </w:pPr>
      <w:r>
        <w:rPr>
          <w:rFonts w:hint="eastAsia" w:ascii="方正小标宋简体" w:hAnsi="宋体" w:eastAsia="方正小标宋简体"/>
          <w:bCs/>
          <w:sz w:val="36"/>
          <w:szCs w:val="36"/>
        </w:rPr>
        <w:t>柳州市保护发展森林资源目标责任制考核指标体系</w:t>
      </w:r>
    </w:p>
    <w:tbl>
      <w:tblPr>
        <w:tblStyle w:val="12"/>
        <w:tblW w:w="9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36"/>
        <w:gridCol w:w="5534"/>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rPr>
                <w:rFonts w:ascii="黑体" w:hAnsi="宋体" w:eastAsia="黑体"/>
                <w:sz w:val="24"/>
              </w:rPr>
            </w:pPr>
            <w:r>
              <w:rPr>
                <w:rFonts w:hint="eastAsia" w:ascii="黑体" w:hAnsi="宋体" w:eastAsia="黑体"/>
                <w:sz w:val="24"/>
              </w:rPr>
              <w:t>一级指标</w:t>
            </w:r>
          </w:p>
        </w:tc>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sz w:val="24"/>
              </w:rPr>
            </w:pPr>
            <w:r>
              <w:rPr>
                <w:rFonts w:hint="eastAsia" w:ascii="黑体" w:hAnsi="宋体" w:eastAsia="黑体"/>
                <w:sz w:val="24"/>
              </w:rPr>
              <w:t>分值</w:t>
            </w:r>
          </w:p>
        </w:tc>
        <w:tc>
          <w:tcPr>
            <w:tcW w:w="55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sz w:val="24"/>
              </w:rPr>
            </w:pPr>
            <w:r>
              <w:rPr>
                <w:rFonts w:hint="eastAsia" w:ascii="黑体" w:hAnsi="宋体" w:eastAsia="黑体"/>
                <w:sz w:val="24"/>
              </w:rPr>
              <w:t>二级指标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sz w:val="24"/>
              </w:rPr>
            </w:pPr>
            <w:r>
              <w:rPr>
                <w:rFonts w:hint="eastAsia" w:ascii="黑体" w:hAnsi="宋体" w:eastAsia="黑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一、保护发展森林资源目标责任制建立和落实情况</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1、责任制建立情况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2、责任制组织实施和检查考核情况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3、检查考核结果运用情况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二、森林资源总体状况</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12</w:t>
            </w: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4、森林覆盖率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5、森林蓄积量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6、林地保有量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三、森林资源培育情况</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7、植树造林完成率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8、重点营造林工程完成率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四、森林资源保护管理情况</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26</w:t>
            </w: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9、采伐限额使用率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10、凭证采伐率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11、征占用林地项目审核（审批）率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12、征占用林地面积审核（审批）率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13、到期临时占用林地面积回收率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14、天然林面积保有量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r>
              <w:rPr>
                <w:rFonts w:hint="eastAsia" w:ascii="宋体" w:hAnsi="宋体"/>
              </w:rPr>
              <w:t>15、天然商品林停止商业性采伐协议签订率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16、生态公益林面积保有量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17、生态公益林管护协议签订率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18、生态公益林、天然林保护管理情况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19、乡镇林业机构专业技术人员比例</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20、乡镇林业机构人员业务培训和廉政教育情况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21、乡镇林业机构设施设备保障情况和资源档案数据信息化管理情况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22、国有林场经营林地保有率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23、国有林场森林资源监管情况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五、生物多样性保护情况</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12</w:t>
            </w: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24、野生动植物保护和自然保护区建设管理工作落实情况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25、野生动植物保护和自然保护区机制落实情况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26、野生动植物保护和自然保护区建设经费落实情况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27、生物多样性地方主体责任落实情况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28、野生动植物疫源疫病监测工作完成情况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29、湿地保护情况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六、森林防火情况</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10</w:t>
            </w: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30、森林火灾受害率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31、森林防火重点工作完成情况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32、森林火灾信息报送情况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33、森林防火综合治理等项目及生物防火林带建设情况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34、森林防火基础设施设备维护情况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七、林业有害生物防治情况</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35、林业有害生物成灾率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36、无公害防治率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37、松材线虫病、薇甘菊的疫情监测和除治情况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八、林业资金使用情况</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38、森林生态效益补偿资金支出兑付率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39、天然林管护资金兑付率</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40、林业资金管理职责履职情况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九、破坏森林资源案件查处情况</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41、林业行政案件和刑事案件立案情况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42、案件查处和整改情况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43、森林公安单警装备配备情况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合  计</w:t>
            </w:r>
          </w:p>
        </w:tc>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100</w:t>
            </w:r>
          </w:p>
        </w:tc>
        <w:tc>
          <w:tcPr>
            <w:tcW w:w="55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100</w:t>
            </w:r>
          </w:p>
        </w:tc>
      </w:tr>
    </w:tbl>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rPr>
          <w:rFonts w:ascii="黑体" w:hAnsi="黑体" w:eastAsia="黑体"/>
          <w:sz w:val="32"/>
          <w:szCs w:val="32"/>
        </w:rPr>
      </w:pPr>
      <w:r>
        <w:rPr>
          <w:rFonts w:hint="eastAsia" w:ascii="黑体" w:hAnsi="黑体" w:eastAsia="黑体"/>
          <w:sz w:val="32"/>
          <w:szCs w:val="32"/>
        </w:rPr>
        <w:t>附件2</w:t>
      </w:r>
    </w:p>
    <w:p>
      <w:pPr>
        <w:pStyle w:val="2"/>
        <w:ind w:firstLine="562"/>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Style w:val="9"/>
          <w:rFonts w:ascii="方正小标宋简体" w:hAnsi="楷体" w:eastAsia="方正小标宋简体" w:cs="楷体"/>
          <w:b w:val="0"/>
          <w:color w:val="000000"/>
          <w:sz w:val="44"/>
          <w:szCs w:val="44"/>
        </w:rPr>
      </w:pPr>
      <w:r>
        <w:rPr>
          <w:rStyle w:val="9"/>
          <w:rFonts w:hint="eastAsia" w:ascii="方正小标宋简体" w:hAnsi="楷体" w:eastAsia="方正小标宋简体" w:cs="楷体"/>
          <w:b w:val="0"/>
          <w:color w:val="000000"/>
          <w:sz w:val="44"/>
          <w:szCs w:val="44"/>
        </w:rPr>
        <w:t>柳江区保护发展森林资源目标责任制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Style w:val="9"/>
          <w:rFonts w:ascii="方正小标宋简体" w:hAnsi="楷体" w:eastAsia="方正小标宋简体" w:cs="楷体"/>
          <w:b w:val="0"/>
          <w:color w:val="000000"/>
          <w:sz w:val="44"/>
          <w:szCs w:val="44"/>
        </w:rPr>
      </w:pPr>
      <w:r>
        <w:rPr>
          <w:rStyle w:val="9"/>
          <w:rFonts w:hint="eastAsia" w:ascii="方正小标宋简体" w:hAnsi="楷体" w:eastAsia="方正小标宋简体" w:cs="楷体"/>
          <w:b w:val="0"/>
          <w:color w:val="000000"/>
          <w:sz w:val="44"/>
          <w:szCs w:val="44"/>
        </w:rPr>
        <w:t>检查考评细则</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楷体_GB2312" w:hAnsi="楷体" w:eastAsia="楷体_GB2312" w:cs="楷体"/>
          <w:bCs/>
          <w:color w:val="000000"/>
          <w:spacing w:val="-4"/>
          <w:sz w:val="32"/>
          <w:szCs w:val="32"/>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Style w:val="9"/>
          <w:rFonts w:ascii="黑体" w:hAnsi="黑体" w:eastAsia="黑体"/>
          <w:b w:val="0"/>
          <w:color w:val="000000"/>
          <w:sz w:val="32"/>
          <w:szCs w:val="32"/>
        </w:rPr>
      </w:pPr>
      <w:r>
        <w:rPr>
          <w:rStyle w:val="9"/>
          <w:rFonts w:ascii="黑体" w:hAnsi="黑体" w:eastAsia="黑体"/>
          <w:b w:val="0"/>
          <w:color w:val="000000"/>
          <w:sz w:val="32"/>
          <w:szCs w:val="32"/>
        </w:rPr>
        <w:t>第一条 检查目的</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pacing w:val="-4"/>
          <w:sz w:val="32"/>
          <w:szCs w:val="32"/>
        </w:rPr>
      </w:pPr>
      <w:r>
        <w:rPr>
          <w:rFonts w:ascii="Times New Roman" w:hAnsi="仿宋_GB2312" w:eastAsia="仿宋_GB2312" w:cs="Times New Roman"/>
          <w:color w:val="000000"/>
          <w:sz w:val="32"/>
          <w:szCs w:val="32"/>
        </w:rPr>
        <w:t>为全面掌握和客观评价各镇人民政府、国有林场建立和落实</w:t>
      </w:r>
      <w:r>
        <w:rPr>
          <w:rFonts w:ascii="Times New Roman" w:hAnsi="Times New Roman" w:eastAsia="仿宋_GB2312" w:cs="Times New Roman"/>
          <w:color w:val="000000"/>
          <w:spacing w:val="-4"/>
          <w:sz w:val="32"/>
          <w:szCs w:val="32"/>
        </w:rPr>
        <w:t>保护发展森林资源目标责任制（以下简称目标责任制）</w:t>
      </w:r>
      <w:r>
        <w:rPr>
          <w:rFonts w:ascii="Times New Roman" w:hAnsi="仿宋_GB2312" w:eastAsia="仿宋_GB2312" w:cs="Times New Roman"/>
          <w:color w:val="000000"/>
          <w:sz w:val="32"/>
          <w:szCs w:val="32"/>
        </w:rPr>
        <w:t>执行情况，</w:t>
      </w:r>
      <w:r>
        <w:rPr>
          <w:rFonts w:ascii="Times New Roman" w:hAnsi="Times New Roman" w:eastAsia="仿宋_GB2312" w:cs="Times New Roman"/>
          <w:color w:val="000000"/>
          <w:spacing w:val="-4"/>
          <w:sz w:val="32"/>
          <w:szCs w:val="32"/>
        </w:rPr>
        <w:t>根据</w:t>
      </w:r>
      <w:r>
        <w:rPr>
          <w:rFonts w:ascii="Times New Roman" w:hAnsi="仿宋_GB2312" w:eastAsia="仿宋_GB2312" w:cs="Times New Roman"/>
          <w:color w:val="000000"/>
          <w:sz w:val="32"/>
          <w:szCs w:val="32"/>
        </w:rPr>
        <w:t>《柳江区保护发展森林资源目标责任制考核办法》（以下简称《考核办法》）的规定，特制定本考评细则。</w:t>
      </w:r>
      <w:r>
        <w:rPr>
          <w:rFonts w:ascii="Times New Roman" w:hAnsi="Times New Roman" w:eastAsia="仿宋_GB2312" w:cs="Times New Roman"/>
          <w:color w:val="000000"/>
          <w:spacing w:val="-4"/>
          <w:sz w:val="32"/>
          <w:szCs w:val="32"/>
        </w:rPr>
        <w:t xml:space="preserve">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Style w:val="9"/>
          <w:rFonts w:ascii="黑体" w:hAnsi="黑体" w:eastAsia="黑体"/>
          <w:b w:val="0"/>
          <w:color w:val="000000"/>
          <w:sz w:val="32"/>
          <w:szCs w:val="32"/>
        </w:rPr>
      </w:pPr>
      <w:r>
        <w:rPr>
          <w:rStyle w:val="9"/>
          <w:rFonts w:ascii="黑体" w:hAnsi="黑体" w:eastAsia="黑体"/>
          <w:b w:val="0"/>
          <w:color w:val="000000"/>
          <w:sz w:val="32"/>
          <w:szCs w:val="32"/>
        </w:rPr>
        <w:t>第二条 检查机构</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eastAsia="仿宋_GB2312"/>
          <w:color w:val="000000"/>
          <w:sz w:val="32"/>
          <w:szCs w:val="32"/>
        </w:rPr>
      </w:pPr>
      <w:r>
        <w:rPr>
          <w:rFonts w:ascii="Times New Roman" w:hAnsi="Times New Roman" w:eastAsia="仿宋_GB2312" w:cs="Times New Roman"/>
          <w:color w:val="000000"/>
          <w:sz w:val="32"/>
          <w:szCs w:val="32"/>
        </w:rPr>
        <w:t>区林业局负责牵头组织有关部门对各镇人民政府、国有林场保护发展森林资源目标责任制执行情况进行检查考评。</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Style w:val="9"/>
          <w:rFonts w:ascii="黑体" w:hAnsi="黑体" w:eastAsia="黑体"/>
          <w:b w:val="0"/>
          <w:color w:val="000000"/>
          <w:sz w:val="32"/>
          <w:szCs w:val="32"/>
        </w:rPr>
      </w:pPr>
      <w:r>
        <w:rPr>
          <w:rStyle w:val="9"/>
          <w:rFonts w:ascii="黑体" w:hAnsi="黑体" w:eastAsia="黑体"/>
          <w:b w:val="0"/>
          <w:color w:val="000000"/>
          <w:sz w:val="32"/>
          <w:szCs w:val="32"/>
        </w:rPr>
        <w:t>第三条 检查对象</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检查考评对象为各镇人民政府、国有林场。</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Style w:val="9"/>
          <w:rFonts w:ascii="黑体" w:hAnsi="黑体" w:eastAsia="黑体"/>
          <w:b w:val="0"/>
          <w:color w:val="000000"/>
          <w:sz w:val="32"/>
          <w:szCs w:val="32"/>
        </w:rPr>
      </w:pPr>
      <w:r>
        <w:rPr>
          <w:rStyle w:val="9"/>
          <w:rFonts w:ascii="黑体" w:hAnsi="黑体" w:eastAsia="黑体"/>
          <w:b w:val="0"/>
          <w:color w:val="000000"/>
          <w:sz w:val="32"/>
          <w:szCs w:val="32"/>
        </w:rPr>
        <w:t>第四条 检查内容</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检查内容为《考核办法》中的9个方面考核内容、43项考核指标。由于森林蓄积量监测需要布设大量的监测样地才能保证监测结果的精度，工作量大且监测方法复杂，目前尚未能做到年度出数，因此，2018年暂不考核。该项考核指标的分值平均分配到第14-17项考核指标，每项考核指标1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Style w:val="9"/>
          <w:rFonts w:ascii="黑体" w:hAnsi="黑体" w:eastAsia="黑体"/>
          <w:b w:val="0"/>
          <w:color w:val="000000"/>
          <w:sz w:val="32"/>
          <w:szCs w:val="32"/>
        </w:rPr>
      </w:pPr>
      <w:r>
        <w:rPr>
          <w:rStyle w:val="9"/>
          <w:rFonts w:ascii="黑体" w:hAnsi="黑体" w:eastAsia="黑体"/>
          <w:b w:val="0"/>
          <w:color w:val="000000"/>
          <w:sz w:val="32"/>
          <w:szCs w:val="32"/>
        </w:rPr>
        <w:t>第五条 评分标准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ascii="Times New Roman" w:hAnsi="Times New Roman" w:eastAsia="仿宋_GB2312" w:cs="Times New Roman"/>
          <w:color w:val="000000"/>
          <w:spacing w:val="-4"/>
          <w:sz w:val="32"/>
          <w:szCs w:val="32"/>
        </w:rPr>
      </w:pPr>
      <w:r>
        <w:rPr>
          <w:rFonts w:ascii="Times New Roman" w:hAnsi="Times New Roman" w:eastAsia="仿宋_GB2312" w:cs="Times New Roman"/>
          <w:color w:val="000000"/>
          <w:spacing w:val="-4"/>
          <w:sz w:val="32"/>
          <w:szCs w:val="32"/>
        </w:rPr>
        <w:t>评分标准详见</w:t>
      </w:r>
      <w:r>
        <w:rPr>
          <w:rFonts w:ascii="Times New Roman" w:hAnsi="仿宋_GB2312" w:eastAsia="仿宋_GB2312" w:cs="Times New Roman"/>
          <w:color w:val="000000"/>
          <w:spacing w:val="-4"/>
          <w:sz w:val="32"/>
          <w:szCs w:val="32"/>
        </w:rPr>
        <w:t>《目标责任制各项考核指标评分标准》（附件</w:t>
      </w:r>
      <w:r>
        <w:rPr>
          <w:rFonts w:ascii="Times New Roman" w:hAnsi="Times New Roman" w:eastAsia="仿宋_GB2312" w:cs="Times New Roman"/>
          <w:color w:val="000000"/>
          <w:spacing w:val="-4"/>
          <w:sz w:val="32"/>
          <w:szCs w:val="32"/>
        </w:rPr>
        <w:t>1</w:t>
      </w:r>
      <w:r>
        <w:rPr>
          <w:rFonts w:ascii="Times New Roman" w:hAnsi="仿宋_GB2312" w:eastAsia="仿宋_GB2312" w:cs="Times New Roman"/>
          <w:color w:val="000000"/>
          <w:spacing w:val="-4"/>
          <w:sz w:val="32"/>
          <w:szCs w:val="32"/>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Style w:val="9"/>
          <w:rFonts w:ascii="黑体" w:hAnsi="黑体" w:eastAsia="黑体"/>
          <w:b w:val="0"/>
          <w:color w:val="000000"/>
          <w:sz w:val="32"/>
          <w:szCs w:val="32"/>
        </w:rPr>
      </w:pPr>
      <w:r>
        <w:rPr>
          <w:rStyle w:val="9"/>
          <w:rFonts w:ascii="黑体" w:hAnsi="黑体" w:eastAsia="黑体"/>
          <w:b w:val="0"/>
          <w:color w:val="000000"/>
          <w:sz w:val="32"/>
          <w:szCs w:val="32"/>
        </w:rPr>
        <w:t>第六条 检查方式</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楷体" w:hAnsi="楷体" w:eastAsia="楷体" w:cs="Times New Roman"/>
          <w:color w:val="000000"/>
          <w:sz w:val="32"/>
          <w:szCs w:val="32"/>
        </w:rPr>
      </w:pPr>
      <w:r>
        <w:rPr>
          <w:rFonts w:ascii="楷体" w:hAnsi="楷体" w:eastAsia="楷体" w:cs="Times New Roman"/>
          <w:color w:val="000000"/>
          <w:sz w:val="32"/>
          <w:szCs w:val="32"/>
        </w:rPr>
        <w:t>（一）镇、场自查</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镇人民政府、国有林场于每年10月组织有关单位对年度目标责任制执行情况进行自查自评，形成年度目标责任制执行情况自查报告，填报目标责任制执行情况考核指标评分表和加分指标评分表（附表1、附表2），于10月底将自查报告上报区人民政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楷体" w:hAnsi="楷体" w:eastAsia="楷体" w:cs="Times New Roman"/>
          <w:color w:val="000000"/>
          <w:sz w:val="32"/>
          <w:szCs w:val="32"/>
        </w:rPr>
      </w:pPr>
      <w:r>
        <w:rPr>
          <w:rFonts w:ascii="楷体" w:hAnsi="楷体" w:eastAsia="楷体" w:cs="Times New Roman"/>
          <w:color w:val="000000"/>
          <w:sz w:val="32"/>
          <w:szCs w:val="32"/>
        </w:rPr>
        <w:t>（二）区级考评</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区林业局牵关组织相关部门，于每年11月完成对所辖镇、场进行检查考评，汇总形成本区目标责任制执行情况自查报告报区政府审定，于11月底将检查报告和《目标责任制执行情况县（区）级检查评分汇总表》（附表3）及所辖镇、场自查报告报柳州市林业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Style w:val="9"/>
          <w:rFonts w:ascii="黑体" w:hAnsi="黑体" w:eastAsia="黑体"/>
          <w:b w:val="0"/>
          <w:color w:val="000000"/>
          <w:sz w:val="32"/>
          <w:szCs w:val="32"/>
        </w:rPr>
      </w:pPr>
      <w:bookmarkStart w:id="0" w:name="OLE_LINK1"/>
      <w:r>
        <w:rPr>
          <w:rStyle w:val="9"/>
          <w:rFonts w:ascii="黑体" w:hAnsi="黑体" w:eastAsia="黑体"/>
          <w:b w:val="0"/>
          <w:color w:val="000000"/>
          <w:sz w:val="32"/>
          <w:szCs w:val="32"/>
        </w:rPr>
        <w:t>第七条 县（区）级考评方法</w:t>
      </w:r>
    </w:p>
    <w:bookmarkEnd w:id="0"/>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主要采取听取汇报、查阅资料、现地检查和社会调查相结合的方法进行。</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楷体" w:hAnsi="楷体" w:eastAsia="楷体" w:cs="Times New Roman"/>
          <w:color w:val="000000"/>
          <w:sz w:val="32"/>
          <w:szCs w:val="32"/>
        </w:rPr>
        <w:t>（一）听取汇报。</w:t>
      </w:r>
      <w:r>
        <w:rPr>
          <w:rFonts w:ascii="Times New Roman" w:hAnsi="Times New Roman" w:eastAsia="仿宋_GB2312" w:cs="Times New Roman"/>
          <w:color w:val="000000"/>
          <w:sz w:val="32"/>
          <w:szCs w:val="32"/>
        </w:rPr>
        <w:t>召开座谈会，听取镇、场责任制建立与执行情况汇报。</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楷体" w:hAnsi="楷体" w:eastAsia="楷体" w:cs="Times New Roman"/>
          <w:color w:val="000000"/>
          <w:sz w:val="32"/>
          <w:szCs w:val="32"/>
        </w:rPr>
        <w:t>（二）查阅资料。</w:t>
      </w:r>
      <w:r>
        <w:rPr>
          <w:rFonts w:ascii="Times New Roman" w:hAnsi="Times New Roman" w:eastAsia="仿宋_GB2312" w:cs="Times New Roman"/>
          <w:color w:val="000000"/>
          <w:sz w:val="32"/>
          <w:szCs w:val="32"/>
        </w:rPr>
        <w:t>收集并查阅镇、场在责任制建立方面下发的有关文件及各项考核指标需要查阅的相关资料，综合了解责任制建设及实施情况。</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楷体" w:hAnsi="楷体" w:eastAsia="楷体" w:cs="Times New Roman"/>
          <w:color w:val="000000"/>
          <w:sz w:val="32"/>
          <w:szCs w:val="32"/>
        </w:rPr>
        <w:t>（三）现地检查。</w:t>
      </w:r>
      <w:r>
        <w:rPr>
          <w:rFonts w:ascii="Times New Roman" w:hAnsi="Times New Roman" w:eastAsia="仿宋_GB2312" w:cs="Times New Roman"/>
          <w:color w:val="000000"/>
          <w:sz w:val="32"/>
          <w:szCs w:val="32"/>
        </w:rPr>
        <w:t>需要现地检查的考核指标，按照各项考核指标的检查考评方法实施现地检查。</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楷体" w:hAnsi="楷体" w:eastAsia="楷体" w:cs="Times New Roman"/>
          <w:color w:val="000000"/>
          <w:sz w:val="32"/>
          <w:szCs w:val="32"/>
        </w:rPr>
        <w:t>（四）社会调查。</w:t>
      </w:r>
      <w:r>
        <w:rPr>
          <w:rFonts w:ascii="Times New Roman" w:hAnsi="Times New Roman" w:eastAsia="仿宋_GB2312" w:cs="Times New Roman"/>
          <w:color w:val="000000"/>
          <w:sz w:val="32"/>
          <w:szCs w:val="32"/>
        </w:rPr>
        <w:t>可根据实际需要，分别到林业、发改、财政、环保、信访、公安等相关部门及村组或农户等进行调查座谈，查阅有关资料等，了解目标责任制工作任务和目标完成、资金到位使用、制度完善、工作质量和效率等方面的情况以及收集扣分情形材料。</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仿宋_GB2312" w:eastAsia="仿宋_GB2312" w:cs="Times New Roman"/>
          <w:color w:val="000000"/>
          <w:sz w:val="32"/>
          <w:szCs w:val="32"/>
        </w:rPr>
        <w:t>各项考核指标的具体检查考评方法详见附件</w:t>
      </w:r>
      <w:r>
        <w:rPr>
          <w:rFonts w:ascii="Times New Roman" w:hAnsi="Times New Roman" w:eastAsia="仿宋_GB2312" w:cs="Times New Roman"/>
          <w:color w:val="000000"/>
          <w:sz w:val="32"/>
          <w:szCs w:val="32"/>
        </w:rPr>
        <w:t>2</w:t>
      </w:r>
      <w:r>
        <w:rPr>
          <w:rFonts w:ascii="Times New Roman" w:hAnsi="仿宋_GB2312" w:eastAsia="仿宋_GB2312" w:cs="Times New Roman"/>
          <w:color w:val="000000"/>
          <w:sz w:val="32"/>
          <w:szCs w:val="32"/>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Style w:val="9"/>
          <w:rFonts w:ascii="黑体" w:hAnsi="黑体" w:eastAsia="黑体"/>
          <w:b w:val="0"/>
          <w:color w:val="000000"/>
          <w:sz w:val="32"/>
          <w:szCs w:val="32"/>
        </w:rPr>
      </w:pPr>
      <w:r>
        <w:rPr>
          <w:rStyle w:val="9"/>
          <w:rFonts w:ascii="黑体" w:hAnsi="黑体" w:eastAsia="黑体"/>
          <w:b w:val="0"/>
          <w:color w:val="000000"/>
          <w:sz w:val="32"/>
          <w:szCs w:val="32"/>
        </w:rPr>
        <w:t>第八条 检查程序、时间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ascii="Times New Roman" w:hAnsi="Times New Roman" w:eastAsia="仿宋_GB2312" w:cs="Times New Roman"/>
          <w:color w:val="000000"/>
          <w:sz w:val="32"/>
          <w:szCs w:val="32"/>
        </w:rPr>
      </w:pPr>
      <w:r>
        <w:rPr>
          <w:rStyle w:val="9"/>
          <w:rFonts w:hint="eastAsia" w:ascii="仿宋_GB2312" w:hAnsi="楷体" w:eastAsia="仿宋_GB2312"/>
          <w:b w:val="0"/>
          <w:color w:val="000000"/>
          <w:sz w:val="32"/>
          <w:szCs w:val="32"/>
        </w:rPr>
        <w:t>（一）告知。</w:t>
      </w:r>
      <w:r>
        <w:rPr>
          <w:rStyle w:val="9"/>
          <w:rFonts w:eastAsia="仿宋_GB2312"/>
          <w:b w:val="0"/>
          <w:color w:val="000000"/>
          <w:sz w:val="32"/>
          <w:szCs w:val="32"/>
        </w:rPr>
        <w:t>区林业局在每年9月中下旬，</w:t>
      </w:r>
      <w:r>
        <w:rPr>
          <w:rFonts w:ascii="Times New Roman" w:hAnsi="仿宋_GB2312" w:eastAsia="仿宋_GB2312" w:cs="Times New Roman"/>
          <w:color w:val="000000"/>
          <w:sz w:val="32"/>
          <w:szCs w:val="32"/>
        </w:rPr>
        <w:t>下发正式通知告知各镇、场，组织开展检查考评工作。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ascii="Times New Roman" w:hAnsi="Times New Roman" w:eastAsia="仿宋_GB2312" w:cs="Times New Roman"/>
          <w:b/>
          <w:color w:val="000000"/>
        </w:rPr>
      </w:pPr>
      <w:r>
        <w:rPr>
          <w:rFonts w:ascii="Times New Roman" w:hAnsi="仿宋_GB2312" w:eastAsia="仿宋_GB2312" w:cs="Times New Roman"/>
          <w:color w:val="000000"/>
          <w:sz w:val="32"/>
          <w:szCs w:val="32"/>
        </w:rPr>
        <w:t>（二）各镇、场于</w:t>
      </w:r>
      <w:r>
        <w:rPr>
          <w:rFonts w:ascii="Times New Roman" w:hAnsi="Times New Roman" w:eastAsia="仿宋_GB2312" w:cs="Times New Roman"/>
          <w:color w:val="000000"/>
          <w:sz w:val="32"/>
          <w:szCs w:val="32"/>
        </w:rPr>
        <w:t>10</w:t>
      </w:r>
      <w:r>
        <w:rPr>
          <w:rFonts w:ascii="Times New Roman" w:hAnsi="仿宋_GB2312" w:eastAsia="仿宋_GB2312" w:cs="Times New Roman"/>
          <w:color w:val="000000"/>
          <w:sz w:val="32"/>
          <w:szCs w:val="32"/>
        </w:rPr>
        <w:t>月组织开展自查，并最迟于</w:t>
      </w:r>
      <w:r>
        <w:rPr>
          <w:rFonts w:ascii="Times New Roman" w:hAnsi="Times New Roman" w:eastAsia="仿宋_GB2312" w:cs="Times New Roman"/>
          <w:color w:val="000000"/>
          <w:sz w:val="32"/>
          <w:szCs w:val="32"/>
        </w:rPr>
        <w:t>10</w:t>
      </w:r>
      <w:r>
        <w:rPr>
          <w:rFonts w:ascii="Times New Roman" w:hAnsi="仿宋_GB2312" w:eastAsia="仿宋_GB2312" w:cs="Times New Roman"/>
          <w:color w:val="000000"/>
          <w:sz w:val="32"/>
          <w:szCs w:val="32"/>
        </w:rPr>
        <w:t>月底将自查报告报区人民政府并抄送区林业局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ascii="Times New Roman" w:hAnsi="Times New Roman" w:eastAsia="仿宋_GB2312" w:cs="Times New Roman"/>
          <w:color w:val="000000"/>
          <w:sz w:val="32"/>
          <w:szCs w:val="32"/>
        </w:rPr>
      </w:pPr>
      <w:r>
        <w:rPr>
          <w:rStyle w:val="9"/>
          <w:rFonts w:eastAsia="仿宋_GB2312"/>
          <w:b w:val="0"/>
          <w:color w:val="000000"/>
          <w:sz w:val="32"/>
          <w:szCs w:val="32"/>
        </w:rPr>
        <w:t>（三）区级检查。区林业局</w:t>
      </w:r>
      <w:r>
        <w:rPr>
          <w:rFonts w:ascii="Times New Roman" w:hAnsi="仿宋_GB2312" w:eastAsia="仿宋_GB2312" w:cs="Times New Roman"/>
          <w:color w:val="000000"/>
          <w:sz w:val="32"/>
          <w:szCs w:val="32"/>
        </w:rPr>
        <w:t>组织检查组按照本考评细则对镇、场目标责任制执行情况进行检查考评，并于</w:t>
      </w:r>
      <w:r>
        <w:rPr>
          <w:rFonts w:ascii="Times New Roman" w:hAnsi="Times New Roman" w:eastAsia="仿宋_GB2312" w:cs="Times New Roman"/>
          <w:color w:val="000000"/>
          <w:sz w:val="32"/>
          <w:szCs w:val="32"/>
        </w:rPr>
        <w:t>11</w:t>
      </w:r>
      <w:r>
        <w:rPr>
          <w:rFonts w:ascii="Times New Roman" w:hAnsi="仿宋_GB2312" w:eastAsia="仿宋_GB2312" w:cs="Times New Roman"/>
          <w:color w:val="000000"/>
          <w:sz w:val="32"/>
          <w:szCs w:val="32"/>
        </w:rPr>
        <w:t>月</w:t>
      </w:r>
      <w:r>
        <w:rPr>
          <w:rFonts w:ascii="Times New Roman" w:hAnsi="Times New Roman" w:eastAsia="仿宋_GB2312" w:cs="Times New Roman"/>
          <w:color w:val="000000"/>
          <w:sz w:val="32"/>
          <w:szCs w:val="32"/>
        </w:rPr>
        <w:t>30</w:t>
      </w:r>
      <w:r>
        <w:rPr>
          <w:rFonts w:ascii="Times New Roman" w:hAnsi="仿宋_GB2312" w:eastAsia="仿宋_GB2312" w:cs="Times New Roman"/>
          <w:color w:val="000000"/>
          <w:sz w:val="32"/>
          <w:szCs w:val="32"/>
        </w:rPr>
        <w:t>前形成报告报区政府审定。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Style w:val="9"/>
          <w:rFonts w:ascii="黑体" w:hAnsi="黑体" w:eastAsia="黑体"/>
          <w:b w:val="0"/>
          <w:color w:val="000000"/>
          <w:sz w:val="32"/>
          <w:szCs w:val="32"/>
        </w:rPr>
      </w:pPr>
      <w:r>
        <w:rPr>
          <w:rStyle w:val="9"/>
          <w:rFonts w:ascii="黑体" w:hAnsi="黑体" w:eastAsia="黑体"/>
          <w:b w:val="0"/>
          <w:color w:val="000000"/>
          <w:sz w:val="32"/>
          <w:szCs w:val="32"/>
        </w:rPr>
        <w:t>第九条 加分及“不合格”等级情形规定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楷体" w:hAnsi="楷体" w:eastAsia="楷体" w:cs="Times New Roman"/>
          <w:color w:val="000000"/>
          <w:sz w:val="32"/>
          <w:szCs w:val="32"/>
        </w:rPr>
      </w:pPr>
      <w:r>
        <w:rPr>
          <w:rFonts w:ascii="楷体" w:hAnsi="楷体" w:eastAsia="楷体" w:cs="Times New Roman"/>
          <w:color w:val="000000"/>
          <w:sz w:val="32"/>
          <w:szCs w:val="32"/>
        </w:rPr>
        <w:t>（一）加分指标及评分标准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实施目标责任制过程中，为体现“创优争先”，针对以下8项重要的指标设置了加分：包括重点营造林工程任务完成率、占用征收林地面积审核（审批）率、天然商品林停止商业性采伐协议签订率、天然林管护资金兑现率、国有林场被侵占林地回收、自然保护区数量、湿地保护地数量和森林防火工作，加分值为10分。各加分项的评分标准详见附件3。</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楷体" w:hAnsi="楷体" w:eastAsia="楷体" w:cs="Times New Roman"/>
          <w:color w:val="000000"/>
          <w:sz w:val="32"/>
          <w:szCs w:val="32"/>
        </w:rPr>
      </w:pPr>
      <w:r>
        <w:rPr>
          <w:rFonts w:ascii="楷体" w:hAnsi="楷体" w:eastAsia="楷体" w:cs="Times New Roman"/>
          <w:color w:val="000000"/>
          <w:sz w:val="32"/>
          <w:szCs w:val="32"/>
        </w:rPr>
        <w:t>（二）“不合格”等级情形</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仿宋_GB2312" w:eastAsia="仿宋_GB2312" w:cs="Times New Roman"/>
          <w:color w:val="000000"/>
          <w:sz w:val="32"/>
          <w:szCs w:val="32"/>
        </w:rPr>
        <w:t>有下列情形的，直接评定为</w:t>
      </w:r>
      <w:r>
        <w:rPr>
          <w:rFonts w:ascii="Times New Roman" w:hAnsi="Times New Roman" w:eastAsia="仿宋_GB2312" w:cs="Times New Roman"/>
          <w:color w:val="000000"/>
          <w:sz w:val="32"/>
          <w:szCs w:val="32"/>
        </w:rPr>
        <w:t>“</w:t>
      </w:r>
      <w:r>
        <w:rPr>
          <w:rFonts w:ascii="Times New Roman" w:hAnsi="仿宋_GB2312" w:eastAsia="仿宋_GB2312" w:cs="Times New Roman"/>
          <w:color w:val="000000"/>
          <w:sz w:val="32"/>
          <w:szCs w:val="32"/>
        </w:rPr>
        <w:t>不合格</w:t>
      </w:r>
      <w:r>
        <w:rPr>
          <w:rFonts w:ascii="Times New Roman" w:hAnsi="Times New Roman" w:eastAsia="仿宋_GB2312" w:cs="Times New Roman"/>
          <w:color w:val="000000"/>
          <w:sz w:val="32"/>
          <w:szCs w:val="32"/>
        </w:rPr>
        <w:t>”</w:t>
      </w:r>
      <w:r>
        <w:rPr>
          <w:rFonts w:ascii="Times New Roman" w:hAnsi="仿宋_GB2312" w:eastAsia="仿宋_GB2312" w:cs="Times New Roman"/>
          <w:color w:val="000000"/>
          <w:sz w:val="32"/>
          <w:szCs w:val="32"/>
        </w:rPr>
        <w:t>等级：一是没有贯彻区政府关于责任制考核的相关文件精神，建立森林资源保护发展责任制的；二是没有组织实施责任制考核自查的；三是考核过程中弄虚作假的。</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Style w:val="9"/>
          <w:rFonts w:ascii="黑体" w:hAnsi="黑体" w:eastAsia="黑体"/>
          <w:b w:val="0"/>
          <w:color w:val="000000"/>
          <w:sz w:val="32"/>
          <w:szCs w:val="32"/>
        </w:rPr>
      </w:pPr>
      <w:r>
        <w:rPr>
          <w:rStyle w:val="9"/>
          <w:rFonts w:ascii="黑体" w:hAnsi="黑体" w:eastAsia="黑体"/>
          <w:b w:val="0"/>
          <w:color w:val="000000"/>
          <w:sz w:val="32"/>
          <w:szCs w:val="32"/>
        </w:rPr>
        <w:t>第十条  镇、场自查报告编写要求</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各镇、场对进行目标责任制执行情况检查后，编写《××镇（场）××年度保护发展森林资源目标责任制检查报告》。报告主要内容包括：</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（一）检查工作开展情况。包括检查组织、检查方法、工作过程等基本情况。</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（二）目标责任制建立与执行情况。包括责任制建立、年度目标落实、责任制组织实施、检查考评、考核结果运用等情况。</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（三）各项责任指标自查结果。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（四）检查结果分析与评价。</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（五）执行目标责任制的经验和取得的成效。</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（六）执行目标责任制存在的主要问题。</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（七）下一步工作建议。</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（八）附表、附件，以及其它用于说明考核指标评定的材料。</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ascii="黑体" w:hAnsi="黑体" w:eastAsia="黑体" w:cs="Times New Roman"/>
          <w:color w:val="000000"/>
          <w:sz w:val="32"/>
          <w:szCs w:val="32"/>
        </w:rPr>
      </w:pPr>
      <w:r>
        <w:rPr>
          <w:rStyle w:val="9"/>
          <w:rFonts w:ascii="黑体" w:hAnsi="黑体" w:eastAsia="黑体"/>
          <w:b w:val="0"/>
          <w:color w:val="000000"/>
          <w:sz w:val="32"/>
          <w:szCs w:val="32"/>
        </w:rPr>
        <w:t>第十一条 检查考评工作要求</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（一）各镇、场自查时，必须对执行情况及各项责任制任务指标完成情况进行实事求是的评定。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（二）区级检查人员要严格执行《考核办法》和本细则的规定，认真核实有关情况，做好书面记录并签名，确保情况清楚、材料齐全、评定准确、公正。</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（三）检查考评过程中，严格组织纪律，认真贯彻落实廉政建设的各项要求，防止违法违纪行为发生。</w:t>
      </w: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spacing w:line="560" w:lineRule="exact"/>
        <w:rPr>
          <w:rFonts w:ascii="Times New Roman" w:hAnsi="黑体" w:eastAsia="黑体" w:cs="Times New Roman"/>
          <w:color w:val="000000"/>
          <w:sz w:val="32"/>
          <w:szCs w:val="32"/>
        </w:rPr>
        <w:sectPr>
          <w:footerReference r:id="rId3" w:type="default"/>
          <w:pgSz w:w="11906" w:h="16838"/>
          <w:pgMar w:top="2098" w:right="1474" w:bottom="1984" w:left="1588" w:header="851" w:footer="992" w:gutter="0"/>
          <w:pgNumType w:fmt="decimal"/>
          <w:cols w:space="0" w:num="1"/>
          <w:rtlGutter w:val="0"/>
          <w:docGrid w:type="lines" w:linePitch="312" w:charSpace="0"/>
        </w:sectPr>
      </w:pPr>
    </w:p>
    <w:p>
      <w:pPr>
        <w:spacing w:line="560" w:lineRule="exact"/>
        <w:rPr>
          <w:rFonts w:ascii="Times New Roman" w:hAnsi="Times New Roman" w:eastAsia="黑体" w:cs="Times New Roman"/>
          <w:color w:val="000000"/>
          <w:sz w:val="32"/>
          <w:szCs w:val="32"/>
        </w:rPr>
      </w:pPr>
      <w:r>
        <w:rPr>
          <w:rFonts w:ascii="Times New Roman" w:hAnsi="黑体" w:eastAsia="黑体" w:cs="Times New Roman"/>
          <w:color w:val="000000"/>
          <w:sz w:val="32"/>
          <w:szCs w:val="32"/>
        </w:rPr>
        <w:t>附表</w:t>
      </w:r>
      <w:r>
        <w:rPr>
          <w:rFonts w:ascii="Times New Roman" w:hAnsi="Times New Roman" w:eastAsia="黑体" w:cs="Times New Roman"/>
          <w:color w:val="000000"/>
          <w:sz w:val="32"/>
          <w:szCs w:val="32"/>
        </w:rPr>
        <w:t>1</w:t>
      </w:r>
      <w:r>
        <w:rPr>
          <w:rFonts w:ascii="Times New Roman" w:hAnsi="黑体" w:eastAsia="黑体" w:cs="Times New Roman"/>
          <w:color w:val="000000"/>
          <w:sz w:val="32"/>
          <w:szCs w:val="32"/>
        </w:rPr>
        <w:t>：</w:t>
      </w:r>
    </w:p>
    <w:p>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目标责任制各项考核指标评分标准</w:t>
      </w:r>
    </w:p>
    <w:tbl>
      <w:tblPr>
        <w:tblStyle w:val="12"/>
        <w:tblW w:w="12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906"/>
        <w:gridCol w:w="9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考核指标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分值</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exact"/>
          <w:jc w:val="center"/>
        </w:trPr>
        <w:tc>
          <w:tcPr>
            <w:tcW w:w="2649"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1.责任制建立情况</w:t>
            </w:r>
          </w:p>
        </w:tc>
        <w:tc>
          <w:tcPr>
            <w:tcW w:w="906" w:type="dxa"/>
            <w:tcBorders>
              <w:top w:val="single" w:color="auto" w:sz="4" w:space="0"/>
              <w:left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9221" w:type="dxa"/>
            <w:tcBorders>
              <w:top w:val="single" w:color="auto" w:sz="4" w:space="0"/>
              <w:left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1．建立了责任制实施领导机制的得1.5分，否则不得分；按照下达考核指标考核的得1.5分。考核办法内容不全面的，每缺一项扣0.3分，扣完为止。没有建立责任制实施领导机制的，直接评定为“不合格”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1" w:hRule="exact"/>
          <w:jc w:val="center"/>
        </w:trPr>
        <w:tc>
          <w:tcPr>
            <w:tcW w:w="2649" w:type="dxa"/>
            <w:tcBorders>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2.责任制组织实施和检查考核情况</w:t>
            </w:r>
          </w:p>
        </w:tc>
        <w:tc>
          <w:tcPr>
            <w:tcW w:w="906" w:type="dxa"/>
            <w:tcBorders>
              <w:left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9221" w:type="dxa"/>
            <w:tcBorders>
              <w:left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1．组织实施情况（1.5分）：①严格按照考核办法组织实施的，得1.5分；②考核程序不严格的，扣0.5分；考核档案资料不全的，扣0.5分；③没有组织实施考核的或考核过程中存在弄虚作假的，直接评级为“不合格”。</w:t>
            </w:r>
          </w:p>
          <w:p>
            <w:pPr>
              <w:spacing w:line="400" w:lineRule="exact"/>
              <w:rPr>
                <w:rFonts w:ascii="仿宋_GB2312" w:eastAsia="仿宋_GB2312"/>
                <w:color w:val="000000"/>
                <w:sz w:val="28"/>
                <w:szCs w:val="28"/>
              </w:rPr>
            </w:pPr>
            <w:r>
              <w:rPr>
                <w:rFonts w:hint="eastAsia" w:ascii="仿宋_GB2312" w:eastAsia="仿宋_GB2312"/>
                <w:color w:val="000000"/>
                <w:sz w:val="28"/>
                <w:szCs w:val="28"/>
              </w:rPr>
              <w:t>2．检查考评情况（1.5分）：组织开展了责任制执行情况自查考评，并按时提交执行情况自查报告的得1.5分；不按时提交自查报告的，扣0.5分。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exact"/>
          <w:jc w:val="center"/>
        </w:trPr>
        <w:tc>
          <w:tcPr>
            <w:tcW w:w="2649" w:type="dxa"/>
            <w:tcBorders>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3.检查考核结果运用情况</w:t>
            </w:r>
          </w:p>
        </w:tc>
        <w:tc>
          <w:tcPr>
            <w:tcW w:w="906" w:type="dxa"/>
            <w:tcBorders>
              <w:left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9221" w:type="dxa"/>
            <w:tcBorders>
              <w:left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镇、场不考核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exact"/>
          <w:jc w:val="center"/>
        </w:trPr>
        <w:tc>
          <w:tcPr>
            <w:tcW w:w="2649"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4.森林覆盖率</w:t>
            </w:r>
          </w:p>
        </w:tc>
        <w:tc>
          <w:tcPr>
            <w:tcW w:w="906" w:type="dxa"/>
            <w:tcBorders>
              <w:top w:val="single" w:color="auto" w:sz="4" w:space="0"/>
              <w:left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9221" w:type="dxa"/>
            <w:tcBorders>
              <w:top w:val="single" w:color="auto" w:sz="4" w:space="0"/>
              <w:left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镇、场不考核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exact"/>
          <w:jc w:val="center"/>
        </w:trPr>
        <w:tc>
          <w:tcPr>
            <w:tcW w:w="2649"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5.森林蓄积量</w:t>
            </w:r>
          </w:p>
        </w:tc>
        <w:tc>
          <w:tcPr>
            <w:tcW w:w="906" w:type="dxa"/>
            <w:tcBorders>
              <w:top w:val="single" w:color="auto" w:sz="4" w:space="0"/>
              <w:left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9221" w:type="dxa"/>
            <w:tcBorders>
              <w:top w:val="single" w:color="auto" w:sz="4" w:space="0"/>
              <w:left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hAnsi="仿宋_GB2312" w:eastAsia="仿宋_GB2312" w:cs="仿宋_GB2312"/>
                <w:color w:val="000000"/>
                <w:sz w:val="28"/>
                <w:szCs w:val="28"/>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exact"/>
          <w:jc w:val="center"/>
        </w:trPr>
        <w:tc>
          <w:tcPr>
            <w:tcW w:w="2649"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6.林地保有量</w:t>
            </w:r>
          </w:p>
        </w:tc>
        <w:tc>
          <w:tcPr>
            <w:tcW w:w="906" w:type="dxa"/>
            <w:tcBorders>
              <w:top w:val="single" w:color="auto" w:sz="4" w:space="0"/>
              <w:left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9221" w:type="dxa"/>
            <w:tcBorders>
              <w:top w:val="single" w:color="auto" w:sz="4" w:space="0"/>
              <w:left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7.植树造林任务完成率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（镇、场不考核）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7"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8.重点营造林工程任务完成率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9.采伐限额使用率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采伐限额使用率不超过100</w:t>
            </w:r>
            <w:r>
              <w:rPr>
                <w:rFonts w:ascii="仿宋_GB2312" w:eastAsia="仿宋_GB2312"/>
                <w:color w:val="000000"/>
                <w:sz w:val="28"/>
                <w:szCs w:val="28"/>
              </w:rPr>
              <w:t>%</w:t>
            </w:r>
            <w:r>
              <w:rPr>
                <w:rFonts w:hint="eastAsia" w:ascii="仿宋_GB2312" w:eastAsia="仿宋_GB2312"/>
                <w:color w:val="000000"/>
                <w:sz w:val="28"/>
                <w:szCs w:val="28"/>
              </w:rPr>
              <w:t>的得2分，超过的不得分。（无采伐限额指标的不考核）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10.凭证采伐率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ascii="仿宋_GB2312" w:eastAsia="仿宋_GB2312"/>
                <w:color w:val="000000"/>
                <w:sz w:val="28"/>
                <w:szCs w:val="28"/>
              </w:rPr>
              <w:t>凭证采伐率</w:t>
            </w:r>
            <w:r>
              <w:rPr>
                <w:rFonts w:hint="eastAsia" w:ascii="仿宋_GB2312" w:eastAsia="仿宋_GB2312"/>
                <w:color w:val="000000"/>
                <w:sz w:val="28"/>
                <w:szCs w:val="28"/>
              </w:rPr>
              <w:t>达到</w:t>
            </w:r>
            <w:r>
              <w:rPr>
                <w:rFonts w:ascii="仿宋_GB2312" w:eastAsia="仿宋_GB2312"/>
                <w:color w:val="000000"/>
                <w:sz w:val="28"/>
                <w:szCs w:val="28"/>
              </w:rPr>
              <w:t>及超过</w:t>
            </w:r>
            <w:r>
              <w:rPr>
                <w:rFonts w:hint="eastAsia" w:ascii="仿宋_GB2312" w:eastAsia="仿宋_GB2312"/>
                <w:color w:val="000000"/>
                <w:sz w:val="28"/>
                <w:szCs w:val="28"/>
              </w:rPr>
              <w:t>95</w:t>
            </w:r>
            <w:r>
              <w:rPr>
                <w:rFonts w:ascii="仿宋_GB2312" w:eastAsia="仿宋_GB2312"/>
                <w:color w:val="000000"/>
                <w:sz w:val="28"/>
                <w:szCs w:val="28"/>
              </w:rPr>
              <w:t>%的得满分，</w:t>
            </w:r>
            <w:r>
              <w:rPr>
                <w:rFonts w:hint="eastAsia" w:ascii="仿宋_GB2312" w:eastAsia="仿宋_GB2312"/>
                <w:color w:val="000000"/>
                <w:sz w:val="28"/>
                <w:szCs w:val="28"/>
              </w:rPr>
              <w:t>否则每低1个百分点扣0.5分，扣完为止。（无采伐限额指标的不考核）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11.占用征收林地项目审核（审批）率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1. 审核审批率达到85</w:t>
            </w:r>
            <w:r>
              <w:rPr>
                <w:rFonts w:ascii="仿宋_GB2312" w:eastAsia="仿宋_GB2312"/>
                <w:color w:val="000000"/>
                <w:sz w:val="28"/>
                <w:szCs w:val="28"/>
              </w:rPr>
              <w:t>%</w:t>
            </w:r>
            <w:r>
              <w:rPr>
                <w:rFonts w:hint="eastAsia" w:ascii="仿宋_GB2312" w:eastAsia="仿宋_GB2312"/>
                <w:color w:val="000000"/>
                <w:sz w:val="28"/>
                <w:szCs w:val="28"/>
              </w:rPr>
              <w:t>以上得2分，每低1个百分点扣0</w:t>
            </w:r>
            <w:r>
              <w:rPr>
                <w:rFonts w:ascii="仿宋_GB2312" w:eastAsia="仿宋_GB2312"/>
                <w:color w:val="000000"/>
                <w:sz w:val="28"/>
                <w:szCs w:val="28"/>
              </w:rPr>
              <w:t>.5</w:t>
            </w:r>
            <w:r>
              <w:rPr>
                <w:rFonts w:hint="eastAsia" w:ascii="仿宋_GB2312" w:eastAsia="仿宋_GB2312"/>
                <w:color w:val="000000"/>
                <w:sz w:val="28"/>
                <w:szCs w:val="28"/>
              </w:rPr>
              <w:t>分，扣完为止。</w:t>
            </w:r>
          </w:p>
          <w:p>
            <w:pPr>
              <w:spacing w:line="400" w:lineRule="exact"/>
              <w:rPr>
                <w:rFonts w:ascii="仿宋_GB2312" w:eastAsia="仿宋_GB2312"/>
                <w:color w:val="000000"/>
                <w:sz w:val="28"/>
                <w:szCs w:val="28"/>
              </w:rPr>
            </w:pPr>
            <w:r>
              <w:rPr>
                <w:rFonts w:hint="eastAsia" w:ascii="仿宋_GB2312" w:eastAsia="仿宋_GB2312"/>
                <w:color w:val="000000"/>
                <w:sz w:val="28"/>
                <w:szCs w:val="28"/>
              </w:rPr>
              <w:t>2. 在占用征收林地审核审批管理系统外进行审核审批的，每发现一起扣0</w:t>
            </w:r>
            <w:r>
              <w:rPr>
                <w:rFonts w:ascii="仿宋_GB2312" w:eastAsia="仿宋_GB2312"/>
                <w:color w:val="000000"/>
                <w:sz w:val="28"/>
                <w:szCs w:val="28"/>
              </w:rPr>
              <w:t>.5</w:t>
            </w:r>
            <w:r>
              <w:rPr>
                <w:rFonts w:hint="eastAsia" w:ascii="仿宋_GB2312" w:eastAsia="仿宋_GB2312"/>
                <w:color w:val="000000"/>
                <w:sz w:val="28"/>
                <w:szCs w:val="28"/>
              </w:rPr>
              <w:t>分，扣完为止。（镇、场不考核）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1"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12.占用征收林地面积审核（审批）率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1. 审核审批率达到85</w:t>
            </w:r>
            <w:r>
              <w:rPr>
                <w:rFonts w:ascii="仿宋_GB2312" w:eastAsia="仿宋_GB2312"/>
                <w:color w:val="000000"/>
                <w:sz w:val="28"/>
                <w:szCs w:val="28"/>
              </w:rPr>
              <w:t>%</w:t>
            </w:r>
            <w:r>
              <w:rPr>
                <w:rFonts w:hint="eastAsia" w:ascii="仿宋_GB2312" w:eastAsia="仿宋_GB2312"/>
                <w:color w:val="000000"/>
                <w:sz w:val="28"/>
                <w:szCs w:val="28"/>
              </w:rPr>
              <w:t>以上得2分，每低1个百分点扣0</w:t>
            </w:r>
            <w:r>
              <w:rPr>
                <w:rFonts w:ascii="仿宋_GB2312" w:eastAsia="仿宋_GB2312"/>
                <w:color w:val="000000"/>
                <w:sz w:val="28"/>
                <w:szCs w:val="28"/>
              </w:rPr>
              <w:t>.5</w:t>
            </w:r>
            <w:r>
              <w:rPr>
                <w:rFonts w:hint="eastAsia" w:ascii="仿宋_GB2312" w:eastAsia="仿宋_GB2312"/>
                <w:color w:val="000000"/>
                <w:sz w:val="28"/>
                <w:szCs w:val="28"/>
              </w:rPr>
              <w:t>分，扣完为止。</w:t>
            </w:r>
          </w:p>
          <w:p>
            <w:pPr>
              <w:spacing w:line="400" w:lineRule="exact"/>
              <w:rPr>
                <w:rFonts w:ascii="仿宋_GB2312" w:eastAsia="仿宋_GB2312"/>
                <w:color w:val="000000"/>
                <w:sz w:val="28"/>
                <w:szCs w:val="28"/>
              </w:rPr>
            </w:pPr>
            <w:r>
              <w:rPr>
                <w:rFonts w:hint="eastAsia" w:ascii="仿宋_GB2312" w:eastAsia="仿宋_GB2312"/>
                <w:color w:val="000000"/>
                <w:sz w:val="28"/>
                <w:szCs w:val="28"/>
              </w:rPr>
              <w:t>2. 在占用征收林地审核审批管理系统外进行审核审批的，每发现一起扣0</w:t>
            </w:r>
            <w:r>
              <w:rPr>
                <w:rFonts w:ascii="仿宋_GB2312" w:eastAsia="仿宋_GB2312"/>
                <w:color w:val="000000"/>
                <w:sz w:val="28"/>
                <w:szCs w:val="28"/>
              </w:rPr>
              <w:t>.5</w:t>
            </w:r>
            <w:r>
              <w:rPr>
                <w:rFonts w:hint="eastAsia" w:ascii="仿宋_GB2312" w:eastAsia="仿宋_GB2312"/>
                <w:color w:val="000000"/>
                <w:sz w:val="28"/>
                <w:szCs w:val="28"/>
              </w:rPr>
              <w:t>分，扣完为止。（镇、场不考核）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13.到期临时占用林地面积回收率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回收到期林地面积达到应回收面积的90</w:t>
            </w:r>
            <w:r>
              <w:rPr>
                <w:rFonts w:ascii="仿宋_GB2312" w:eastAsia="仿宋_GB2312"/>
                <w:color w:val="000000"/>
                <w:sz w:val="28"/>
                <w:szCs w:val="28"/>
              </w:rPr>
              <w:t>%</w:t>
            </w:r>
            <w:r>
              <w:rPr>
                <w:rFonts w:hint="eastAsia" w:ascii="仿宋_GB2312" w:eastAsia="仿宋_GB2312"/>
                <w:color w:val="000000"/>
                <w:sz w:val="28"/>
                <w:szCs w:val="28"/>
              </w:rPr>
              <w:t>以上（含90%）得2分，否则，每低1个百分点扣0</w:t>
            </w:r>
            <w:r>
              <w:rPr>
                <w:rFonts w:ascii="仿宋_GB2312" w:eastAsia="仿宋_GB2312"/>
                <w:color w:val="000000"/>
                <w:sz w:val="28"/>
                <w:szCs w:val="28"/>
              </w:rPr>
              <w:t>.5</w:t>
            </w:r>
            <w:r>
              <w:rPr>
                <w:rFonts w:hint="eastAsia" w:ascii="仿宋_GB2312" w:eastAsia="仿宋_GB2312"/>
                <w:color w:val="000000"/>
                <w:sz w:val="28"/>
                <w:szCs w:val="28"/>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14.天然林面积保有量（本市非试点地区，考核落界核实率）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15.天然商品林停止商业性采伐协议签订率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协议签订在90</w:t>
            </w:r>
            <w:r>
              <w:rPr>
                <w:rFonts w:ascii="仿宋_GB2312" w:eastAsia="仿宋_GB2312"/>
                <w:color w:val="000000"/>
                <w:sz w:val="28"/>
                <w:szCs w:val="28"/>
              </w:rPr>
              <w:t>%</w:t>
            </w:r>
            <w:r>
              <w:rPr>
                <w:rFonts w:hint="eastAsia" w:ascii="仿宋_GB2312" w:eastAsia="仿宋_GB2312"/>
                <w:color w:val="000000"/>
                <w:sz w:val="28"/>
                <w:szCs w:val="28"/>
              </w:rPr>
              <w:t>以上（含90%）得2分，否则，每低1个百分点扣0</w:t>
            </w:r>
            <w:r>
              <w:rPr>
                <w:rFonts w:ascii="仿宋_GB2312" w:eastAsia="仿宋_GB2312"/>
                <w:color w:val="000000"/>
                <w:sz w:val="28"/>
                <w:szCs w:val="28"/>
              </w:rPr>
              <w:t>.5</w:t>
            </w:r>
            <w:r>
              <w:rPr>
                <w:rFonts w:hint="eastAsia" w:ascii="仿宋_GB2312" w:eastAsia="仿宋_GB2312"/>
                <w:color w:val="000000"/>
                <w:sz w:val="28"/>
                <w:szCs w:val="28"/>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16.生态公益林面积保有量</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17.生态公益林管护协议</w:t>
            </w:r>
            <w:bookmarkStart w:id="1" w:name="OLE_LINK3"/>
            <w:r>
              <w:rPr>
                <w:rFonts w:hint="eastAsia" w:ascii="仿宋_GB2312" w:hAnsi="仿宋_GB2312" w:eastAsia="仿宋_GB2312" w:cs="仿宋_GB2312"/>
                <w:color w:val="000000"/>
                <w:sz w:val="28"/>
                <w:szCs w:val="28"/>
              </w:rPr>
              <w:t>签订</w:t>
            </w:r>
            <w:bookmarkEnd w:id="1"/>
            <w:r>
              <w:rPr>
                <w:rFonts w:hint="eastAsia" w:ascii="仿宋_GB2312" w:hAnsi="仿宋_GB2312" w:eastAsia="仿宋_GB2312" w:cs="仿宋_GB2312"/>
                <w:color w:val="000000"/>
                <w:sz w:val="28"/>
                <w:szCs w:val="28"/>
              </w:rPr>
              <w:t>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生态公益林管护协议</w:t>
            </w:r>
            <w:r>
              <w:rPr>
                <w:rFonts w:hint="eastAsia" w:ascii="仿宋_GB2312" w:hAnsi="仿宋_GB2312" w:eastAsia="仿宋_GB2312" w:cs="仿宋_GB2312"/>
                <w:color w:val="000000"/>
                <w:sz w:val="28"/>
                <w:szCs w:val="28"/>
              </w:rPr>
              <w:t>签订</w:t>
            </w:r>
            <w:r>
              <w:rPr>
                <w:rFonts w:hint="eastAsia" w:ascii="仿宋_GB2312" w:eastAsia="仿宋_GB2312"/>
                <w:color w:val="000000"/>
                <w:sz w:val="28"/>
                <w:szCs w:val="28"/>
              </w:rPr>
              <w:t>率=签订公益林管护协议面积/应签订公益林管护协议面积。协议签订率≥95%不扣分，每少1个百分点扣0.2分，扣完为止。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18.生态公益林、天然林保护管理情况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开展监督检查的得0.4分，开展宣传工作的得0.4分，开展培训工作的得0.4分，档案管理完善的得0.4分，数据库管理规范的得0.4分。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19.乡镇林业机构专业技术人员比例</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3"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20.乡镇林业机构人员业务培训和廉政教育情况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乡镇林业工作站全体工作人员接受过一次县级及以上业务主管部门或乡镇及以上党委政府组织的廉政教育，得0.2分，否则不得分；乡镇林业工作站全体工作人员接受过一次县级及以上业务主管部门组织的业务培训，得0.2分，否则不得分；参加全国乡镇林业工作站岗位培训在线学习平台注册学员人数占乡镇林业站工作人员（相关机构负责林业工作人员）总人数的比例达到100%，得0.3分，否则每少1个百分点，扣0.02分，扣完为止；学习累计达到50学时的学员占注册学员总人数的比例达到80%，得0.3分，否则，每少1个百分点，扣0.02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rPr>
            </w:pPr>
            <w:r>
              <w:rPr>
                <w:rFonts w:hint="eastAsia" w:ascii="仿宋_GB2312" w:hAnsi="仿宋_GB2312" w:eastAsia="仿宋_GB2312" w:cs="仿宋_GB2312"/>
                <w:color w:val="000000"/>
                <w:sz w:val="28"/>
                <w:szCs w:val="28"/>
              </w:rPr>
              <w:t>21.乡镇林业机构设施设备保障情况和资源档案数据微机化管理情况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22.国有林场经营林地保有率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国</w:t>
            </w:r>
            <w:r>
              <w:rPr>
                <w:rFonts w:ascii="仿宋_GB2312" w:eastAsia="仿宋_GB2312"/>
                <w:color w:val="000000"/>
                <w:sz w:val="28"/>
                <w:szCs w:val="28"/>
              </w:rPr>
              <w:t>有林场林地保有量达到目标值</w:t>
            </w:r>
            <w:r>
              <w:rPr>
                <w:rFonts w:hint="eastAsia" w:ascii="仿宋_GB2312" w:eastAsia="仿宋_GB2312"/>
                <w:color w:val="000000"/>
                <w:sz w:val="28"/>
                <w:szCs w:val="28"/>
              </w:rPr>
              <w:t>得</w:t>
            </w:r>
            <w:r>
              <w:rPr>
                <w:rFonts w:ascii="仿宋_GB2312" w:eastAsia="仿宋_GB2312"/>
                <w:color w:val="000000"/>
                <w:sz w:val="28"/>
                <w:szCs w:val="28"/>
              </w:rPr>
              <w:t>满分</w:t>
            </w:r>
            <w:r>
              <w:rPr>
                <w:rFonts w:hint="eastAsia" w:ascii="仿宋_GB2312" w:eastAsia="仿宋_GB2312"/>
                <w:color w:val="000000"/>
                <w:sz w:val="28"/>
                <w:szCs w:val="28"/>
              </w:rPr>
              <w:t>，否则，每</w:t>
            </w:r>
            <w:r>
              <w:rPr>
                <w:rFonts w:ascii="仿宋_GB2312" w:eastAsia="仿宋_GB2312"/>
                <w:color w:val="000000"/>
                <w:sz w:val="28"/>
                <w:szCs w:val="28"/>
              </w:rPr>
              <w:t>减少</w:t>
            </w:r>
            <w:r>
              <w:rPr>
                <w:rFonts w:hint="eastAsia" w:ascii="仿宋_GB2312" w:eastAsia="仿宋_GB2312"/>
                <w:color w:val="000000"/>
                <w:sz w:val="28"/>
                <w:szCs w:val="28"/>
              </w:rPr>
              <w:t>10亩</w:t>
            </w:r>
            <w:r>
              <w:rPr>
                <w:rFonts w:ascii="仿宋_GB2312" w:eastAsia="仿宋_GB2312"/>
                <w:color w:val="000000"/>
                <w:sz w:val="28"/>
                <w:szCs w:val="28"/>
              </w:rPr>
              <w:t>扣</w:t>
            </w:r>
            <w:r>
              <w:rPr>
                <w:rFonts w:hint="eastAsia" w:ascii="仿宋_GB2312" w:eastAsia="仿宋_GB2312"/>
                <w:color w:val="000000"/>
                <w:sz w:val="28"/>
                <w:szCs w:val="28"/>
              </w:rPr>
              <w:t>0.1分，</w:t>
            </w:r>
            <w:r>
              <w:rPr>
                <w:rFonts w:ascii="仿宋_GB2312" w:eastAsia="仿宋_GB2312"/>
                <w:color w:val="000000"/>
                <w:sz w:val="28"/>
                <w:szCs w:val="28"/>
              </w:rPr>
              <w:t>扣完本项分值为止。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23.国有林场森林资源监管</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ascii="仿宋_GB2312" w:eastAsia="仿宋_GB2312"/>
                <w:color w:val="000000"/>
                <w:sz w:val="28"/>
                <w:szCs w:val="28"/>
              </w:rPr>
              <w:t>国有林场</w:t>
            </w:r>
            <w:r>
              <w:rPr>
                <w:rFonts w:hint="eastAsia" w:ascii="仿宋_GB2312" w:eastAsia="仿宋_GB2312"/>
                <w:color w:val="000000"/>
                <w:sz w:val="28"/>
                <w:szCs w:val="28"/>
              </w:rPr>
              <w:t>年内发生违法、违规林地流转、占用、划拨、租赁、抵押累计达</w:t>
            </w:r>
            <w:r>
              <w:rPr>
                <w:rFonts w:ascii="仿宋_GB2312" w:eastAsia="仿宋_GB2312"/>
                <w:color w:val="000000"/>
                <w:sz w:val="28"/>
                <w:szCs w:val="28"/>
              </w:rPr>
              <w:t>到</w:t>
            </w:r>
            <w:r>
              <w:rPr>
                <w:rFonts w:hint="eastAsia" w:ascii="仿宋_GB2312" w:eastAsia="仿宋_GB2312"/>
                <w:color w:val="000000"/>
                <w:sz w:val="28"/>
                <w:szCs w:val="28"/>
              </w:rPr>
              <w:t>100亩扣1分</w:t>
            </w:r>
            <w:r>
              <w:rPr>
                <w:rFonts w:ascii="仿宋_GB2312" w:eastAsia="仿宋_GB2312"/>
                <w:color w:val="000000"/>
                <w:sz w:val="28"/>
                <w:szCs w:val="28"/>
              </w:rPr>
              <w:t>，</w:t>
            </w:r>
            <w:r>
              <w:rPr>
                <w:rFonts w:hint="eastAsia" w:ascii="仿宋_GB2312" w:eastAsia="仿宋_GB2312"/>
                <w:color w:val="000000"/>
                <w:sz w:val="28"/>
                <w:szCs w:val="28"/>
              </w:rPr>
              <w:t>100亩</w:t>
            </w:r>
            <w:r>
              <w:rPr>
                <w:rFonts w:ascii="仿宋_GB2312" w:eastAsia="仿宋_GB2312"/>
                <w:color w:val="000000"/>
                <w:sz w:val="28"/>
                <w:szCs w:val="28"/>
              </w:rPr>
              <w:t>以上每</w:t>
            </w:r>
            <w:r>
              <w:rPr>
                <w:rFonts w:hint="eastAsia" w:ascii="仿宋_GB2312" w:eastAsia="仿宋_GB2312"/>
                <w:color w:val="000000"/>
                <w:sz w:val="28"/>
                <w:szCs w:val="28"/>
              </w:rPr>
              <w:t>增加10亩</w:t>
            </w:r>
            <w:r>
              <w:rPr>
                <w:rFonts w:ascii="仿宋_GB2312" w:eastAsia="仿宋_GB2312"/>
                <w:color w:val="000000"/>
                <w:sz w:val="28"/>
                <w:szCs w:val="28"/>
              </w:rPr>
              <w:t>扣</w:t>
            </w:r>
            <w:r>
              <w:rPr>
                <w:rFonts w:hint="eastAsia" w:ascii="仿宋_GB2312" w:eastAsia="仿宋_GB2312"/>
                <w:color w:val="000000"/>
                <w:sz w:val="28"/>
                <w:szCs w:val="28"/>
              </w:rPr>
              <w:t>0.1分</w:t>
            </w:r>
            <w:r>
              <w:rPr>
                <w:rFonts w:ascii="仿宋_GB2312" w:eastAsia="仿宋_GB2312"/>
                <w:color w:val="000000"/>
                <w:sz w:val="28"/>
                <w:szCs w:val="28"/>
              </w:rPr>
              <w:t>；</w:t>
            </w:r>
            <w:r>
              <w:rPr>
                <w:rFonts w:hint="eastAsia" w:ascii="仿宋_GB2312" w:eastAsia="仿宋_GB2312"/>
                <w:color w:val="000000"/>
                <w:sz w:val="28"/>
                <w:szCs w:val="28"/>
              </w:rPr>
              <w:t>每发</w:t>
            </w:r>
            <w:r>
              <w:rPr>
                <w:rFonts w:ascii="仿宋_GB2312" w:eastAsia="仿宋_GB2312"/>
                <w:color w:val="000000"/>
                <w:sz w:val="28"/>
                <w:szCs w:val="28"/>
              </w:rPr>
              <w:t>生一起林木盗伐、滥伐案件</w:t>
            </w:r>
            <w:r>
              <w:rPr>
                <w:rFonts w:hint="eastAsia" w:ascii="仿宋_GB2312" w:eastAsia="仿宋_GB2312"/>
                <w:color w:val="000000"/>
                <w:sz w:val="28"/>
                <w:szCs w:val="28"/>
              </w:rPr>
              <w:t>未依法查处扣的1分；发生重特大影响恶劣的</w:t>
            </w:r>
            <w:r>
              <w:rPr>
                <w:rFonts w:ascii="仿宋_GB2312" w:eastAsia="仿宋_GB2312"/>
                <w:color w:val="000000"/>
                <w:sz w:val="28"/>
                <w:szCs w:val="28"/>
              </w:rPr>
              <w:t>林木盗伐、滥伐案件</w:t>
            </w:r>
            <w:r>
              <w:rPr>
                <w:rFonts w:hint="eastAsia" w:ascii="仿宋_GB2312" w:eastAsia="仿宋_GB2312"/>
                <w:color w:val="000000"/>
                <w:sz w:val="28"/>
                <w:szCs w:val="28"/>
              </w:rPr>
              <w:t>以</w:t>
            </w:r>
            <w:r>
              <w:rPr>
                <w:rFonts w:ascii="仿宋_GB2312" w:eastAsia="仿宋_GB2312"/>
                <w:color w:val="000000"/>
                <w:sz w:val="28"/>
                <w:szCs w:val="28"/>
              </w:rPr>
              <w:t>及重大以上森林火灾</w:t>
            </w:r>
            <w:r>
              <w:rPr>
                <w:rFonts w:hint="eastAsia" w:ascii="仿宋_GB2312" w:eastAsia="仿宋_GB2312"/>
                <w:color w:val="000000"/>
                <w:sz w:val="28"/>
                <w:szCs w:val="28"/>
              </w:rPr>
              <w:t>未依法查处的扣3分。扣完本项分值为止。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4"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24.野生动植物保护与自然保护区建设管理工作落实情况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exact"/>
          <w:jc w:val="center"/>
        </w:trPr>
        <w:tc>
          <w:tcPr>
            <w:tcW w:w="2649"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25.野生动植物保护和自然保护区管理机制落实情况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不考核</w:t>
            </w:r>
          </w:p>
          <w:p>
            <w:pPr>
              <w:spacing w:line="40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26.野生动植物保护和自然保护区建设经费落实情况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27.地方主体责任落实情况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28.野生动物疫源疫病监测工作完成情况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29.湿地保护情况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镇、场不考核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30.森林火灾受害率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受害率低于0.4‰（含0.4‰）的得2分，每增加0.01‰扣0.05分，扣完为止。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31.防火重点工作任务完成情况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均按时完成重点工作的得1分，发现1项未按时完成的扣0.5分；质量均优良的得1分，较好的得0.6分，一般的得0.4分，较差的计0分。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3"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32.森林火灾信息报送情况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火情信息及森林防火材料均按时、优质报送的得2分。每有一次迟报火情信息的扣0.5分；每有一次迟报森林防火材料的，扣0.2分，扣完为止。</w:t>
            </w:r>
          </w:p>
          <w:p>
            <w:pPr>
              <w:spacing w:line="400" w:lineRule="exact"/>
              <w:rPr>
                <w:rFonts w:ascii="仿宋_GB2312" w:eastAsia="仿宋_GB2312"/>
                <w:color w:val="000000"/>
                <w:sz w:val="28"/>
                <w:szCs w:val="28"/>
              </w:rPr>
            </w:pPr>
            <w:r>
              <w:rPr>
                <w:rFonts w:hint="eastAsia" w:ascii="仿宋_GB2312" w:eastAsia="仿宋_GB2312"/>
                <w:color w:val="000000"/>
                <w:sz w:val="28"/>
                <w:szCs w:val="28"/>
              </w:rPr>
              <w:t>注：火情信息报送的“优质”指符合自治区《森林火灾信息报送处置暂行规定》的要求，格式规范，要素齐全；材料的“优质”指材料符合自治区要求，且有实例佐证，有数据支持。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33.防火综合治理等项目</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综合治理项目及其他项目建设按进度开展、质量优良（“优良”指质量符合国家标准、自治区有关文件要求和初步设计要求。）的得2分，每延迟2个月扣0.5分，每发现一项质量不达标的扣0.5分，扣完为止。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6"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w:t>
            </w:r>
            <w:r>
              <w:rPr>
                <w:rFonts w:hint="eastAsia"/>
                <w:color w:val="000000"/>
              </w:rPr>
              <w:t xml:space="preserve"> </w:t>
            </w:r>
            <w:r>
              <w:rPr>
                <w:rFonts w:hint="eastAsia" w:ascii="仿宋_GB2312" w:hAnsi="仿宋_GB2312" w:eastAsia="仿宋_GB2312" w:cs="仿宋_GB2312"/>
                <w:color w:val="000000"/>
                <w:sz w:val="28"/>
                <w:szCs w:val="28"/>
              </w:rPr>
              <w:t>森林防火基础设施设备维护情况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森林防火基础设施设备（包括通讯设备、视频监控设备、预警监测系统设备、</w:t>
            </w:r>
            <w:r>
              <w:rPr>
                <w:rFonts w:hint="eastAsia" w:ascii="宋体" w:hAnsi="宋体" w:cs="宋体"/>
                <w:color w:val="000000"/>
                <w:sz w:val="28"/>
                <w:szCs w:val="28"/>
              </w:rPr>
              <w:t>瞭</w:t>
            </w:r>
            <w:r>
              <w:rPr>
                <w:rFonts w:hint="eastAsia" w:ascii="仿宋_GB2312" w:hAnsi="仿宋_GB2312" w:eastAsia="仿宋_GB2312" w:cs="仿宋_GB2312"/>
                <w:color w:val="000000"/>
                <w:sz w:val="28"/>
                <w:szCs w:val="28"/>
              </w:rPr>
              <w:t>望台、防火林带、防火线、以水灭火设备）运转正常得</w:t>
            </w:r>
            <w:r>
              <w:rPr>
                <w:rFonts w:hint="eastAsia" w:ascii="仿宋_GB2312" w:eastAsia="仿宋_GB2312"/>
                <w:color w:val="000000"/>
                <w:sz w:val="28"/>
                <w:szCs w:val="28"/>
              </w:rPr>
              <w:t>2分。每发现1个（座、台、条）设施设备不维护、不使用或者丢失的扣1分；每发现1次运转不正常的扣0.1分，扣完为止。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35.林业有害生物成灾率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完成年度目标任务，成灾率达标得2分，每超过0.1‰扣0.5分，扣完为止。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36.无公害防治率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完成年度目标任务，无公害防治率达标得2分，每减少1个百分点扣0.5分，扣完为止。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37.松材线虫病疫情监测和除治情况，及薇甘菊的危害情况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完成松材线虫病春秋季普查任务得0.5分，疫情除治符合自治区方案要求得0.5分，不发生跨省调运事件得0.5分，林地薇甘菊盖度不超过15%的得0.5分。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6"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38.森林生态效益补偿资金支出兑现率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bookmarkStart w:id="2" w:name="OLE_LINK2"/>
            <w:r>
              <w:rPr>
                <w:rFonts w:hint="eastAsia" w:ascii="仿宋_GB2312" w:eastAsia="仿宋_GB2312"/>
                <w:color w:val="000000"/>
                <w:sz w:val="28"/>
                <w:szCs w:val="28"/>
              </w:rPr>
              <w:t>1.当年管护补助平均兑现率：10月底前全市兑现率平均达到90%以上得3分（含90%），兑现率平均达到89%—80%得2.5分（含80%），兑现率平均达到79%—70%（含70%）得2分，兑现率达平均到69%—60%得1分（含60%），兑现率达不到60%不得分。</w:t>
            </w:r>
          </w:p>
          <w:p>
            <w:pPr>
              <w:spacing w:line="400" w:lineRule="exact"/>
              <w:ind w:firstLine="58" w:firstLineChars="21"/>
              <w:rPr>
                <w:rFonts w:ascii="仿宋_GB2312" w:eastAsia="仿宋_GB2312"/>
                <w:color w:val="000000"/>
                <w:sz w:val="28"/>
                <w:szCs w:val="28"/>
              </w:rPr>
            </w:pPr>
            <w:r>
              <w:rPr>
                <w:rFonts w:hint="eastAsia" w:ascii="仿宋_GB2312" w:eastAsia="仿宋_GB2312"/>
                <w:color w:val="000000"/>
                <w:sz w:val="28"/>
                <w:szCs w:val="28"/>
              </w:rPr>
              <w:t>2.抽查公益林管护补助发放情况，各县区市适量抽查若干份管护合同，发现不按公益林管护合同兑现管护补助的，适当扣分，扣完1分为止。    （镇、场不考核）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7"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39.天然林管护资金兑现率</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1.当年管护补助平均兑现率：10月底前全市兑现率平均达到90%以上得3分（含90%），兑现率平均达到89%—80%得2.5分（含80%），兑现率平均达到79%—70%（含70%）得2分，兑现率达平均到69%—60%得1分（含60%），兑现率达不到60%不得分。</w:t>
            </w:r>
          </w:p>
          <w:p>
            <w:pPr>
              <w:spacing w:line="400" w:lineRule="exact"/>
              <w:rPr>
                <w:rFonts w:ascii="仿宋_GB2312" w:eastAsia="仿宋_GB2312"/>
                <w:color w:val="000000"/>
                <w:sz w:val="28"/>
                <w:szCs w:val="28"/>
              </w:rPr>
            </w:pPr>
            <w:r>
              <w:rPr>
                <w:rFonts w:hint="eastAsia" w:ascii="仿宋_GB2312" w:eastAsia="仿宋_GB2312"/>
                <w:color w:val="000000"/>
                <w:sz w:val="28"/>
                <w:szCs w:val="28"/>
              </w:rPr>
              <w:t>2.抽查天然林管护补助发放情况，各县区市适量抽查若干份管护合同，发现不按公益林管护合同兑现管护补助的，适当扣分，扣完1分为止。    （镇、场不考核）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4"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40.切实履行资金监督管理职能</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1.管理制度建设（0</w:t>
            </w:r>
            <w:r>
              <w:rPr>
                <w:rFonts w:ascii="仿宋_GB2312" w:eastAsia="仿宋_GB2312"/>
                <w:color w:val="000000"/>
                <w:sz w:val="28"/>
                <w:szCs w:val="28"/>
              </w:rPr>
              <w:t>.</w:t>
            </w:r>
            <w:r>
              <w:rPr>
                <w:rFonts w:hint="eastAsia" w:ascii="仿宋_GB2312" w:eastAsia="仿宋_GB2312"/>
                <w:color w:val="000000"/>
                <w:sz w:val="28"/>
                <w:szCs w:val="28"/>
              </w:rPr>
              <w:t>7</w:t>
            </w:r>
            <w:r>
              <w:rPr>
                <w:rFonts w:ascii="仿宋_GB2312" w:eastAsia="仿宋_GB2312"/>
                <w:color w:val="000000"/>
                <w:sz w:val="28"/>
                <w:szCs w:val="28"/>
              </w:rPr>
              <w:t>5</w:t>
            </w:r>
            <w:r>
              <w:rPr>
                <w:rFonts w:hint="eastAsia" w:ascii="仿宋_GB2312" w:eastAsia="仿宋_GB2312"/>
                <w:color w:val="000000"/>
                <w:sz w:val="28"/>
                <w:szCs w:val="28"/>
              </w:rPr>
              <w:t>分）：出台有森林生态效益补偿或天然林停伐管护补助的实施细则或年度工作方案得0</w:t>
            </w:r>
            <w:r>
              <w:rPr>
                <w:rFonts w:ascii="仿宋_GB2312" w:eastAsia="仿宋_GB2312"/>
                <w:color w:val="000000"/>
                <w:sz w:val="28"/>
                <w:szCs w:val="28"/>
              </w:rPr>
              <w:t>.</w:t>
            </w:r>
            <w:r>
              <w:rPr>
                <w:rFonts w:hint="eastAsia" w:ascii="仿宋_GB2312" w:eastAsia="仿宋_GB2312"/>
                <w:color w:val="000000"/>
                <w:sz w:val="28"/>
                <w:szCs w:val="28"/>
              </w:rPr>
              <w:t>7</w:t>
            </w:r>
            <w:r>
              <w:rPr>
                <w:rFonts w:ascii="仿宋_GB2312" w:eastAsia="仿宋_GB2312"/>
                <w:color w:val="000000"/>
                <w:sz w:val="28"/>
                <w:szCs w:val="28"/>
              </w:rPr>
              <w:t>5</w:t>
            </w:r>
            <w:r>
              <w:rPr>
                <w:rFonts w:hint="eastAsia" w:ascii="仿宋_GB2312" w:eastAsia="仿宋_GB2312"/>
                <w:color w:val="000000"/>
                <w:sz w:val="28"/>
                <w:szCs w:val="28"/>
              </w:rPr>
              <w:t>分；如无，则得0分。</w:t>
            </w:r>
          </w:p>
          <w:p>
            <w:pPr>
              <w:spacing w:line="400" w:lineRule="exact"/>
              <w:rPr>
                <w:rFonts w:ascii="仿宋_GB2312" w:eastAsia="仿宋_GB2312"/>
                <w:color w:val="000000"/>
                <w:sz w:val="28"/>
                <w:szCs w:val="28"/>
              </w:rPr>
            </w:pPr>
            <w:r>
              <w:rPr>
                <w:rFonts w:hint="eastAsia" w:ascii="仿宋_GB2312" w:eastAsia="仿宋_GB2312"/>
                <w:color w:val="000000"/>
                <w:sz w:val="28"/>
                <w:szCs w:val="28"/>
              </w:rPr>
              <w:t>2.做好管护补助发放前的公示工作（0.25分）：按规定做好公示工作得0</w:t>
            </w:r>
            <w:r>
              <w:rPr>
                <w:rFonts w:ascii="仿宋_GB2312" w:eastAsia="仿宋_GB2312"/>
                <w:color w:val="000000"/>
                <w:sz w:val="28"/>
                <w:szCs w:val="28"/>
              </w:rPr>
              <w:t>.25</w:t>
            </w:r>
            <w:r>
              <w:rPr>
                <w:rFonts w:hint="eastAsia" w:ascii="仿宋_GB2312" w:eastAsia="仿宋_GB2312"/>
                <w:color w:val="000000"/>
                <w:sz w:val="28"/>
                <w:szCs w:val="28"/>
              </w:rPr>
              <w:t>分；如未进行公开公示，则得0分。</w:t>
            </w:r>
          </w:p>
          <w:p>
            <w:pPr>
              <w:spacing w:line="400" w:lineRule="exact"/>
              <w:rPr>
                <w:rFonts w:ascii="仿宋_GB2312" w:eastAsia="仿宋_GB2312"/>
                <w:color w:val="000000"/>
                <w:sz w:val="28"/>
                <w:szCs w:val="28"/>
              </w:rPr>
            </w:pPr>
            <w:r>
              <w:rPr>
                <w:rFonts w:hint="eastAsia" w:ascii="仿宋_GB2312" w:eastAsia="仿宋_GB2312"/>
                <w:color w:val="000000"/>
                <w:sz w:val="28"/>
                <w:szCs w:val="28"/>
              </w:rPr>
              <w:t>3.资金管理（1分）：资金管理规范得1分；</w:t>
            </w:r>
            <w:bookmarkStart w:id="3" w:name="OLE_LINK4"/>
            <w:bookmarkStart w:id="4" w:name="OLE_LINK5"/>
            <w:r>
              <w:rPr>
                <w:rFonts w:hint="eastAsia" w:ascii="仿宋_GB2312" w:eastAsia="仿宋_GB2312"/>
                <w:color w:val="000000"/>
                <w:sz w:val="28"/>
                <w:szCs w:val="28"/>
              </w:rPr>
              <w:t>被审计、财政及上级林业主管部门发现的违规违法行为</w:t>
            </w:r>
            <w:bookmarkEnd w:id="3"/>
            <w:bookmarkEnd w:id="4"/>
            <w:r>
              <w:rPr>
                <w:rFonts w:hint="eastAsia" w:ascii="仿宋_GB2312" w:eastAsia="仿宋_GB2312"/>
                <w:color w:val="000000"/>
                <w:sz w:val="28"/>
                <w:szCs w:val="28"/>
              </w:rPr>
              <w:t>，每个事项扣0</w:t>
            </w:r>
            <w:r>
              <w:rPr>
                <w:rFonts w:ascii="仿宋_GB2312" w:eastAsia="仿宋_GB2312"/>
                <w:color w:val="000000"/>
                <w:sz w:val="28"/>
                <w:szCs w:val="28"/>
              </w:rPr>
              <w:t>.2</w:t>
            </w:r>
            <w:r>
              <w:rPr>
                <w:rFonts w:hint="eastAsia" w:ascii="仿宋_GB2312" w:eastAsia="仿宋_GB2312"/>
                <w:color w:val="000000"/>
                <w:sz w:val="28"/>
                <w:szCs w:val="28"/>
              </w:rPr>
              <w:t>5分，最高扣1分。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41.案件立案情况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olor w:val="000000"/>
                <w:sz w:val="28"/>
                <w:szCs w:val="28"/>
              </w:rPr>
            </w:pPr>
            <w:r>
              <w:rPr>
                <w:rFonts w:hint="eastAsia" w:ascii="仿宋_GB2312" w:eastAsia="仿宋_GB2312"/>
                <w:color w:val="000000"/>
                <w:sz w:val="28"/>
                <w:szCs w:val="28"/>
              </w:rPr>
              <w:t>镇、场不考核。</w:t>
            </w:r>
          </w:p>
          <w:p>
            <w:pPr>
              <w:spacing w:line="40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42.案件查处和整改情况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s="SimSun-Identity-H"/>
                <w:color w:val="000000"/>
                <w:kern w:val="0"/>
                <w:sz w:val="24"/>
                <w:szCs w:val="28"/>
              </w:rPr>
            </w:pPr>
            <w:r>
              <w:rPr>
                <w:rFonts w:hint="eastAsia" w:ascii="仿宋_GB2312" w:eastAsia="仿宋_GB2312"/>
                <w:color w:val="000000"/>
                <w:sz w:val="28"/>
                <w:szCs w:val="28"/>
              </w:rPr>
              <w:t>年内未发生被国家部委办、自治区党委政府通报批评或责令整改、国家级媒体曝光的破坏森林和野生动物资源案件、事件的，得4分，每发生1起，扣1分，扣完为止。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43.森林公安单警装备配备情况</w:t>
            </w:r>
          </w:p>
        </w:tc>
        <w:tc>
          <w:tcPr>
            <w:tcW w:w="9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9221"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s="SimSun-Identity-H"/>
                <w:color w:val="000000"/>
                <w:kern w:val="0"/>
                <w:sz w:val="24"/>
                <w:szCs w:val="28"/>
              </w:rPr>
            </w:pPr>
            <w:r>
              <w:rPr>
                <w:rFonts w:hint="eastAsia" w:ascii="仿宋_GB2312" w:eastAsia="仿宋_GB2312"/>
                <w:color w:val="000000"/>
                <w:sz w:val="28"/>
                <w:szCs w:val="28"/>
              </w:rPr>
              <w:t>镇、场不考核</w:t>
            </w:r>
          </w:p>
        </w:tc>
      </w:tr>
    </w:tbl>
    <w:p>
      <w:pPr>
        <w:spacing w:line="560" w:lineRule="exact"/>
        <w:rPr>
          <w:rFonts w:ascii="方正小标宋简体" w:hAnsi="方正小标宋简体" w:eastAsia="方正小标宋简体" w:cs="方正小标宋简体"/>
          <w:color w:val="000000"/>
          <w:sz w:val="32"/>
          <w:szCs w:val="32"/>
        </w:rPr>
        <w:sectPr>
          <w:footerReference r:id="rId4" w:type="default"/>
          <w:pgSz w:w="16838" w:h="11906" w:orient="landscape"/>
          <w:pgMar w:top="1587" w:right="2098" w:bottom="1474" w:left="1984" w:header="851" w:footer="992" w:gutter="0"/>
          <w:pgNumType w:fmt="decimal"/>
          <w:cols w:space="0" w:num="1"/>
          <w:rtlGutter w:val="0"/>
          <w:docGrid w:type="lines" w:linePitch="315" w:charSpace="0"/>
        </w:sectPr>
      </w:pPr>
    </w:p>
    <w:p>
      <w:pPr>
        <w:spacing w:line="560" w:lineRule="exact"/>
        <w:rPr>
          <w:rFonts w:ascii="Times New Roman" w:hAnsi="Times New Roman" w:eastAsia="黑体" w:cs="Times New Roman"/>
          <w:sz w:val="32"/>
          <w:szCs w:val="32"/>
        </w:rPr>
      </w:pPr>
      <w:r>
        <w:rPr>
          <w:rFonts w:ascii="Times New Roman" w:hAnsi="黑体" w:eastAsia="黑体" w:cs="Times New Roman"/>
          <w:sz w:val="32"/>
          <w:szCs w:val="32"/>
        </w:rPr>
        <w:t>附表</w:t>
      </w:r>
      <w:r>
        <w:rPr>
          <w:rFonts w:ascii="Times New Roman" w:hAnsi="Times New Roman" w:eastAsia="黑体" w:cs="Times New Roman"/>
          <w:sz w:val="32"/>
          <w:szCs w:val="32"/>
        </w:rPr>
        <w:t>2</w:t>
      </w:r>
      <w:r>
        <w:rPr>
          <w:rFonts w:ascii="Times New Roman" w:hAnsi="黑体" w:eastAsia="黑体" w:cs="Times New Roman"/>
          <w:sz w:val="32"/>
          <w:szCs w:val="32"/>
        </w:rPr>
        <w:t>：</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目标责任制各项考核指标检查考评方法</w:t>
      </w:r>
    </w:p>
    <w:tbl>
      <w:tblPr>
        <w:tblStyle w:val="12"/>
        <w:tblW w:w="126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10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考核指标</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检查考评办法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exact"/>
          <w:jc w:val="center"/>
        </w:trPr>
        <w:tc>
          <w:tcPr>
            <w:tcW w:w="2649"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1.责任制建立情况</w:t>
            </w:r>
          </w:p>
        </w:tc>
        <w:tc>
          <w:tcPr>
            <w:tcW w:w="10014" w:type="dxa"/>
            <w:tcBorders>
              <w:top w:val="single" w:color="auto" w:sz="4" w:space="0"/>
              <w:left w:val="single" w:color="auto" w:sz="4" w:space="0"/>
              <w:right w:val="single" w:color="auto" w:sz="4" w:space="0"/>
            </w:tcBorders>
            <w:noWrap w:val="0"/>
            <w:vAlign w:val="top"/>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采取查阅资料的方法进行检查考评。查阅镇、场自检报告和责任制落实方面形成的有关文件，综合了解责任制建立落实情况。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9" w:hRule="exact"/>
          <w:jc w:val="center"/>
        </w:trPr>
        <w:tc>
          <w:tcPr>
            <w:tcW w:w="2649" w:type="dxa"/>
            <w:tcBorders>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2.责任制组织实施和检查考核情况</w:t>
            </w:r>
          </w:p>
        </w:tc>
        <w:tc>
          <w:tcPr>
            <w:tcW w:w="10014" w:type="dxa"/>
            <w:tcBorders>
              <w:left w:val="single" w:color="auto" w:sz="4" w:space="0"/>
              <w:right w:val="single" w:color="auto" w:sz="4" w:space="0"/>
            </w:tcBorders>
            <w:noWrap w:val="0"/>
            <w:vAlign w:val="top"/>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采取查阅资料和现地检查相结合的方法进行检查考评。</w:t>
            </w:r>
          </w:p>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1.查阅资料：查阅自检报告和档案资料等相关材料，了解责任制组织实施和自查情况。</w:t>
            </w:r>
          </w:p>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2.现地检查：主要核实年度目标任务完成情况、工作措施制定和落实情况、考核工作开展情况及考核结果等。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exact"/>
          <w:jc w:val="center"/>
        </w:trPr>
        <w:tc>
          <w:tcPr>
            <w:tcW w:w="2649" w:type="dxa"/>
            <w:tcBorders>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3.检查考核结果运用情况（2018年此项暂不做考评）</w:t>
            </w:r>
          </w:p>
        </w:tc>
        <w:tc>
          <w:tcPr>
            <w:tcW w:w="10014" w:type="dxa"/>
            <w:tcBorders>
              <w:left w:val="single" w:color="auto" w:sz="4" w:space="0"/>
              <w:right w:val="single" w:color="auto" w:sz="4" w:space="0"/>
            </w:tcBorders>
            <w:noWrap w:val="0"/>
            <w:vAlign w:val="top"/>
          </w:tcPr>
          <w:p>
            <w:pPr>
              <w:spacing w:line="400" w:lineRule="exact"/>
              <w:rPr>
                <w:rFonts w:ascii="仿宋_GB2312" w:hAnsi="仿宋_GB2312" w:eastAsia="仿宋_GB2312" w:cs="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exact"/>
          <w:jc w:val="center"/>
        </w:trPr>
        <w:tc>
          <w:tcPr>
            <w:tcW w:w="2649"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4.森林覆盖率</w:t>
            </w:r>
          </w:p>
        </w:tc>
        <w:tc>
          <w:tcPr>
            <w:tcW w:w="10014" w:type="dxa"/>
            <w:tcBorders>
              <w:top w:val="single" w:color="auto" w:sz="4" w:space="0"/>
              <w:left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jc w:val="center"/>
        </w:trPr>
        <w:tc>
          <w:tcPr>
            <w:tcW w:w="2649"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5.森林蓄积量</w:t>
            </w:r>
          </w:p>
        </w:tc>
        <w:tc>
          <w:tcPr>
            <w:tcW w:w="10014" w:type="dxa"/>
            <w:tcBorders>
              <w:top w:val="single" w:color="auto" w:sz="4" w:space="0"/>
              <w:left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exact"/>
          <w:jc w:val="center"/>
        </w:trPr>
        <w:tc>
          <w:tcPr>
            <w:tcW w:w="2649"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6.林地保有量</w:t>
            </w:r>
          </w:p>
        </w:tc>
        <w:tc>
          <w:tcPr>
            <w:tcW w:w="10014" w:type="dxa"/>
            <w:tcBorders>
              <w:top w:val="single" w:color="auto" w:sz="4" w:space="0"/>
              <w:left w:val="single" w:color="auto" w:sz="4" w:space="0"/>
              <w:right w:val="single" w:color="auto" w:sz="4" w:space="0"/>
            </w:tcBorders>
            <w:noWrap w:val="0"/>
            <w:vAlign w:val="top"/>
          </w:tcPr>
          <w:p>
            <w:pPr>
              <w:spacing w:line="400" w:lineRule="exact"/>
              <w:rPr>
                <w:rFonts w:ascii="仿宋_GB2312" w:hAnsi="仿宋_GB2312" w:eastAsia="仿宋_GB2312" w:cs="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7.植树造林任务完成率</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仿宋_GB2312" w:eastAsia="仿宋_GB2312" w:cs="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8.重点营造林工程任务完成率</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仿宋_GB2312" w:eastAsia="仿宋_GB2312" w:cs="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9.采伐限额使用率</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10.凭证采伐率</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eastAsia="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11.占用征收林地项目审核（审批）率</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仿宋_GB2312" w:eastAsia="仿宋_GB2312" w:cs="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12.占用征收林地面积审核（审批）率</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仿宋_GB2312" w:eastAsia="仿宋_GB2312" w:cs="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13.到期临时占用林地面积回收率</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仿宋_GB2312" w:eastAsia="仿宋_GB2312" w:cs="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14.天然林面积保有量（落界核实率）</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仿宋_GB2312" w:hAnsi="仿宋_GB2312" w:eastAsia="仿宋_GB2312" w:cs="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15.天然商品林停止商业性采伐协议签订率</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仿宋_GB2312" w:hAnsi="仿宋_GB2312" w:eastAsia="仿宋_GB2312" w:cs="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16.生态公益林面积保有量</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仿宋_GB2312" w:hAnsi="仿宋_GB2312" w:eastAsia="仿宋_GB2312" w:cs="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17.生态公益林管护协议签订率</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取日常检查、自查、年终抽查方式相结合，确定指标得分。检查人员通过查阅台账资料、检查自检材料及抽样核实的方式开展检查，将检查结果与自查结果对比，若对比精度≥95%，认可自查结果；若低于95%，按检查的签订率推算签订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18.生态公益林、天然林保护管理情况</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镇、场不考核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19.乡镇林业机构专业技术人员比例</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根据上报的辖区内乡镇林业工作站长期在岗职工人数、专业技术人员人数及专业技术人员比例，查看乡镇林业工作站</w:t>
            </w:r>
            <w:r>
              <w:rPr>
                <w:rFonts w:hint="eastAsia" w:ascii="仿宋_GB2312" w:hAnsi="仿宋" w:eastAsia="仿宋_GB2312"/>
                <w:bCs/>
                <w:color w:val="000000"/>
                <w:sz w:val="28"/>
                <w:szCs w:val="28"/>
              </w:rPr>
              <w:t>长期在岗人员花名册、相关文件和专业技术人员职称证书等。</w:t>
            </w:r>
            <w:r>
              <w:rPr>
                <w:rFonts w:hint="eastAsia" w:ascii="仿宋_GB2312" w:hAnsi="仿宋_GB2312" w:eastAsia="仿宋_GB2312" w:cs="仿宋_GB2312"/>
                <w:color w:val="000000"/>
                <w:sz w:val="28"/>
                <w:szCs w:val="28"/>
              </w:rPr>
              <w:t>所得数据与上报的数据相符的，认可上报数据；不相符的，以检查所得数据为准。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20.乡镇林业机构人员业务培训和廉政教育情况</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根据上报的辖区内乡镇林业工作站在岗职工培训情况，查看乡镇林业工作站</w:t>
            </w:r>
            <w:r>
              <w:rPr>
                <w:rFonts w:hint="eastAsia" w:ascii="仿宋_GB2312" w:eastAsia="仿宋_GB2312" w:cs="FangSong-Identity-H"/>
                <w:color w:val="000000"/>
                <w:kern w:val="0"/>
                <w:sz w:val="28"/>
                <w:szCs w:val="28"/>
              </w:rPr>
              <w:t>全体</w:t>
            </w:r>
            <w:r>
              <w:rPr>
                <w:rFonts w:hint="eastAsia" w:ascii="仿宋_GB2312" w:hAnsi="仿宋_GB2312" w:eastAsia="仿宋_GB2312" w:cs="仿宋_GB2312"/>
                <w:color w:val="000000"/>
                <w:sz w:val="28"/>
                <w:szCs w:val="28"/>
              </w:rPr>
              <w:t>在岗职工当年参加</w:t>
            </w:r>
            <w:r>
              <w:rPr>
                <w:rFonts w:hint="eastAsia" w:ascii="仿宋_GB2312" w:eastAsia="仿宋_GB2312" w:cs="FangSong-Identity-H"/>
                <w:color w:val="000000"/>
                <w:kern w:val="0"/>
                <w:sz w:val="28"/>
                <w:szCs w:val="28"/>
              </w:rPr>
              <w:t>县级及以上业务主管部门或乡镇及以上党委政府</w:t>
            </w:r>
            <w:r>
              <w:rPr>
                <w:rFonts w:hint="eastAsia" w:ascii="仿宋_GB2312" w:hAnsi="仿宋_GB2312" w:eastAsia="仿宋_GB2312" w:cs="仿宋_GB2312"/>
                <w:color w:val="000000"/>
                <w:sz w:val="28"/>
                <w:szCs w:val="28"/>
              </w:rPr>
              <w:t>组织的</w:t>
            </w:r>
            <w:r>
              <w:rPr>
                <w:rFonts w:hint="eastAsia" w:ascii="仿宋_GB2312" w:hAnsi="仿宋" w:eastAsia="仿宋_GB2312"/>
                <w:bCs/>
                <w:color w:val="000000"/>
                <w:sz w:val="28"/>
                <w:szCs w:val="28"/>
              </w:rPr>
              <w:t>廉政教育和业务培训情况，包括相关文件、名册、培训课程等；现场检查和后台核对结合，查看</w:t>
            </w:r>
            <w:r>
              <w:rPr>
                <w:rFonts w:hint="eastAsia" w:ascii="仿宋_GB2312" w:eastAsia="仿宋_GB2312" w:cs="FangSong-Identity-H"/>
                <w:color w:val="000000"/>
                <w:kern w:val="0"/>
                <w:sz w:val="28"/>
                <w:szCs w:val="28"/>
              </w:rPr>
              <w:t>参加全国乡镇林业工作站岗位培训在线学习平台学习情况</w:t>
            </w:r>
            <w:r>
              <w:rPr>
                <w:rFonts w:hint="eastAsia" w:ascii="仿宋_GB2312" w:hAnsi="仿宋_GB2312" w:eastAsia="仿宋_GB2312" w:cs="仿宋_GB2312"/>
                <w:color w:val="000000"/>
                <w:sz w:val="28"/>
                <w:szCs w:val="28"/>
              </w:rPr>
              <w:t>。所得数据与上报的数据相符的，认可上报数据；不相符的，以检查所得数据为准。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6"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8"/>
                <w:szCs w:val="28"/>
              </w:rPr>
            </w:pPr>
            <w:r>
              <w:rPr>
                <w:rFonts w:hint="eastAsia" w:ascii="仿宋_GB2312" w:hAnsi="仿宋_GB2312" w:eastAsia="仿宋_GB2312" w:cs="仿宋_GB2312"/>
                <w:color w:val="000000"/>
                <w:sz w:val="28"/>
                <w:szCs w:val="28"/>
              </w:rPr>
              <w:t>21.乡镇林业机构设施设备保障情况和资源档案数据微机化管理情况</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根据上报的辖区内乡镇林业工作站</w:t>
            </w:r>
            <w:r>
              <w:rPr>
                <w:rFonts w:hint="eastAsia" w:ascii="仿宋_GB2312" w:hAnsi="黑体" w:eastAsia="仿宋_GB2312" w:cs="仿宋_GB2312"/>
                <w:color w:val="000000"/>
                <w:sz w:val="28"/>
                <w:szCs w:val="28"/>
              </w:rPr>
              <w:t>设施设备保障情况和资源档案数据微机化管理</w:t>
            </w:r>
            <w:r>
              <w:rPr>
                <w:rFonts w:hint="eastAsia" w:ascii="仿宋_GB2312" w:hAnsi="仿宋_GB2312" w:eastAsia="仿宋_GB2312" w:cs="仿宋_GB2312"/>
                <w:color w:val="000000"/>
                <w:sz w:val="28"/>
                <w:szCs w:val="28"/>
              </w:rPr>
              <w:t>情况，查看乡镇林业工作站办公场所、办公设备、交通工具配置情况，以及</w:t>
            </w:r>
            <w:r>
              <w:rPr>
                <w:rFonts w:hint="eastAsia" w:ascii="仿宋_GB2312" w:hAnsi="黑体" w:eastAsia="仿宋_GB2312" w:cs="仿宋_GB2312"/>
                <w:color w:val="000000"/>
                <w:sz w:val="28"/>
                <w:szCs w:val="28"/>
              </w:rPr>
              <w:t>森林资源档案数据实行微机化管理</w:t>
            </w:r>
            <w:r>
              <w:rPr>
                <w:rFonts w:hint="eastAsia" w:ascii="仿宋_GB2312" w:hAnsi="仿宋_GB2312" w:eastAsia="仿宋_GB2312" w:cs="仿宋_GB2312"/>
                <w:color w:val="000000"/>
                <w:sz w:val="28"/>
                <w:szCs w:val="28"/>
              </w:rPr>
              <w:t>情况。所得数据与上报的数据相符的，认可上报数据；不相符的，以检查所得数据为准。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22.国有林场经营林地保有率</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黑体" w:eastAsia="仿宋_GB2312" w:cs="仿宋_GB2312"/>
                <w:color w:val="000000"/>
                <w:sz w:val="28"/>
                <w:szCs w:val="28"/>
              </w:rPr>
            </w:pPr>
            <w:r>
              <w:rPr>
                <w:rFonts w:hint="eastAsia" w:ascii="仿宋_GB2312" w:hAnsi="仿宋_GB2312" w:eastAsia="仿宋_GB2312" w:cs="仿宋_GB2312"/>
                <w:color w:val="000000"/>
                <w:sz w:val="28"/>
                <w:szCs w:val="28"/>
              </w:rPr>
              <w:t>镇、场不考核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23.国有林场森林资源监管</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黑体" w:eastAsia="仿宋_GB2312" w:cs="仿宋_GB2312"/>
                <w:color w:val="000000"/>
                <w:sz w:val="28"/>
                <w:szCs w:val="28"/>
              </w:rPr>
            </w:pPr>
            <w:r>
              <w:rPr>
                <w:rFonts w:hint="eastAsia" w:ascii="仿宋_GB2312" w:hAnsi="仿宋_GB2312" w:eastAsia="仿宋_GB2312" w:cs="仿宋_GB2312"/>
                <w:color w:val="000000"/>
                <w:sz w:val="28"/>
                <w:szCs w:val="28"/>
              </w:rPr>
              <w:t>以国有林场改革验收结果、</w:t>
            </w:r>
            <w:r>
              <w:rPr>
                <w:rFonts w:ascii="仿宋_GB2312" w:hAnsi="仿宋_GB2312" w:eastAsia="仿宋_GB2312" w:cs="仿宋_GB2312"/>
                <w:color w:val="000000"/>
                <w:sz w:val="28"/>
                <w:szCs w:val="28"/>
              </w:rPr>
              <w:t>年度林地变更调查</w:t>
            </w:r>
            <w:r>
              <w:rPr>
                <w:rFonts w:hint="eastAsia" w:ascii="仿宋_GB2312" w:hAnsi="仿宋_GB2312" w:eastAsia="仿宋_GB2312" w:cs="仿宋_GB2312"/>
                <w:color w:val="000000"/>
                <w:sz w:val="28"/>
                <w:szCs w:val="28"/>
              </w:rPr>
              <w:t>成果</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林政</w:t>
            </w:r>
            <w:r>
              <w:rPr>
                <w:rFonts w:ascii="仿宋_GB2312" w:hAnsi="仿宋_GB2312" w:eastAsia="仿宋_GB2312" w:cs="仿宋_GB2312"/>
                <w:color w:val="000000"/>
                <w:sz w:val="28"/>
                <w:szCs w:val="28"/>
              </w:rPr>
              <w:t>资源</w:t>
            </w:r>
            <w:r>
              <w:rPr>
                <w:rFonts w:hint="eastAsia" w:ascii="仿宋_GB2312" w:hAnsi="仿宋_GB2312" w:eastAsia="仿宋_GB2312" w:cs="仿宋_GB2312"/>
                <w:color w:val="000000"/>
                <w:sz w:val="28"/>
                <w:szCs w:val="28"/>
              </w:rPr>
              <w:t>管理</w:t>
            </w:r>
            <w:r>
              <w:rPr>
                <w:rFonts w:ascii="仿宋_GB2312" w:hAnsi="仿宋_GB2312" w:eastAsia="仿宋_GB2312" w:cs="仿宋_GB2312"/>
                <w:color w:val="000000"/>
                <w:sz w:val="28"/>
                <w:szCs w:val="28"/>
              </w:rPr>
              <w:t>综合检查、森林</w:t>
            </w:r>
            <w:r>
              <w:rPr>
                <w:rFonts w:hint="eastAsia" w:ascii="仿宋_GB2312" w:hAnsi="仿宋_GB2312" w:eastAsia="仿宋_GB2312" w:cs="仿宋_GB2312"/>
                <w:color w:val="000000"/>
                <w:sz w:val="28"/>
                <w:szCs w:val="28"/>
              </w:rPr>
              <w:t>防火检查</w:t>
            </w:r>
            <w:r>
              <w:rPr>
                <w:rFonts w:ascii="仿宋_GB2312" w:hAnsi="仿宋_GB2312" w:eastAsia="仿宋_GB2312" w:cs="仿宋_GB2312"/>
                <w:color w:val="000000"/>
                <w:sz w:val="28"/>
                <w:szCs w:val="28"/>
              </w:rPr>
              <w:t>和火灾统计</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森林公安立案统计为基础，同时通过信访举报、明查暗访</w:t>
            </w:r>
            <w:r>
              <w:rPr>
                <w:rFonts w:hint="eastAsia" w:ascii="仿宋_GB2312" w:hAnsi="仿宋_GB2312" w:eastAsia="仿宋_GB2312" w:cs="仿宋_GB2312"/>
                <w:color w:val="000000"/>
                <w:sz w:val="28"/>
                <w:szCs w:val="28"/>
              </w:rPr>
              <w:t>方式进行核查</w:t>
            </w:r>
            <w:r>
              <w:rPr>
                <w:rFonts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24.野生动植物保护与自然保护区建设管理工作落实情况</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eastAsia="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exact"/>
          <w:jc w:val="center"/>
        </w:trPr>
        <w:tc>
          <w:tcPr>
            <w:tcW w:w="2649"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25.野生动植物保护和自然保护区管理机制落实情况</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1"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26.野生动植物保护和自然保护区建设经费落实情况</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27.地方主体责任落实情况</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28.野生动物疫源疫病监测工作完成情况</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color w:val="000000"/>
                <w:sz w:val="28"/>
                <w:szCs w:val="28"/>
              </w:rPr>
            </w:pPr>
            <w:r>
              <w:rPr>
                <w:rFonts w:hint="eastAsia" w:ascii="仿宋_GB2312" w:eastAsia="仿宋_GB2312"/>
                <w:color w:val="000000"/>
                <w:sz w:val="28"/>
                <w:szCs w:val="28"/>
              </w:rPr>
              <w:t>镇、场2018年暂不考核。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29.湿地保护情况</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仿宋_GB2312" w:hAnsi="仿宋_GB2312" w:eastAsia="仿宋_GB2312" w:cs="仿宋_GB2312"/>
                <w:color w:val="000000"/>
                <w:sz w:val="28"/>
                <w:szCs w:val="28"/>
              </w:rPr>
            </w:pPr>
            <w:r>
              <w:rPr>
                <w:rFonts w:hint="eastAsia" w:hAnsi="仿宋_GB2312" w:eastAsia="仿宋_GB2312"/>
                <w:color w:val="000000"/>
                <w:sz w:val="28"/>
                <w:szCs w:val="28"/>
              </w:rPr>
              <w:t>镇、场不考核</w:t>
            </w:r>
            <w:r>
              <w:rPr>
                <w:rFonts w:hAnsi="仿宋_GB2312"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30.森林火灾受害率</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Ansi="仿宋_GB2312" w:eastAsia="仿宋_GB2312"/>
                <w:color w:val="000000"/>
                <w:sz w:val="28"/>
                <w:szCs w:val="28"/>
              </w:rPr>
            </w:pPr>
            <w:r>
              <w:rPr>
                <w:rFonts w:hint="eastAsia" w:hAnsi="仿宋_GB2312" w:eastAsia="仿宋_GB2312"/>
                <w:color w:val="000000"/>
                <w:sz w:val="28"/>
                <w:szCs w:val="28"/>
              </w:rPr>
              <w:t>以统计报表为依据，通过对比卫星热点反馈、查看值班记录、实地核对等方式，发现有瞒报的本项计0分。（森林火灾受害率(‰)=(本市森林火灾受害面积/森林面积)×1000‰）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5"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31.防火重点工作任务完成情况</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Ansi="仿宋_GB2312" w:eastAsia="仿宋_GB2312"/>
                <w:color w:val="000000"/>
                <w:sz w:val="28"/>
                <w:szCs w:val="28"/>
              </w:rPr>
            </w:pPr>
            <w:r>
              <w:rPr>
                <w:rFonts w:hint="eastAsia" w:hAnsi="仿宋_GB2312" w:eastAsia="仿宋_GB2312"/>
                <w:color w:val="000000"/>
                <w:sz w:val="28"/>
                <w:szCs w:val="28"/>
              </w:rPr>
              <w:t>结合森林防火目标管理考核，通过调阅资料、现场核查、森林防火信息系统查对等，对宣传教育、大型宣传牌（碑）建设、依法治火、数据库建设及其他要求完成的年度重点工作进行考评。多项重点任务可单独评分，进行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32.森林火灾信息报送情况</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Ansi="仿宋_GB2312" w:eastAsia="仿宋_GB2312"/>
                <w:color w:val="000000"/>
                <w:sz w:val="28"/>
                <w:szCs w:val="28"/>
              </w:rPr>
            </w:pPr>
            <w:r>
              <w:rPr>
                <w:rFonts w:hint="eastAsia" w:hAnsi="仿宋_GB2312" w:eastAsia="仿宋_GB2312"/>
                <w:color w:val="000000"/>
                <w:sz w:val="28"/>
                <w:szCs w:val="28"/>
              </w:rPr>
              <w:t>根据值班记录和报送的火情信息材料，对火情信息是否及时规范报送进行评分；根据记录的森林防火材料报送情况，对材料报送工作进行评分。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33.防火综合治理等项目</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Ansi="仿宋_GB2312" w:eastAsia="仿宋_GB2312"/>
                <w:color w:val="000000"/>
                <w:sz w:val="28"/>
                <w:szCs w:val="28"/>
              </w:rPr>
            </w:pPr>
            <w:r>
              <w:rPr>
                <w:rFonts w:hint="eastAsia" w:hAnsi="仿宋_GB2312" w:eastAsia="仿宋_GB2312"/>
                <w:color w:val="000000"/>
                <w:sz w:val="28"/>
                <w:szCs w:val="28"/>
              </w:rPr>
              <w:t>多个项目的可每个项目单独评分，进行平均。如无此两个项目的，得2分。项目进度：项目批复下达后，6个月内应当完成初步设计；资金下达后，按照建设时限开展建设，以此为据判断进度；超过初步设计规定的完成时间未全部完工的，按延迟扣分。质量按照初步设计评定。具体检查考核执行《广西壮族自治区森林防火目标管理奖惩办法》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4"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34.森林防火基础设施设备维护情况</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Ansi="仿宋_GB2312" w:eastAsia="仿宋_GB2312"/>
                <w:color w:val="000000"/>
                <w:sz w:val="28"/>
                <w:szCs w:val="28"/>
              </w:rPr>
            </w:pPr>
            <w:r>
              <w:rPr>
                <w:rFonts w:hint="eastAsia" w:hAnsi="仿宋_GB2312" w:eastAsia="仿宋_GB2312"/>
                <w:color w:val="000000"/>
                <w:sz w:val="28"/>
                <w:szCs w:val="28"/>
              </w:rPr>
              <w:t>根据年度统计报表所统计的基础设施设备数量，在森林防火信息系统上进行查对，看有无设施设备不维护、不使用或者丢失的情况。如不能在信息系统上查看到该设施设备，视为丢失。通过市森林防火办记录，查对统计设施设备运转不正常情况并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35.林业有害生物成灾率</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Ansi="仿宋_GB2312" w:eastAsia="仿宋_GB2312"/>
                <w:color w:val="000000"/>
                <w:sz w:val="28"/>
                <w:szCs w:val="28"/>
              </w:rPr>
            </w:pPr>
            <w:r>
              <w:rPr>
                <w:rFonts w:hint="eastAsia" w:hAnsi="仿宋_GB2312" w:eastAsia="仿宋_GB2312"/>
                <w:color w:val="000000"/>
                <w:sz w:val="28"/>
                <w:szCs w:val="28"/>
              </w:rPr>
              <w:t>执行《广西林业有害生物防治目标管理考核办法》。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36.无公害防治率</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Ansi="仿宋_GB2312" w:eastAsia="仿宋_GB2312"/>
                <w:color w:val="000000"/>
                <w:sz w:val="28"/>
                <w:szCs w:val="28"/>
              </w:rPr>
            </w:pPr>
            <w:r>
              <w:rPr>
                <w:rFonts w:hint="eastAsia" w:hAnsi="仿宋_GB2312" w:eastAsia="仿宋_GB2312"/>
                <w:color w:val="000000"/>
                <w:sz w:val="28"/>
                <w:szCs w:val="28"/>
              </w:rPr>
              <w:t>执行《广西林业有害生物防治目标管理考核办法》。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37.松材线虫病疫情监测和除治情况，及薇甘菊的危害情况</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Ansi="仿宋_GB2312" w:eastAsia="仿宋_GB2312"/>
                <w:color w:val="000000"/>
                <w:sz w:val="28"/>
                <w:szCs w:val="28"/>
              </w:rPr>
            </w:pPr>
            <w:r>
              <w:rPr>
                <w:rFonts w:hint="eastAsia" w:hAnsi="仿宋_GB2312" w:eastAsia="仿宋_GB2312"/>
                <w:color w:val="000000"/>
                <w:sz w:val="28"/>
                <w:szCs w:val="28"/>
              </w:rPr>
              <w:t>执行《广西林业有害生物防治目标管理考核办法》。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38.森林生态效益补偿资金支出兑现率</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Ansi="仿宋_GB2312" w:eastAsia="仿宋_GB2312"/>
                <w:color w:val="000000"/>
                <w:sz w:val="28"/>
                <w:szCs w:val="28"/>
              </w:rPr>
            </w:pPr>
            <w:r>
              <w:rPr>
                <w:rFonts w:hint="eastAsia" w:hAnsi="仿宋_GB2312" w:eastAsia="仿宋_GB2312"/>
                <w:color w:val="000000"/>
                <w:sz w:val="28"/>
                <w:szCs w:val="28"/>
              </w:rPr>
              <w:t>镇、场不考核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39.天然林管护资金兑现率</w:t>
            </w:r>
          </w:p>
        </w:tc>
        <w:tc>
          <w:tcPr>
            <w:tcW w:w="1001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firstLine="58" w:firstLineChars="21"/>
              <w:jc w:val="left"/>
              <w:rPr>
                <w:rFonts w:hAnsi="仿宋_GB2312" w:eastAsia="仿宋_GB2312"/>
                <w:color w:val="000000"/>
                <w:sz w:val="28"/>
                <w:szCs w:val="28"/>
              </w:rPr>
            </w:pPr>
            <w:r>
              <w:rPr>
                <w:rFonts w:hint="eastAsia" w:ascii="仿宋_GB2312" w:eastAsia="仿宋_GB2312" w:cs="SimSun-Identity-H"/>
                <w:color w:val="000000"/>
                <w:kern w:val="0"/>
                <w:sz w:val="28"/>
                <w:szCs w:val="28"/>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4"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40.切实履行资金监督管理职能</w:t>
            </w:r>
          </w:p>
        </w:tc>
        <w:tc>
          <w:tcPr>
            <w:tcW w:w="1001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napToGrid w:val="0"/>
              <w:spacing w:line="240" w:lineRule="atLeast"/>
              <w:ind w:firstLine="58" w:firstLineChars="21"/>
              <w:jc w:val="left"/>
              <w:rPr>
                <w:rFonts w:ascii="仿宋_GB2312" w:eastAsia="仿宋_GB2312" w:cs="SimSun-Identity-H"/>
                <w:color w:val="000000"/>
                <w:kern w:val="0"/>
                <w:sz w:val="28"/>
                <w:szCs w:val="28"/>
              </w:rPr>
            </w:pPr>
            <w:r>
              <w:rPr>
                <w:rFonts w:hint="eastAsia" w:ascii="仿宋_GB2312" w:eastAsia="仿宋_GB2312" w:cs="SimSun-Identity-H"/>
                <w:color w:val="000000"/>
                <w:kern w:val="0"/>
                <w:sz w:val="28"/>
                <w:szCs w:val="28"/>
              </w:rPr>
              <w:t>1.管理制度建设：提交已下发的资金发放监督的实施细则或年度工作方案文件。</w:t>
            </w:r>
          </w:p>
          <w:p>
            <w:pPr>
              <w:autoSpaceDE w:val="0"/>
              <w:autoSpaceDN w:val="0"/>
              <w:adjustRightInd w:val="0"/>
              <w:snapToGrid w:val="0"/>
              <w:spacing w:line="240" w:lineRule="atLeast"/>
              <w:ind w:firstLine="58" w:firstLineChars="21"/>
              <w:jc w:val="left"/>
              <w:rPr>
                <w:rFonts w:ascii="仿宋_GB2312" w:eastAsia="仿宋_GB2312" w:cs="SimSun-Identity-H"/>
                <w:color w:val="000000"/>
                <w:kern w:val="0"/>
                <w:sz w:val="28"/>
                <w:szCs w:val="28"/>
              </w:rPr>
            </w:pPr>
            <w:r>
              <w:rPr>
                <w:rFonts w:hint="eastAsia" w:ascii="仿宋_GB2312" w:eastAsia="仿宋_GB2312" w:cs="SimSun-Identity-H"/>
                <w:color w:val="000000"/>
                <w:kern w:val="0"/>
                <w:sz w:val="28"/>
                <w:szCs w:val="28"/>
              </w:rPr>
              <w:t>2.做好管护补助发放前的公示工作：公示内容包括管护补助对象名单、管护面积、检查结果、补助金额等，本项提交公示的影像资料。</w:t>
            </w:r>
          </w:p>
          <w:p>
            <w:pPr>
              <w:autoSpaceDE w:val="0"/>
              <w:autoSpaceDN w:val="0"/>
              <w:adjustRightInd w:val="0"/>
              <w:snapToGrid w:val="0"/>
              <w:spacing w:line="240" w:lineRule="atLeast"/>
              <w:ind w:firstLine="58" w:firstLineChars="21"/>
              <w:jc w:val="left"/>
              <w:rPr>
                <w:rFonts w:ascii="仿宋_GB2312" w:eastAsia="仿宋_GB2312" w:cs="SimSun-Identity-H"/>
                <w:color w:val="000000"/>
                <w:kern w:val="0"/>
                <w:sz w:val="28"/>
                <w:szCs w:val="28"/>
              </w:rPr>
            </w:pPr>
            <w:r>
              <w:rPr>
                <w:rFonts w:hint="eastAsia" w:ascii="仿宋_GB2312" w:eastAsia="仿宋_GB2312" w:cs="SimSun-Identity-H"/>
                <w:color w:val="000000"/>
                <w:kern w:val="0"/>
                <w:sz w:val="28"/>
                <w:szCs w:val="28"/>
              </w:rPr>
              <w:t>3.资金管理规范性：由检查考核组收集</w:t>
            </w:r>
            <w:r>
              <w:rPr>
                <w:rFonts w:hint="eastAsia" w:ascii="仿宋_GB2312" w:eastAsia="仿宋_GB2312"/>
                <w:color w:val="000000"/>
                <w:sz w:val="28"/>
                <w:szCs w:val="28"/>
              </w:rPr>
              <w:t>被审计、财政及上级林业主管部门发现的违规违法行为</w:t>
            </w:r>
            <w:r>
              <w:rPr>
                <w:rFonts w:hint="eastAsia" w:ascii="仿宋_GB2312" w:eastAsia="仿宋_GB2312" w:cs="SimSun-Identity-H"/>
                <w:color w:val="000000"/>
                <w:kern w:val="0"/>
                <w:sz w:val="28"/>
                <w:szCs w:val="28"/>
              </w:rPr>
              <w:t>相关材料。如无相关材料，则认定为资金管理规范。</w:t>
            </w:r>
          </w:p>
          <w:p>
            <w:pPr>
              <w:autoSpaceDE w:val="0"/>
              <w:autoSpaceDN w:val="0"/>
              <w:adjustRightInd w:val="0"/>
              <w:snapToGrid w:val="0"/>
              <w:spacing w:line="240" w:lineRule="atLeast"/>
              <w:ind w:firstLine="58" w:firstLineChars="21"/>
              <w:jc w:val="left"/>
              <w:rPr>
                <w:rFonts w:ascii="仿宋_GB2312" w:eastAsia="仿宋_GB2312" w:cs="SimSun-Identity-H"/>
                <w:color w:val="000000"/>
                <w:kern w:val="0"/>
                <w:sz w:val="28"/>
                <w:szCs w:val="28"/>
              </w:rPr>
            </w:pPr>
            <w:r>
              <w:rPr>
                <w:rFonts w:hint="eastAsia" w:ascii="仿宋_GB2312" w:eastAsia="仿宋_GB2312" w:cs="SimSun-Identity-H"/>
                <w:color w:val="000000"/>
                <w:kern w:val="0"/>
                <w:sz w:val="28"/>
                <w:szCs w:val="28"/>
              </w:rPr>
              <w:t>4.组织开展监督检查工作：本项提交当年检查通知文件及检查情况通报文件。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41.案件立案情况</w:t>
            </w:r>
          </w:p>
        </w:tc>
        <w:tc>
          <w:tcPr>
            <w:tcW w:w="10014"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cs="SimSun-Identity-H"/>
                <w:color w:val="000000"/>
                <w:kern w:val="0"/>
                <w:sz w:val="28"/>
                <w:szCs w:val="28"/>
              </w:rPr>
            </w:pPr>
            <w:r>
              <w:rPr>
                <w:rFonts w:hint="eastAsia" w:ascii="仿宋_GB2312" w:eastAsia="仿宋_GB2312" w:cs="SimSun-Identity-H"/>
                <w:color w:val="000000"/>
                <w:kern w:val="0"/>
                <w:sz w:val="28"/>
                <w:szCs w:val="28"/>
              </w:rPr>
              <w:t>镇、场不考核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42.案件查处和整改情况</w:t>
            </w:r>
          </w:p>
        </w:tc>
        <w:tc>
          <w:tcPr>
            <w:tcW w:w="1001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napToGrid w:val="0"/>
              <w:spacing w:line="240" w:lineRule="atLeast"/>
              <w:jc w:val="left"/>
              <w:rPr>
                <w:rFonts w:ascii="仿宋_GB2312" w:eastAsia="仿宋_GB2312" w:cs="SimSun-Identity-H"/>
                <w:color w:val="000000"/>
                <w:kern w:val="0"/>
                <w:sz w:val="28"/>
                <w:szCs w:val="28"/>
              </w:rPr>
            </w:pPr>
            <w:r>
              <w:rPr>
                <w:rFonts w:hint="eastAsia" w:ascii="仿宋_GB2312" w:eastAsia="仿宋_GB2312" w:cs="SimSun-Identity-H"/>
                <w:color w:val="000000"/>
                <w:kern w:val="0"/>
                <w:sz w:val="28"/>
                <w:szCs w:val="28"/>
              </w:rPr>
              <w:t>镇、场不考核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exac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43.森林公安单警装备配备情况</w:t>
            </w:r>
          </w:p>
        </w:tc>
        <w:tc>
          <w:tcPr>
            <w:tcW w:w="100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sz w:val="28"/>
                <w:szCs w:val="28"/>
              </w:rPr>
            </w:pPr>
            <w:r>
              <w:rPr>
                <w:rFonts w:hint="eastAsia" w:ascii="仿宋_GB2312" w:eastAsia="仿宋_GB2312" w:cs="SimSun-Identity-H"/>
                <w:color w:val="000000"/>
                <w:kern w:val="0"/>
                <w:sz w:val="28"/>
                <w:szCs w:val="28"/>
              </w:rPr>
              <w:t>依照自治区公安厅印发的《广西公安单警装备配备实施标准》中规定的人民警察在执法执勤中必须配备的个人基本装备进行检查。（镇、场不考核）</w:t>
            </w:r>
          </w:p>
        </w:tc>
      </w:tr>
    </w:tbl>
    <w:p>
      <w:pPr>
        <w:spacing w:line="560" w:lineRule="exact"/>
        <w:rPr>
          <w:rFonts w:ascii="仿宋_GB2312" w:hAnsi="方正小标宋简体" w:eastAsia="仿宋_GB2312" w:cs="方正小标宋简体"/>
          <w:color w:val="000000"/>
          <w:sz w:val="32"/>
          <w:szCs w:val="32"/>
        </w:rPr>
        <w:sectPr>
          <w:pgSz w:w="16838" w:h="11906" w:orient="landscape"/>
          <w:pgMar w:top="1587" w:right="2098" w:bottom="1474" w:left="1984" w:header="851" w:footer="992" w:gutter="0"/>
          <w:pgNumType w:fmt="decimal"/>
          <w:cols w:space="0" w:num="1"/>
          <w:rtlGutter w:val="0"/>
          <w:docGrid w:type="lines" w:linePitch="315" w:charSpace="0"/>
        </w:sectPr>
      </w:pPr>
    </w:p>
    <w:p>
      <w:pPr>
        <w:spacing w:line="560" w:lineRule="exact"/>
        <w:rPr>
          <w:rFonts w:ascii="Times New Roman" w:hAnsi="Times New Roman" w:eastAsia="仿宋_GB2312" w:cs="Times New Roman"/>
          <w:color w:val="000000"/>
          <w:sz w:val="32"/>
          <w:szCs w:val="32"/>
        </w:rPr>
      </w:pPr>
      <w:r>
        <w:rPr>
          <w:rFonts w:ascii="Times New Roman" w:hAnsi="方正小标宋简体" w:eastAsia="方正小标宋简体" w:cs="Times New Roman"/>
          <w:color w:val="000000"/>
          <w:sz w:val="32"/>
          <w:szCs w:val="32"/>
        </w:rPr>
        <w:t>附表</w:t>
      </w:r>
      <w:r>
        <w:rPr>
          <w:rFonts w:ascii="Times New Roman" w:hAnsi="Times New Roman" w:eastAsia="方正小标宋简体" w:cs="Times New Roman"/>
          <w:color w:val="000000"/>
          <w:sz w:val="32"/>
          <w:szCs w:val="32"/>
        </w:rPr>
        <w:t>3</w:t>
      </w:r>
      <w:r>
        <w:rPr>
          <w:rFonts w:ascii="Times New Roman" w:hAnsi="方正小标宋简体" w:eastAsia="方正小标宋简体" w:cs="Times New Roman"/>
          <w:color w:val="000000"/>
          <w:sz w:val="32"/>
          <w:szCs w:val="32"/>
        </w:rPr>
        <w:t>：</w:t>
      </w:r>
    </w:p>
    <w:p>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目标责任制加分指标及评分标准</w:t>
      </w:r>
    </w:p>
    <w:tbl>
      <w:tblPr>
        <w:tblStyle w:val="12"/>
        <w:tblW w:w="12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900"/>
        <w:gridCol w:w="9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exact"/>
          <w:jc w:val="center"/>
        </w:trPr>
        <w:tc>
          <w:tcPr>
            <w:tcW w:w="20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rPr>
            </w:pPr>
            <w:r>
              <w:rPr>
                <w:rFonts w:hint="eastAsia" w:ascii="仿宋_GB2312" w:eastAsia="仿宋_GB2312"/>
                <w:color w:val="000000"/>
              </w:rPr>
              <w:t>考核指标</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rPr>
            </w:pPr>
            <w:r>
              <w:rPr>
                <w:rFonts w:hint="eastAsia" w:ascii="仿宋_GB2312" w:eastAsia="仿宋_GB2312"/>
                <w:color w:val="000000"/>
              </w:rPr>
              <w:t>加分值</w:t>
            </w:r>
          </w:p>
        </w:tc>
        <w:tc>
          <w:tcPr>
            <w:tcW w:w="99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rPr>
            </w:pPr>
            <w:r>
              <w:rPr>
                <w:rFonts w:hint="eastAsia" w:ascii="仿宋_GB2312" w:eastAsia="仿宋_GB2312"/>
                <w:color w:val="00000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exact"/>
          <w:jc w:val="center"/>
        </w:trPr>
        <w:tc>
          <w:tcPr>
            <w:tcW w:w="2028"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重点营造林工程任务完成率</w:t>
            </w:r>
          </w:p>
        </w:tc>
        <w:tc>
          <w:tcPr>
            <w:tcW w:w="900" w:type="dxa"/>
            <w:tcBorders>
              <w:top w:val="single" w:color="auto" w:sz="4" w:space="0"/>
              <w:left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0</w:t>
            </w:r>
          </w:p>
        </w:tc>
        <w:tc>
          <w:tcPr>
            <w:tcW w:w="9922"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当年承担自治区下达的退耕还林、珠防林或海防林等重点营造林工程，全区工程任务完成率超过100%(含100%)的，相关镇、场加1分；全区完成率低于100%，不加分。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exact"/>
          <w:jc w:val="center"/>
        </w:trPr>
        <w:tc>
          <w:tcPr>
            <w:tcW w:w="2028"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占用征收林地面积审核（审批）率</w:t>
            </w:r>
          </w:p>
        </w:tc>
        <w:tc>
          <w:tcPr>
            <w:tcW w:w="900" w:type="dxa"/>
            <w:tcBorders>
              <w:top w:val="single" w:color="auto" w:sz="4" w:space="0"/>
              <w:left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9922"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9</w:t>
            </w:r>
            <w:r>
              <w:rPr>
                <w:rFonts w:ascii="仿宋_GB2312" w:hAnsi="仿宋_GB2312" w:eastAsia="仿宋_GB2312" w:cs="仿宋_GB2312"/>
                <w:color w:val="000000"/>
              </w:rPr>
              <w:t>0</w:t>
            </w:r>
            <w:r>
              <w:rPr>
                <w:rFonts w:hint="eastAsia" w:ascii="仿宋_GB2312" w:hAnsi="仿宋_GB2312" w:eastAsia="仿宋_GB2312" w:cs="仿宋_GB2312"/>
                <w:color w:val="000000"/>
              </w:rPr>
              <w:t>～9</w:t>
            </w:r>
            <w:r>
              <w:rPr>
                <w:rFonts w:ascii="仿宋_GB2312" w:hAnsi="仿宋_GB2312" w:eastAsia="仿宋_GB2312" w:cs="仿宋_GB2312"/>
                <w:color w:val="000000"/>
              </w:rPr>
              <w:t>4%</w:t>
            </w:r>
            <w:r>
              <w:rPr>
                <w:rFonts w:hint="eastAsia" w:ascii="仿宋_GB2312" w:hAnsi="仿宋_GB2312" w:eastAsia="仿宋_GB2312" w:cs="仿宋_GB2312"/>
                <w:color w:val="000000"/>
              </w:rPr>
              <w:t>不加分，9</w:t>
            </w:r>
            <w:r>
              <w:rPr>
                <w:rFonts w:ascii="仿宋_GB2312" w:hAnsi="仿宋_GB2312" w:eastAsia="仿宋_GB2312" w:cs="仿宋_GB2312"/>
                <w:color w:val="000000"/>
              </w:rPr>
              <w:t>5%</w:t>
            </w:r>
            <w:r>
              <w:rPr>
                <w:rFonts w:hint="eastAsia" w:ascii="仿宋_GB2312" w:hAnsi="仿宋_GB2312" w:eastAsia="仿宋_GB2312" w:cs="仿宋_GB2312"/>
                <w:color w:val="000000"/>
              </w:rPr>
              <w:t>以上每增加1个百分点加0</w:t>
            </w:r>
            <w:r>
              <w:rPr>
                <w:rFonts w:ascii="仿宋_GB2312" w:hAnsi="仿宋_GB2312" w:eastAsia="仿宋_GB2312" w:cs="仿宋_GB2312"/>
                <w:color w:val="000000"/>
              </w:rPr>
              <w:t>.</w:t>
            </w:r>
            <w:r>
              <w:rPr>
                <w:rFonts w:hint="eastAsia" w:ascii="仿宋_GB2312" w:hAnsi="仿宋_GB2312" w:eastAsia="仿宋_GB2312" w:cs="仿宋_GB2312"/>
                <w:color w:val="000000"/>
              </w:rPr>
              <w:t>2分，最多加2分。（涉及镇、场相应加分）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jc w:val="center"/>
        </w:trPr>
        <w:tc>
          <w:tcPr>
            <w:tcW w:w="2028"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天然商品林停止商业性采伐协议签订率</w:t>
            </w:r>
          </w:p>
        </w:tc>
        <w:tc>
          <w:tcPr>
            <w:tcW w:w="900" w:type="dxa"/>
            <w:tcBorders>
              <w:top w:val="single" w:color="auto" w:sz="4" w:space="0"/>
              <w:left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9922"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9</w:t>
            </w:r>
            <w:r>
              <w:rPr>
                <w:rFonts w:ascii="仿宋_GB2312" w:hAnsi="仿宋_GB2312" w:eastAsia="仿宋_GB2312" w:cs="仿宋_GB2312"/>
                <w:color w:val="000000"/>
              </w:rPr>
              <w:t>0</w:t>
            </w:r>
            <w:r>
              <w:rPr>
                <w:rFonts w:hint="eastAsia" w:ascii="仿宋_GB2312" w:hAnsi="仿宋_GB2312" w:eastAsia="仿宋_GB2312" w:cs="仿宋_GB2312"/>
                <w:color w:val="000000"/>
              </w:rPr>
              <w:t>～9</w:t>
            </w:r>
            <w:r>
              <w:rPr>
                <w:rFonts w:ascii="仿宋_GB2312" w:hAnsi="仿宋_GB2312" w:eastAsia="仿宋_GB2312" w:cs="仿宋_GB2312"/>
                <w:color w:val="000000"/>
              </w:rPr>
              <w:t>4%</w:t>
            </w:r>
            <w:r>
              <w:rPr>
                <w:rFonts w:hint="eastAsia" w:ascii="仿宋_GB2312" w:hAnsi="仿宋_GB2312" w:eastAsia="仿宋_GB2312" w:cs="仿宋_GB2312"/>
                <w:color w:val="000000"/>
              </w:rPr>
              <w:t>不加分，9</w:t>
            </w:r>
            <w:r>
              <w:rPr>
                <w:rFonts w:ascii="仿宋_GB2312" w:hAnsi="仿宋_GB2312" w:eastAsia="仿宋_GB2312" w:cs="仿宋_GB2312"/>
                <w:color w:val="000000"/>
              </w:rPr>
              <w:t>5%</w:t>
            </w:r>
            <w:r>
              <w:rPr>
                <w:rFonts w:hint="eastAsia" w:ascii="仿宋_GB2312" w:hAnsi="仿宋_GB2312" w:eastAsia="仿宋_GB2312" w:cs="仿宋_GB2312"/>
                <w:color w:val="000000"/>
              </w:rPr>
              <w:t>以上每增加1个百分点加0</w:t>
            </w:r>
            <w:r>
              <w:rPr>
                <w:rFonts w:ascii="仿宋_GB2312" w:hAnsi="仿宋_GB2312" w:eastAsia="仿宋_GB2312" w:cs="仿宋_GB2312"/>
                <w:color w:val="000000"/>
              </w:rPr>
              <w:t>.</w:t>
            </w:r>
            <w:r>
              <w:rPr>
                <w:rFonts w:hint="eastAsia" w:ascii="仿宋_GB2312" w:hAnsi="仿宋_GB2312" w:eastAsia="仿宋_GB2312" w:cs="仿宋_GB2312"/>
                <w:color w:val="000000"/>
              </w:rPr>
              <w:t>2分，最多加2分。（涉及镇、场相应加分）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exact"/>
          <w:jc w:val="center"/>
        </w:trPr>
        <w:tc>
          <w:tcPr>
            <w:tcW w:w="2028"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天然林管护资金兑现率</w:t>
            </w:r>
          </w:p>
        </w:tc>
        <w:tc>
          <w:tcPr>
            <w:tcW w:w="900" w:type="dxa"/>
            <w:tcBorders>
              <w:top w:val="single" w:color="auto" w:sz="4" w:space="0"/>
              <w:left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9922" w:type="dxa"/>
            <w:tcBorders>
              <w:top w:val="single" w:color="auto" w:sz="4" w:space="0"/>
              <w:left w:val="single" w:color="auto" w:sz="4" w:space="0"/>
              <w:right w:val="single" w:color="auto" w:sz="4" w:space="0"/>
            </w:tcBorders>
            <w:noWrap w:val="0"/>
            <w:vAlign w:val="center"/>
          </w:tcPr>
          <w:p>
            <w:pPr>
              <w:spacing w:line="400" w:lineRule="exact"/>
              <w:rPr>
                <w:rFonts w:eastAsia="楷体_GB2312"/>
                <w:color w:val="000000"/>
              </w:rPr>
            </w:pPr>
            <w:r>
              <w:rPr>
                <w:rFonts w:hint="eastAsia" w:ascii="仿宋_GB2312" w:hAnsi="仿宋_GB2312" w:eastAsia="仿宋_GB2312" w:cs="仿宋_GB2312"/>
                <w:color w:val="000000"/>
              </w:rPr>
              <w:t>9</w:t>
            </w:r>
            <w:r>
              <w:rPr>
                <w:rFonts w:ascii="仿宋_GB2312" w:hAnsi="仿宋_GB2312" w:eastAsia="仿宋_GB2312" w:cs="仿宋_GB2312"/>
                <w:color w:val="000000"/>
              </w:rPr>
              <w:t>0</w:t>
            </w:r>
            <w:r>
              <w:rPr>
                <w:rFonts w:hint="eastAsia" w:ascii="仿宋_GB2312" w:hAnsi="仿宋_GB2312" w:eastAsia="仿宋_GB2312" w:cs="仿宋_GB2312"/>
                <w:color w:val="000000"/>
              </w:rPr>
              <w:t>～9</w:t>
            </w:r>
            <w:r>
              <w:rPr>
                <w:rFonts w:ascii="仿宋_GB2312" w:hAnsi="仿宋_GB2312" w:eastAsia="仿宋_GB2312" w:cs="仿宋_GB2312"/>
                <w:color w:val="000000"/>
              </w:rPr>
              <w:t>4%</w:t>
            </w:r>
            <w:r>
              <w:rPr>
                <w:rFonts w:hint="eastAsia" w:ascii="仿宋_GB2312" w:hAnsi="仿宋_GB2312" w:eastAsia="仿宋_GB2312" w:cs="仿宋_GB2312"/>
                <w:color w:val="000000"/>
              </w:rPr>
              <w:t>不加分，9</w:t>
            </w:r>
            <w:r>
              <w:rPr>
                <w:rFonts w:ascii="仿宋_GB2312" w:hAnsi="仿宋_GB2312" w:eastAsia="仿宋_GB2312" w:cs="仿宋_GB2312"/>
                <w:color w:val="000000"/>
              </w:rPr>
              <w:t>5%</w:t>
            </w:r>
            <w:r>
              <w:rPr>
                <w:rFonts w:hint="eastAsia" w:ascii="仿宋_GB2312" w:hAnsi="仿宋_GB2312" w:eastAsia="仿宋_GB2312" w:cs="仿宋_GB2312"/>
                <w:color w:val="000000"/>
              </w:rPr>
              <w:t>以上每增加1个百分点加0</w:t>
            </w:r>
            <w:r>
              <w:rPr>
                <w:rFonts w:ascii="仿宋_GB2312" w:hAnsi="仿宋_GB2312" w:eastAsia="仿宋_GB2312" w:cs="仿宋_GB2312"/>
                <w:color w:val="000000"/>
              </w:rPr>
              <w:t>.</w:t>
            </w:r>
            <w:r>
              <w:rPr>
                <w:rFonts w:hint="eastAsia" w:ascii="仿宋_GB2312" w:hAnsi="仿宋_GB2312" w:eastAsia="仿宋_GB2312" w:cs="仿宋_GB2312"/>
                <w:color w:val="000000"/>
              </w:rPr>
              <w:t>2分，最多加2分。（涉及镇、场相应加分）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jc w:val="center"/>
        </w:trPr>
        <w:tc>
          <w:tcPr>
            <w:tcW w:w="2028"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国有林场被侵占林地回收</w:t>
            </w:r>
          </w:p>
        </w:tc>
        <w:tc>
          <w:tcPr>
            <w:tcW w:w="900" w:type="dxa"/>
            <w:tcBorders>
              <w:top w:val="single" w:color="auto" w:sz="4" w:space="0"/>
              <w:left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9922" w:type="dxa"/>
            <w:tcBorders>
              <w:top w:val="single" w:color="auto" w:sz="4" w:space="0"/>
              <w:left w:val="single" w:color="auto" w:sz="4" w:space="0"/>
              <w:right w:val="single" w:color="auto" w:sz="4" w:space="0"/>
            </w:tcBorders>
            <w:noWrap w:val="0"/>
            <w:vAlign w:val="center"/>
          </w:tcPr>
          <w:p>
            <w:pPr>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超额完成辖区</w:t>
            </w:r>
            <w:r>
              <w:rPr>
                <w:rFonts w:ascii="仿宋_GB2312" w:hAnsi="仿宋_GB2312" w:eastAsia="仿宋_GB2312" w:cs="仿宋_GB2312"/>
                <w:color w:val="000000"/>
              </w:rPr>
              <w:t>内</w:t>
            </w:r>
            <w:r>
              <w:rPr>
                <w:rFonts w:hint="eastAsia" w:ascii="仿宋_GB2312" w:hAnsi="仿宋_GB2312" w:eastAsia="仿宋_GB2312" w:cs="仿宋_GB2312"/>
                <w:color w:val="000000"/>
              </w:rPr>
              <w:t>国有林场（含</w:t>
            </w:r>
            <w:r>
              <w:rPr>
                <w:rFonts w:ascii="仿宋_GB2312" w:hAnsi="仿宋_GB2312" w:eastAsia="仿宋_GB2312" w:cs="仿宋_GB2312"/>
                <w:color w:val="000000"/>
              </w:rPr>
              <w:t>区直林场）</w:t>
            </w:r>
            <w:r>
              <w:rPr>
                <w:rFonts w:hint="eastAsia" w:ascii="仿宋_GB2312" w:hAnsi="仿宋_GB2312" w:eastAsia="仿宋_GB2312" w:cs="仿宋_GB2312"/>
                <w:color w:val="000000"/>
              </w:rPr>
              <w:t>被侵占林地回收任务的，每提高1个百分点加0.5分，最高加2分。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exact"/>
          <w:jc w:val="center"/>
        </w:trPr>
        <w:tc>
          <w:tcPr>
            <w:tcW w:w="202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000000"/>
              </w:rPr>
            </w:pPr>
            <w:r>
              <w:rPr>
                <w:rFonts w:hint="eastAsia" w:ascii="仿宋" w:hAnsi="仿宋" w:eastAsia="仿宋"/>
                <w:color w:val="000000"/>
              </w:rPr>
              <w:t>森林防火工作</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99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eastAsia="仿宋_GB2312"/>
                <w:color w:val="000000"/>
              </w:rPr>
            </w:pPr>
            <w:r>
              <w:rPr>
                <w:rFonts w:hint="eastAsia" w:eastAsia="仿宋_GB2312"/>
                <w:color w:val="000000"/>
              </w:rPr>
              <w:t>森林防火工作得到国家通报表扬的，每次加0.5分；得到自治区通报表扬的，每次加0.2分。获得全国森林防火先进单位、先进个人的，每个先进单位、先进个人加0.5分；获得自治区先进的，每个先进单位、先进个人加0.2分。承办国家或者自治区应急办演练，以及国家现场会的，每次加0.5分。森林防火项目建设质量优秀，被国家或自治区评为示范项目的，每项加0.5分。本项最高加4分。</w:t>
            </w:r>
          </w:p>
        </w:tc>
      </w:tr>
    </w:tbl>
    <w:p>
      <w:pPr>
        <w:pStyle w:val="7"/>
        <w:spacing w:before="0" w:beforeAutospacing="0" w:after="0" w:afterAutospacing="0" w:line="560" w:lineRule="exact"/>
        <w:ind w:firstLine="320" w:firstLineChars="100"/>
        <w:jc w:val="both"/>
        <w:rPr>
          <w:rFonts w:ascii="仿宋" w:hAnsi="仿宋" w:eastAsia="仿宋"/>
          <w:color w:val="000000"/>
          <w:sz w:val="32"/>
          <w:szCs w:val="32"/>
        </w:rPr>
        <w:sectPr>
          <w:pgSz w:w="16838" w:h="11906" w:orient="landscape"/>
          <w:pgMar w:top="1587" w:right="2098" w:bottom="1474" w:left="1984" w:header="851" w:footer="992" w:gutter="0"/>
          <w:pgNumType w:fmt="decimal"/>
          <w:cols w:space="0" w:num="1"/>
          <w:rtlGutter w:val="0"/>
          <w:docGrid w:type="lines" w:linePitch="315" w:charSpace="0"/>
        </w:sectPr>
      </w:pPr>
    </w:p>
    <w:p>
      <w:pPr>
        <w:pStyle w:val="7"/>
        <w:spacing w:before="0" w:beforeAutospacing="0" w:after="0" w:afterAutospacing="0" w:line="560" w:lineRule="exact"/>
        <w:jc w:val="both"/>
        <w:rPr>
          <w:rFonts w:ascii="Times New Roman" w:hAnsi="Times New Roman" w:eastAsia="黑体" w:cs="Times New Roman"/>
          <w:color w:val="000000"/>
          <w:sz w:val="32"/>
          <w:szCs w:val="32"/>
        </w:rPr>
      </w:pPr>
      <w:r>
        <w:rPr>
          <w:rFonts w:ascii="Times New Roman" w:hAnsi="黑体" w:eastAsia="黑体" w:cs="Times New Roman"/>
          <w:bCs/>
          <w:color w:val="000000"/>
          <w:sz w:val="32"/>
          <w:szCs w:val="32"/>
        </w:rPr>
        <w:t>附表</w:t>
      </w:r>
      <w:r>
        <w:rPr>
          <w:rFonts w:ascii="Times New Roman" w:hAnsi="Times New Roman" w:eastAsia="黑体" w:cs="Times New Roman"/>
          <w:bCs/>
          <w:color w:val="000000"/>
          <w:sz w:val="32"/>
          <w:szCs w:val="32"/>
        </w:rPr>
        <w:t>4</w:t>
      </w:r>
      <w:r>
        <w:rPr>
          <w:rFonts w:ascii="Times New Roman" w:hAnsi="黑体" w:eastAsia="黑体" w:cs="Times New Roman"/>
          <w:bCs/>
          <w:color w:val="000000"/>
          <w:sz w:val="32"/>
          <w:szCs w:val="32"/>
        </w:rPr>
        <w:t>：</w:t>
      </w:r>
    </w:p>
    <w:p>
      <w:pPr>
        <w:widowControl/>
        <w:spacing w:line="400" w:lineRule="exact"/>
        <w:ind w:firstLine="643"/>
        <w:jc w:val="center"/>
        <w:rPr>
          <w:rFonts w:ascii="黑体" w:hAnsi="黑体" w:eastAsia="黑体" w:cs="宋体"/>
          <w:bCs/>
          <w:color w:val="000000"/>
          <w:kern w:val="0"/>
          <w:sz w:val="44"/>
          <w:szCs w:val="44"/>
        </w:rPr>
      </w:pPr>
      <w:r>
        <w:rPr>
          <w:rFonts w:hint="eastAsia" w:ascii="黑体" w:hAnsi="黑体" w:eastAsia="黑体" w:cs="宋体"/>
          <w:bCs/>
          <w:color w:val="000000"/>
          <w:kern w:val="0"/>
          <w:sz w:val="44"/>
          <w:szCs w:val="44"/>
        </w:rPr>
        <w:t>目标责任制执行情况考核指标评分表</w:t>
      </w:r>
    </w:p>
    <w:p>
      <w:pPr>
        <w:pStyle w:val="7"/>
        <w:spacing w:before="0" w:beforeAutospacing="0" w:after="0" w:afterAutospacing="0" w:line="400" w:lineRule="exact"/>
        <w:ind w:firstLine="280" w:firstLineChars="100"/>
        <w:jc w:val="both"/>
        <w:rPr>
          <w:rFonts w:ascii="仿宋" w:hAnsi="仿宋" w:eastAsia="仿宋"/>
          <w:color w:val="000000"/>
          <w:sz w:val="28"/>
          <w:szCs w:val="28"/>
        </w:rPr>
      </w:pPr>
      <w:r>
        <w:rPr>
          <w:rFonts w:hint="eastAsia" w:ascii="仿宋" w:hAnsi="仿宋" w:eastAsia="仿宋"/>
          <w:color w:val="000000"/>
          <w:sz w:val="28"/>
          <w:szCs w:val="28"/>
          <w:u w:val="single"/>
        </w:rPr>
        <w:t xml:space="preserve">        镇（场）        </w:t>
      </w:r>
      <w:r>
        <w:rPr>
          <w:rFonts w:hint="eastAsia" w:ascii="仿宋" w:hAnsi="仿宋" w:eastAsia="仿宋"/>
          <w:color w:val="000000"/>
          <w:sz w:val="28"/>
          <w:szCs w:val="28"/>
        </w:rPr>
        <w:t>年度</w:t>
      </w:r>
    </w:p>
    <w:tbl>
      <w:tblPr>
        <w:tblStyle w:val="12"/>
        <w:tblW w:w="12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84"/>
        <w:gridCol w:w="1080"/>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jc w:val="center"/>
              <w:rPr>
                <w:rFonts w:ascii="仿宋" w:hAnsi="仿宋" w:eastAsia="仿宋" w:cs="宋体"/>
                <w:color w:val="000000"/>
                <w:sz w:val="28"/>
                <w:szCs w:val="28"/>
              </w:rPr>
            </w:pPr>
            <w:r>
              <w:rPr>
                <w:rFonts w:hint="eastAsia" w:ascii="仿宋" w:hAnsi="仿宋" w:eastAsia="仿宋" w:cs="宋体"/>
                <w:color w:val="000000"/>
                <w:sz w:val="28"/>
                <w:szCs w:val="28"/>
              </w:rPr>
              <w:t>考核指标</w:t>
            </w:r>
          </w:p>
        </w:tc>
        <w:tc>
          <w:tcPr>
            <w:tcW w:w="984" w:type="dxa"/>
            <w:noWrap w:val="0"/>
            <w:vAlign w:val="top"/>
          </w:tcPr>
          <w:p>
            <w:pPr>
              <w:jc w:val="center"/>
              <w:rPr>
                <w:rFonts w:ascii="仿宋" w:hAnsi="仿宋" w:eastAsia="仿宋" w:cs="宋体"/>
                <w:color w:val="000000"/>
                <w:sz w:val="28"/>
                <w:szCs w:val="28"/>
              </w:rPr>
            </w:pPr>
            <w:r>
              <w:rPr>
                <w:rFonts w:hint="eastAsia" w:ascii="仿宋" w:hAnsi="仿宋" w:eastAsia="仿宋" w:cs="宋体"/>
                <w:color w:val="000000"/>
                <w:sz w:val="28"/>
                <w:szCs w:val="28"/>
              </w:rPr>
              <w:t>分值</w:t>
            </w:r>
          </w:p>
        </w:tc>
        <w:tc>
          <w:tcPr>
            <w:tcW w:w="1080" w:type="dxa"/>
            <w:noWrap w:val="0"/>
            <w:vAlign w:val="top"/>
          </w:tcPr>
          <w:p>
            <w:pPr>
              <w:jc w:val="center"/>
              <w:rPr>
                <w:rFonts w:ascii="仿宋" w:hAnsi="仿宋" w:eastAsia="仿宋" w:cs="宋体"/>
                <w:color w:val="000000"/>
                <w:sz w:val="28"/>
                <w:szCs w:val="28"/>
              </w:rPr>
            </w:pPr>
            <w:r>
              <w:rPr>
                <w:rFonts w:hint="eastAsia" w:ascii="仿宋" w:hAnsi="仿宋" w:eastAsia="仿宋" w:cs="宋体"/>
                <w:color w:val="000000"/>
                <w:sz w:val="28"/>
                <w:szCs w:val="28"/>
              </w:rPr>
              <w:t>得分</w:t>
            </w:r>
          </w:p>
        </w:tc>
        <w:tc>
          <w:tcPr>
            <w:tcW w:w="9288" w:type="dxa"/>
            <w:noWrap w:val="0"/>
            <w:vAlign w:val="top"/>
          </w:tcPr>
          <w:p>
            <w:pPr>
              <w:pStyle w:val="7"/>
              <w:spacing w:before="0" w:beforeAutospacing="0" w:after="0" w:afterAutospacing="0" w:line="560" w:lineRule="exact"/>
              <w:ind w:left="-17" w:leftChars="-57" w:hanging="103" w:hangingChars="37"/>
              <w:jc w:val="center"/>
              <w:rPr>
                <w:rFonts w:ascii="仿宋" w:hAnsi="仿宋" w:eastAsia="仿宋"/>
                <w:color w:val="000000"/>
                <w:sz w:val="28"/>
                <w:szCs w:val="28"/>
              </w:rPr>
            </w:pPr>
            <w:r>
              <w:rPr>
                <w:rFonts w:hint="eastAsia" w:ascii="仿宋" w:hAnsi="仿宋" w:eastAsia="仿宋"/>
                <w:color w:val="000000"/>
                <w:sz w:val="28"/>
                <w:szCs w:val="28"/>
              </w:rPr>
              <w:t>评分依据及说明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r>
              <w:rPr>
                <w:rFonts w:hint="eastAsia" w:ascii="仿宋" w:hAnsi="仿宋" w:eastAsia="仿宋" w:cs="宋体"/>
                <w:color w:val="000000"/>
                <w:sz w:val="28"/>
                <w:szCs w:val="28"/>
              </w:rPr>
              <w:t>得分合计</w:t>
            </w: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pStyle w:val="7"/>
              <w:spacing w:before="0" w:beforeAutospacing="0" w:after="0" w:afterAutospacing="0" w:line="560" w:lineRule="exact"/>
              <w:ind w:left="-17" w:leftChars="-57" w:hanging="103" w:hangingChars="37"/>
              <w:jc w:val="both"/>
              <w:rPr>
                <w:rFonts w:ascii="仿宋" w:hAnsi="仿宋" w:eastAsia="仿宋"/>
                <w:color w:val="000000"/>
                <w:sz w:val="28"/>
                <w:szCs w:val="28"/>
              </w:rPr>
            </w:pPr>
            <w:r>
              <w:rPr>
                <w:rFonts w:hint="eastAsia" w:ascii="仿宋" w:hAnsi="仿宋" w:eastAsia="仿宋"/>
                <w:color w:val="000000"/>
                <w:sz w:val="28"/>
                <w:szCs w:val="28"/>
              </w:rPr>
              <w:t>检查评级（含加分值）：</w:t>
            </w:r>
          </w:p>
        </w:tc>
      </w:tr>
    </w:tbl>
    <w:p>
      <w:pPr>
        <w:pStyle w:val="7"/>
        <w:spacing w:before="0" w:beforeAutospacing="0" w:after="0" w:afterAutospacing="0" w:line="560" w:lineRule="exact"/>
        <w:ind w:firstLine="280" w:firstLineChars="100"/>
        <w:jc w:val="both"/>
        <w:rPr>
          <w:rFonts w:ascii="仿宋_GB2312" w:hAnsi="楷体" w:eastAsia="仿宋_GB2312" w:cs="楷体"/>
          <w:color w:val="000000"/>
          <w:sz w:val="32"/>
          <w:szCs w:val="32"/>
        </w:rPr>
      </w:pPr>
      <w:r>
        <w:rPr>
          <w:rFonts w:hint="eastAsia" w:ascii="仿宋_GB2312" w:hAnsi="楷体" w:eastAsia="仿宋_GB2312" w:cs="楷体"/>
          <w:color w:val="000000"/>
          <w:sz w:val="28"/>
          <w:szCs w:val="28"/>
        </w:rPr>
        <w:t>检查人员：                                负责人：                 检查时间：年  月  日</w:t>
      </w:r>
    </w:p>
    <w:p>
      <w:pPr>
        <w:pStyle w:val="7"/>
        <w:spacing w:before="0" w:beforeAutospacing="0" w:after="0" w:afterAutospacing="0" w:line="560" w:lineRule="exact"/>
        <w:jc w:val="both"/>
        <w:rPr>
          <w:rFonts w:ascii="Times New Roman" w:hAnsi="Times New Roman" w:eastAsia="黑体" w:cs="Times New Roman"/>
          <w:color w:val="000000"/>
          <w:sz w:val="32"/>
          <w:szCs w:val="32"/>
        </w:rPr>
      </w:pPr>
      <w:r>
        <w:rPr>
          <w:rFonts w:ascii="Times New Roman" w:hAnsi="黑体" w:eastAsia="黑体" w:cs="Times New Roman"/>
          <w:bCs/>
          <w:color w:val="000000"/>
          <w:sz w:val="32"/>
          <w:szCs w:val="32"/>
        </w:rPr>
        <w:t>附表</w:t>
      </w:r>
      <w:r>
        <w:rPr>
          <w:rFonts w:ascii="Times New Roman" w:hAnsi="Times New Roman" w:eastAsia="黑体" w:cs="Times New Roman"/>
          <w:bCs/>
          <w:color w:val="000000"/>
          <w:sz w:val="32"/>
          <w:szCs w:val="32"/>
        </w:rPr>
        <w:t>5</w:t>
      </w:r>
      <w:r>
        <w:rPr>
          <w:rFonts w:ascii="Times New Roman" w:hAnsi="黑体" w:eastAsia="黑体" w:cs="Times New Roman"/>
          <w:bCs/>
          <w:color w:val="000000"/>
          <w:sz w:val="32"/>
          <w:szCs w:val="32"/>
        </w:rPr>
        <w:t>：</w:t>
      </w:r>
    </w:p>
    <w:p>
      <w:pPr>
        <w:widowControl/>
        <w:spacing w:line="400" w:lineRule="exact"/>
        <w:ind w:firstLine="643"/>
        <w:jc w:val="center"/>
        <w:rPr>
          <w:rFonts w:ascii="黑体" w:hAnsi="黑体" w:eastAsia="黑体" w:cs="宋体"/>
          <w:bCs/>
          <w:color w:val="000000"/>
          <w:kern w:val="0"/>
          <w:sz w:val="44"/>
          <w:szCs w:val="44"/>
        </w:rPr>
      </w:pPr>
      <w:r>
        <w:rPr>
          <w:rFonts w:hint="eastAsia" w:ascii="黑体" w:hAnsi="黑体" w:eastAsia="黑体" w:cs="宋体"/>
          <w:bCs/>
          <w:color w:val="000000"/>
          <w:kern w:val="0"/>
          <w:sz w:val="44"/>
          <w:szCs w:val="44"/>
        </w:rPr>
        <w:t>目标责任制执行情况加分指标评分表</w:t>
      </w:r>
    </w:p>
    <w:p>
      <w:pPr>
        <w:pStyle w:val="7"/>
        <w:spacing w:before="0" w:beforeAutospacing="0" w:after="0" w:afterAutospacing="0" w:line="400" w:lineRule="exact"/>
        <w:ind w:firstLine="280" w:firstLineChars="100"/>
        <w:jc w:val="both"/>
        <w:rPr>
          <w:rFonts w:ascii="仿宋" w:hAnsi="仿宋" w:eastAsia="仿宋"/>
          <w:color w:val="000000"/>
          <w:sz w:val="28"/>
          <w:szCs w:val="28"/>
        </w:rPr>
      </w:pPr>
      <w:r>
        <w:rPr>
          <w:rFonts w:hint="eastAsia" w:ascii="仿宋" w:hAnsi="仿宋" w:eastAsia="仿宋"/>
          <w:color w:val="000000"/>
          <w:sz w:val="28"/>
          <w:szCs w:val="28"/>
          <w:u w:val="single"/>
        </w:rPr>
        <w:t xml:space="preserve">        镇（场）        </w:t>
      </w:r>
      <w:r>
        <w:rPr>
          <w:rFonts w:hint="eastAsia" w:ascii="仿宋" w:hAnsi="仿宋" w:eastAsia="仿宋"/>
          <w:color w:val="000000"/>
          <w:sz w:val="28"/>
          <w:szCs w:val="28"/>
        </w:rPr>
        <w:t>年度</w:t>
      </w:r>
    </w:p>
    <w:tbl>
      <w:tblPr>
        <w:tblStyle w:val="12"/>
        <w:tblW w:w="12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84"/>
        <w:gridCol w:w="1080"/>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jc w:val="center"/>
              <w:rPr>
                <w:rFonts w:ascii="仿宋" w:hAnsi="仿宋" w:eastAsia="仿宋" w:cs="宋体"/>
                <w:color w:val="000000"/>
                <w:sz w:val="28"/>
                <w:szCs w:val="28"/>
              </w:rPr>
            </w:pPr>
            <w:r>
              <w:rPr>
                <w:rFonts w:hint="eastAsia" w:ascii="仿宋" w:hAnsi="仿宋" w:eastAsia="仿宋" w:cs="宋体"/>
                <w:color w:val="000000"/>
                <w:sz w:val="28"/>
                <w:szCs w:val="28"/>
              </w:rPr>
              <w:t>加分指标</w:t>
            </w:r>
          </w:p>
        </w:tc>
        <w:tc>
          <w:tcPr>
            <w:tcW w:w="984" w:type="dxa"/>
            <w:noWrap w:val="0"/>
            <w:vAlign w:val="top"/>
          </w:tcPr>
          <w:p>
            <w:pPr>
              <w:jc w:val="center"/>
              <w:rPr>
                <w:rFonts w:ascii="仿宋" w:hAnsi="仿宋" w:eastAsia="仿宋" w:cs="宋体"/>
                <w:color w:val="000000"/>
                <w:sz w:val="28"/>
                <w:szCs w:val="28"/>
              </w:rPr>
            </w:pPr>
            <w:r>
              <w:rPr>
                <w:rFonts w:hint="eastAsia" w:ascii="仿宋" w:hAnsi="仿宋" w:eastAsia="仿宋" w:cs="宋体"/>
                <w:color w:val="000000"/>
                <w:sz w:val="28"/>
                <w:szCs w:val="28"/>
              </w:rPr>
              <w:t>分值</w:t>
            </w:r>
          </w:p>
        </w:tc>
        <w:tc>
          <w:tcPr>
            <w:tcW w:w="1080" w:type="dxa"/>
            <w:noWrap w:val="0"/>
            <w:vAlign w:val="top"/>
          </w:tcPr>
          <w:p>
            <w:pPr>
              <w:jc w:val="center"/>
              <w:rPr>
                <w:rFonts w:ascii="仿宋" w:hAnsi="仿宋" w:eastAsia="仿宋" w:cs="宋体"/>
                <w:color w:val="000000"/>
                <w:sz w:val="28"/>
                <w:szCs w:val="28"/>
              </w:rPr>
            </w:pPr>
            <w:r>
              <w:rPr>
                <w:rFonts w:hint="eastAsia" w:ascii="仿宋" w:hAnsi="仿宋" w:eastAsia="仿宋" w:cs="宋体"/>
                <w:color w:val="000000"/>
                <w:sz w:val="28"/>
                <w:szCs w:val="28"/>
              </w:rPr>
              <w:t>得分</w:t>
            </w:r>
          </w:p>
        </w:tc>
        <w:tc>
          <w:tcPr>
            <w:tcW w:w="9288" w:type="dxa"/>
            <w:noWrap w:val="0"/>
            <w:vAlign w:val="top"/>
          </w:tcPr>
          <w:p>
            <w:pPr>
              <w:pStyle w:val="7"/>
              <w:spacing w:before="0" w:beforeAutospacing="0" w:after="0" w:afterAutospacing="0" w:line="560" w:lineRule="exact"/>
              <w:ind w:left="-17" w:leftChars="-57" w:hanging="103" w:hangingChars="37"/>
              <w:jc w:val="center"/>
              <w:rPr>
                <w:rFonts w:ascii="仿宋" w:hAnsi="仿宋" w:eastAsia="仿宋"/>
                <w:color w:val="000000"/>
                <w:sz w:val="28"/>
                <w:szCs w:val="28"/>
              </w:rPr>
            </w:pPr>
            <w:r>
              <w:rPr>
                <w:rFonts w:hint="eastAsia" w:ascii="仿宋" w:hAnsi="仿宋" w:eastAsia="仿宋"/>
                <w:color w:val="000000"/>
                <w:sz w:val="28"/>
                <w:szCs w:val="28"/>
              </w:rPr>
              <w:t>评分依据及说明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rPr>
                <w:rFonts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noWrap w:val="0"/>
            <w:vAlign w:val="top"/>
          </w:tcPr>
          <w:p>
            <w:pPr>
              <w:rPr>
                <w:rFonts w:ascii="仿宋" w:hAnsi="仿宋" w:eastAsia="仿宋" w:cs="宋体"/>
                <w:color w:val="000000"/>
                <w:sz w:val="28"/>
                <w:szCs w:val="28"/>
              </w:rPr>
            </w:pPr>
            <w:r>
              <w:rPr>
                <w:rFonts w:hint="eastAsia" w:ascii="仿宋" w:hAnsi="仿宋" w:eastAsia="仿宋" w:cs="宋体"/>
                <w:color w:val="000000"/>
                <w:sz w:val="28"/>
                <w:szCs w:val="28"/>
              </w:rPr>
              <w:t>加分合计</w:t>
            </w:r>
          </w:p>
        </w:tc>
        <w:tc>
          <w:tcPr>
            <w:tcW w:w="984" w:type="dxa"/>
            <w:noWrap w:val="0"/>
            <w:vAlign w:val="top"/>
          </w:tcPr>
          <w:p>
            <w:pPr>
              <w:rPr>
                <w:rFonts w:ascii="仿宋" w:hAnsi="仿宋" w:eastAsia="仿宋" w:cs="宋体"/>
                <w:color w:val="000000"/>
                <w:sz w:val="28"/>
                <w:szCs w:val="28"/>
              </w:rPr>
            </w:pPr>
          </w:p>
        </w:tc>
        <w:tc>
          <w:tcPr>
            <w:tcW w:w="1080" w:type="dxa"/>
            <w:noWrap w:val="0"/>
            <w:vAlign w:val="top"/>
          </w:tcPr>
          <w:p>
            <w:pPr>
              <w:rPr>
                <w:rFonts w:ascii="仿宋" w:hAnsi="仿宋" w:eastAsia="仿宋" w:cs="宋体"/>
                <w:color w:val="000000"/>
                <w:sz w:val="28"/>
                <w:szCs w:val="28"/>
              </w:rPr>
            </w:pPr>
          </w:p>
        </w:tc>
        <w:tc>
          <w:tcPr>
            <w:tcW w:w="9288" w:type="dxa"/>
            <w:noWrap w:val="0"/>
            <w:vAlign w:val="top"/>
          </w:tcPr>
          <w:p>
            <w:pPr>
              <w:pStyle w:val="7"/>
              <w:spacing w:before="0" w:beforeAutospacing="0" w:after="0" w:afterAutospacing="0" w:line="560" w:lineRule="exact"/>
              <w:ind w:left="-17" w:leftChars="-57" w:hanging="103" w:hangingChars="37"/>
              <w:jc w:val="both"/>
              <w:rPr>
                <w:rFonts w:ascii="仿宋" w:hAnsi="仿宋" w:eastAsia="仿宋"/>
                <w:color w:val="000000"/>
                <w:sz w:val="28"/>
                <w:szCs w:val="28"/>
              </w:rPr>
            </w:pPr>
          </w:p>
        </w:tc>
      </w:tr>
    </w:tbl>
    <w:p>
      <w:pPr>
        <w:pStyle w:val="7"/>
        <w:spacing w:before="0" w:beforeAutospacing="0" w:after="0" w:afterAutospacing="0" w:line="560" w:lineRule="exact"/>
        <w:ind w:firstLine="280" w:firstLineChars="100"/>
        <w:jc w:val="both"/>
        <w:rPr>
          <w:rFonts w:ascii="仿宋_GB2312" w:hAnsi="楷体" w:eastAsia="仿宋_GB2312" w:cs="楷体"/>
          <w:color w:val="000000"/>
          <w:sz w:val="32"/>
          <w:szCs w:val="32"/>
        </w:rPr>
      </w:pPr>
      <w:r>
        <w:rPr>
          <w:rFonts w:hint="eastAsia" w:ascii="仿宋_GB2312" w:hAnsi="楷体" w:eastAsia="仿宋_GB2312" w:cs="楷体"/>
          <w:color w:val="000000"/>
          <w:sz w:val="28"/>
          <w:szCs w:val="28"/>
        </w:rPr>
        <w:t>检查人员：                                负责人：                 检查时间：年  月  日</w:t>
      </w:r>
    </w:p>
    <w:p>
      <w:pPr>
        <w:pStyle w:val="7"/>
        <w:spacing w:before="0" w:beforeAutospacing="0" w:after="0" w:afterAutospacing="0" w:line="560" w:lineRule="exact"/>
        <w:jc w:val="both"/>
        <w:rPr>
          <w:rFonts w:ascii="Times New Roman" w:hAnsi="Times New Roman" w:eastAsia="黑体" w:cs="Times New Roman"/>
          <w:color w:val="000000"/>
          <w:sz w:val="32"/>
          <w:szCs w:val="32"/>
        </w:rPr>
      </w:pPr>
      <w:r>
        <w:rPr>
          <w:rFonts w:ascii="Times New Roman" w:hAnsi="黑体" w:eastAsia="黑体" w:cs="Times New Roman"/>
          <w:bCs/>
          <w:color w:val="000000"/>
          <w:sz w:val="32"/>
          <w:szCs w:val="32"/>
        </w:rPr>
        <w:t>附表</w:t>
      </w:r>
      <w:r>
        <w:rPr>
          <w:rFonts w:ascii="Times New Roman" w:hAnsi="Times New Roman" w:eastAsia="黑体" w:cs="Times New Roman"/>
          <w:bCs/>
          <w:color w:val="000000"/>
          <w:sz w:val="32"/>
          <w:szCs w:val="32"/>
        </w:rPr>
        <w:t>6</w:t>
      </w:r>
      <w:r>
        <w:rPr>
          <w:rFonts w:ascii="Times New Roman" w:hAnsi="黑体" w:eastAsia="黑体" w:cs="Times New Roman"/>
          <w:bCs/>
          <w:color w:val="000000"/>
          <w:sz w:val="32"/>
          <w:szCs w:val="32"/>
        </w:rPr>
        <w:t>：</w:t>
      </w:r>
    </w:p>
    <w:p>
      <w:pPr>
        <w:widowControl/>
        <w:spacing w:line="400" w:lineRule="exact"/>
        <w:ind w:firstLine="643"/>
        <w:jc w:val="center"/>
        <w:rPr>
          <w:rFonts w:ascii="黑体" w:hAnsi="黑体" w:eastAsia="黑体" w:cs="宋体"/>
          <w:bCs/>
          <w:color w:val="000000"/>
          <w:kern w:val="0"/>
          <w:sz w:val="44"/>
          <w:szCs w:val="44"/>
        </w:rPr>
      </w:pPr>
      <w:r>
        <w:rPr>
          <w:rFonts w:hint="eastAsia" w:ascii="黑体" w:hAnsi="黑体" w:eastAsia="黑体" w:cs="宋体"/>
          <w:bCs/>
          <w:color w:val="000000"/>
          <w:kern w:val="0"/>
          <w:sz w:val="44"/>
          <w:szCs w:val="44"/>
        </w:rPr>
        <w:t>目标责任制执行情况县（区）级检查评分汇总表</w:t>
      </w:r>
    </w:p>
    <w:p>
      <w:pPr>
        <w:pStyle w:val="7"/>
        <w:spacing w:before="0" w:beforeAutospacing="0" w:after="0" w:afterAutospacing="0" w:line="400" w:lineRule="exact"/>
        <w:ind w:firstLine="280" w:firstLineChars="100"/>
        <w:jc w:val="both"/>
        <w:rPr>
          <w:rFonts w:ascii="仿宋" w:hAnsi="仿宋" w:eastAsia="仿宋"/>
          <w:color w:val="000000"/>
          <w:sz w:val="28"/>
          <w:szCs w:val="28"/>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县（区）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年度</w:t>
      </w:r>
    </w:p>
    <w:tbl>
      <w:tblPr>
        <w:tblStyle w:val="12"/>
        <w:tblW w:w="12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30"/>
        <w:gridCol w:w="870"/>
        <w:gridCol w:w="900"/>
        <w:gridCol w:w="900"/>
        <w:gridCol w:w="900"/>
        <w:gridCol w:w="900"/>
        <w:gridCol w:w="900"/>
        <w:gridCol w:w="900"/>
        <w:gridCol w:w="900"/>
        <w:gridCol w:w="874"/>
        <w:gridCol w:w="164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Merge w:val="restart"/>
            <w:noWrap w:val="0"/>
            <w:vAlign w:val="center"/>
          </w:tcPr>
          <w:p>
            <w:pPr>
              <w:rPr>
                <w:rFonts w:ascii="仿宋" w:hAnsi="仿宋" w:eastAsia="仿宋" w:cs="宋体"/>
                <w:color w:val="000000"/>
                <w:sz w:val="28"/>
                <w:szCs w:val="28"/>
              </w:rPr>
            </w:pPr>
            <w:r>
              <w:rPr>
                <w:rFonts w:hint="eastAsia" w:ascii="仿宋" w:hAnsi="仿宋" w:eastAsia="仿宋" w:cs="宋体"/>
                <w:color w:val="000000"/>
                <w:sz w:val="28"/>
                <w:szCs w:val="28"/>
              </w:rPr>
              <w:t>考核指标</w:t>
            </w:r>
          </w:p>
        </w:tc>
        <w:tc>
          <w:tcPr>
            <w:tcW w:w="8974" w:type="dxa"/>
            <w:gridSpan w:val="10"/>
            <w:noWrap w:val="0"/>
            <w:vAlign w:val="top"/>
          </w:tcPr>
          <w:p>
            <w:pPr>
              <w:rPr>
                <w:rFonts w:ascii="仿宋" w:hAnsi="仿宋" w:eastAsia="仿宋" w:cs="宋体"/>
                <w:color w:val="000000"/>
                <w:sz w:val="28"/>
                <w:szCs w:val="28"/>
              </w:rPr>
            </w:pPr>
            <w:r>
              <w:rPr>
                <w:rFonts w:hint="eastAsia" w:ascii="仿宋" w:hAnsi="仿宋" w:eastAsia="仿宋" w:cs="宋体"/>
                <w:color w:val="000000"/>
                <w:sz w:val="28"/>
                <w:szCs w:val="28"/>
              </w:rPr>
              <w:t>各县（市、区）得分及评级</w:t>
            </w:r>
          </w:p>
        </w:tc>
        <w:tc>
          <w:tcPr>
            <w:tcW w:w="1646" w:type="dxa"/>
            <w:vMerge w:val="restart"/>
            <w:noWrap w:val="0"/>
            <w:vAlign w:val="top"/>
          </w:tcPr>
          <w:p>
            <w:pPr>
              <w:rPr>
                <w:rFonts w:ascii="仿宋" w:hAnsi="仿宋" w:eastAsia="仿宋" w:cs="宋体"/>
                <w:color w:val="000000"/>
                <w:sz w:val="28"/>
                <w:szCs w:val="28"/>
              </w:rPr>
            </w:pPr>
            <w:r>
              <w:rPr>
                <w:rFonts w:hint="eastAsia" w:ascii="仿宋" w:hAnsi="仿宋" w:eastAsia="仿宋" w:cs="宋体"/>
                <w:color w:val="000000"/>
                <w:sz w:val="28"/>
                <w:szCs w:val="28"/>
              </w:rPr>
              <w:t>综合全县（区）得分</w:t>
            </w:r>
          </w:p>
        </w:tc>
        <w:tc>
          <w:tcPr>
            <w:tcW w:w="900" w:type="dxa"/>
            <w:vMerge w:val="restart"/>
            <w:noWrap w:val="0"/>
            <w:vAlign w:val="center"/>
          </w:tcPr>
          <w:p>
            <w:pPr>
              <w:pStyle w:val="7"/>
              <w:spacing w:before="0" w:beforeAutospacing="0" w:after="0" w:afterAutospacing="0" w:line="560" w:lineRule="exact"/>
              <w:ind w:left="-17" w:leftChars="-57" w:hanging="103" w:hangingChars="37"/>
              <w:jc w:val="center"/>
              <w:rPr>
                <w:rFonts w:ascii="仿宋" w:hAnsi="仿宋" w:eastAsia="仿宋"/>
                <w:color w:val="000000"/>
                <w:sz w:val="28"/>
                <w:szCs w:val="28"/>
              </w:rPr>
            </w:pPr>
            <w:r>
              <w:rPr>
                <w:rFonts w:hint="eastAsia" w:ascii="仿宋" w:hAnsi="仿宋" w:eastAsia="仿宋"/>
                <w:color w:val="00000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Merge w:val="continue"/>
            <w:noWrap w:val="0"/>
            <w:vAlign w:val="top"/>
          </w:tcPr>
          <w:p>
            <w:pPr>
              <w:rPr>
                <w:rFonts w:ascii="仿宋" w:hAnsi="仿宋" w:eastAsia="仿宋" w:cs="宋体"/>
                <w:color w:val="000000"/>
                <w:sz w:val="32"/>
                <w:szCs w:val="32"/>
              </w:rPr>
            </w:pPr>
          </w:p>
        </w:tc>
        <w:tc>
          <w:tcPr>
            <w:tcW w:w="930" w:type="dxa"/>
            <w:noWrap w:val="0"/>
            <w:vAlign w:val="top"/>
          </w:tcPr>
          <w:p>
            <w:pPr>
              <w:rPr>
                <w:rFonts w:ascii="仿宋" w:hAnsi="仿宋" w:eastAsia="仿宋" w:cs="宋体"/>
                <w:color w:val="000000"/>
              </w:rPr>
            </w:pPr>
            <w:r>
              <w:rPr>
                <w:rFonts w:hint="eastAsia" w:ascii="仿宋" w:hAnsi="仿宋" w:eastAsia="仿宋" w:cs="宋体"/>
                <w:color w:val="000000"/>
              </w:rPr>
              <w:t>××镇</w:t>
            </w:r>
          </w:p>
        </w:tc>
        <w:tc>
          <w:tcPr>
            <w:tcW w:w="870" w:type="dxa"/>
            <w:noWrap w:val="0"/>
            <w:vAlign w:val="top"/>
          </w:tcPr>
          <w:p>
            <w:pPr>
              <w:rPr>
                <w:rFonts w:ascii="仿宋" w:hAnsi="仿宋" w:eastAsia="仿宋" w:cs="宋体"/>
                <w:color w:val="000000"/>
                <w:sz w:val="32"/>
                <w:szCs w:val="32"/>
              </w:rPr>
            </w:pPr>
            <w:r>
              <w:rPr>
                <w:rFonts w:hint="eastAsia" w:ascii="仿宋" w:hAnsi="仿宋" w:eastAsia="仿宋" w:cs="宋体"/>
                <w:color w:val="000000"/>
              </w:rPr>
              <w:t>××镇</w:t>
            </w:r>
          </w:p>
        </w:tc>
        <w:tc>
          <w:tcPr>
            <w:tcW w:w="900" w:type="dxa"/>
            <w:noWrap w:val="0"/>
            <w:vAlign w:val="top"/>
          </w:tcPr>
          <w:p>
            <w:pPr>
              <w:rPr>
                <w:rFonts w:ascii="仿宋" w:hAnsi="仿宋" w:eastAsia="仿宋" w:cs="宋体"/>
                <w:color w:val="000000"/>
                <w:sz w:val="32"/>
                <w:szCs w:val="32"/>
              </w:rPr>
            </w:pPr>
            <w:r>
              <w:rPr>
                <w:rFonts w:hint="eastAsia" w:ascii="仿宋" w:hAnsi="仿宋" w:eastAsia="仿宋" w:cs="宋体"/>
                <w:color w:val="000000"/>
              </w:rPr>
              <w:t>××镇</w:t>
            </w:r>
          </w:p>
        </w:tc>
        <w:tc>
          <w:tcPr>
            <w:tcW w:w="900" w:type="dxa"/>
            <w:noWrap w:val="0"/>
            <w:vAlign w:val="top"/>
          </w:tcPr>
          <w:p>
            <w:pPr>
              <w:rPr>
                <w:rFonts w:ascii="仿宋" w:hAnsi="仿宋" w:eastAsia="仿宋" w:cs="宋体"/>
                <w:color w:val="000000"/>
                <w:sz w:val="32"/>
                <w:szCs w:val="32"/>
              </w:rPr>
            </w:pPr>
            <w:r>
              <w:rPr>
                <w:rFonts w:hint="eastAsia" w:ascii="仿宋" w:hAnsi="仿宋" w:eastAsia="仿宋" w:cs="宋体"/>
                <w:color w:val="000000"/>
              </w:rPr>
              <w:t>××镇</w:t>
            </w:r>
          </w:p>
        </w:tc>
        <w:tc>
          <w:tcPr>
            <w:tcW w:w="900" w:type="dxa"/>
            <w:noWrap w:val="0"/>
            <w:vAlign w:val="top"/>
          </w:tcPr>
          <w:p>
            <w:pPr>
              <w:rPr>
                <w:rFonts w:ascii="仿宋" w:hAnsi="仿宋" w:eastAsia="仿宋" w:cs="宋体"/>
                <w:color w:val="000000"/>
                <w:sz w:val="32"/>
                <w:szCs w:val="32"/>
              </w:rPr>
            </w:pPr>
            <w:r>
              <w:rPr>
                <w:rFonts w:hint="eastAsia" w:ascii="仿宋" w:hAnsi="仿宋" w:eastAsia="仿宋" w:cs="宋体"/>
                <w:color w:val="000000"/>
              </w:rPr>
              <w:t>××镇</w:t>
            </w:r>
          </w:p>
        </w:tc>
        <w:tc>
          <w:tcPr>
            <w:tcW w:w="900" w:type="dxa"/>
            <w:noWrap w:val="0"/>
            <w:vAlign w:val="top"/>
          </w:tcPr>
          <w:p>
            <w:pPr>
              <w:rPr>
                <w:rFonts w:ascii="仿宋" w:hAnsi="仿宋" w:eastAsia="仿宋" w:cs="宋体"/>
                <w:color w:val="000000"/>
                <w:sz w:val="32"/>
                <w:szCs w:val="32"/>
              </w:rPr>
            </w:pPr>
            <w:r>
              <w:rPr>
                <w:rFonts w:hint="eastAsia" w:ascii="仿宋" w:hAnsi="仿宋" w:eastAsia="仿宋" w:cs="宋体"/>
                <w:color w:val="000000"/>
              </w:rPr>
              <w:t>××镇</w:t>
            </w:r>
          </w:p>
        </w:tc>
        <w:tc>
          <w:tcPr>
            <w:tcW w:w="900" w:type="dxa"/>
            <w:noWrap w:val="0"/>
            <w:vAlign w:val="top"/>
          </w:tcPr>
          <w:p>
            <w:pPr>
              <w:rPr>
                <w:rFonts w:ascii="仿宋" w:hAnsi="仿宋" w:eastAsia="仿宋" w:cs="宋体"/>
                <w:color w:val="000000"/>
                <w:sz w:val="32"/>
                <w:szCs w:val="32"/>
              </w:rPr>
            </w:pPr>
            <w:r>
              <w:rPr>
                <w:rFonts w:hint="eastAsia" w:ascii="仿宋" w:hAnsi="仿宋" w:eastAsia="仿宋" w:cs="宋体"/>
                <w:color w:val="000000"/>
              </w:rPr>
              <w:t>××镇</w:t>
            </w:r>
          </w:p>
        </w:tc>
        <w:tc>
          <w:tcPr>
            <w:tcW w:w="900" w:type="dxa"/>
            <w:noWrap w:val="0"/>
            <w:vAlign w:val="top"/>
          </w:tcPr>
          <w:p>
            <w:pPr>
              <w:rPr>
                <w:rFonts w:ascii="仿宋" w:hAnsi="仿宋" w:eastAsia="仿宋" w:cs="宋体"/>
                <w:color w:val="000000"/>
                <w:sz w:val="32"/>
                <w:szCs w:val="32"/>
              </w:rPr>
            </w:pPr>
            <w:r>
              <w:rPr>
                <w:rFonts w:hint="eastAsia" w:ascii="仿宋" w:hAnsi="仿宋" w:eastAsia="仿宋" w:cs="宋体"/>
                <w:color w:val="000000"/>
              </w:rPr>
              <w:t>××镇</w:t>
            </w:r>
          </w:p>
        </w:tc>
        <w:tc>
          <w:tcPr>
            <w:tcW w:w="900" w:type="dxa"/>
            <w:noWrap w:val="0"/>
            <w:vAlign w:val="top"/>
          </w:tcPr>
          <w:p>
            <w:pPr>
              <w:rPr>
                <w:rFonts w:ascii="仿宋" w:hAnsi="仿宋" w:eastAsia="仿宋" w:cs="宋体"/>
                <w:color w:val="000000"/>
                <w:sz w:val="32"/>
                <w:szCs w:val="32"/>
              </w:rPr>
            </w:pPr>
            <w:r>
              <w:rPr>
                <w:rFonts w:hint="eastAsia" w:ascii="仿宋" w:hAnsi="仿宋" w:eastAsia="仿宋" w:cs="宋体"/>
                <w:color w:val="000000"/>
              </w:rPr>
              <w:t>××镇</w:t>
            </w:r>
          </w:p>
        </w:tc>
        <w:tc>
          <w:tcPr>
            <w:tcW w:w="874" w:type="dxa"/>
            <w:noWrap w:val="0"/>
            <w:vAlign w:val="top"/>
          </w:tcPr>
          <w:p>
            <w:pPr>
              <w:rPr>
                <w:rFonts w:ascii="仿宋" w:hAnsi="仿宋" w:eastAsia="仿宋" w:cs="宋体"/>
                <w:color w:val="000000"/>
                <w:sz w:val="32"/>
                <w:szCs w:val="32"/>
              </w:rPr>
            </w:pPr>
            <w:r>
              <w:rPr>
                <w:rFonts w:hint="eastAsia" w:ascii="仿宋" w:hAnsi="仿宋" w:eastAsia="仿宋" w:cs="宋体"/>
                <w:color w:val="000000"/>
              </w:rPr>
              <w:t>××镇</w:t>
            </w:r>
          </w:p>
        </w:tc>
        <w:tc>
          <w:tcPr>
            <w:tcW w:w="1646" w:type="dxa"/>
            <w:vMerge w:val="continue"/>
            <w:noWrap w:val="0"/>
            <w:vAlign w:val="top"/>
          </w:tcPr>
          <w:p>
            <w:pPr>
              <w:rPr>
                <w:rFonts w:ascii="仿宋" w:hAnsi="仿宋" w:eastAsia="仿宋" w:cs="宋体"/>
                <w:color w:val="000000"/>
                <w:sz w:val="32"/>
                <w:szCs w:val="32"/>
              </w:rPr>
            </w:pPr>
          </w:p>
        </w:tc>
        <w:tc>
          <w:tcPr>
            <w:tcW w:w="900" w:type="dxa"/>
            <w:vMerge w:val="continue"/>
            <w:noWrap w:val="0"/>
            <w:vAlign w:val="top"/>
          </w:tcPr>
          <w:p>
            <w:pPr>
              <w:rPr>
                <w:rFonts w:ascii="仿宋" w:hAnsi="仿宋" w:eastAsia="仿宋"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noWrap w:val="0"/>
            <w:vAlign w:val="top"/>
          </w:tcPr>
          <w:p>
            <w:pPr>
              <w:rPr>
                <w:rFonts w:ascii="仿宋" w:hAnsi="仿宋" w:eastAsia="仿宋" w:cs="宋体"/>
                <w:color w:val="000000"/>
                <w:sz w:val="32"/>
                <w:szCs w:val="32"/>
              </w:rPr>
            </w:pPr>
          </w:p>
        </w:tc>
        <w:tc>
          <w:tcPr>
            <w:tcW w:w="930" w:type="dxa"/>
            <w:noWrap w:val="0"/>
            <w:vAlign w:val="top"/>
          </w:tcPr>
          <w:p>
            <w:pPr>
              <w:rPr>
                <w:rFonts w:ascii="仿宋" w:hAnsi="仿宋" w:eastAsia="仿宋" w:cs="宋体"/>
                <w:color w:val="000000"/>
                <w:sz w:val="32"/>
                <w:szCs w:val="32"/>
              </w:rPr>
            </w:pPr>
          </w:p>
        </w:tc>
        <w:tc>
          <w:tcPr>
            <w:tcW w:w="87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874" w:type="dxa"/>
            <w:noWrap w:val="0"/>
            <w:vAlign w:val="top"/>
          </w:tcPr>
          <w:p>
            <w:pPr>
              <w:rPr>
                <w:rFonts w:ascii="仿宋" w:hAnsi="仿宋" w:eastAsia="仿宋" w:cs="宋体"/>
                <w:color w:val="000000"/>
                <w:sz w:val="32"/>
                <w:szCs w:val="32"/>
              </w:rPr>
            </w:pPr>
          </w:p>
        </w:tc>
        <w:tc>
          <w:tcPr>
            <w:tcW w:w="1646"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noWrap w:val="0"/>
            <w:vAlign w:val="top"/>
          </w:tcPr>
          <w:p>
            <w:pPr>
              <w:rPr>
                <w:rFonts w:ascii="仿宋" w:hAnsi="仿宋" w:eastAsia="仿宋" w:cs="宋体"/>
                <w:color w:val="000000"/>
                <w:sz w:val="32"/>
                <w:szCs w:val="32"/>
              </w:rPr>
            </w:pPr>
          </w:p>
        </w:tc>
        <w:tc>
          <w:tcPr>
            <w:tcW w:w="930" w:type="dxa"/>
            <w:noWrap w:val="0"/>
            <w:vAlign w:val="top"/>
          </w:tcPr>
          <w:p>
            <w:pPr>
              <w:rPr>
                <w:rFonts w:ascii="仿宋" w:hAnsi="仿宋" w:eastAsia="仿宋" w:cs="宋体"/>
                <w:color w:val="000000"/>
                <w:sz w:val="32"/>
                <w:szCs w:val="32"/>
              </w:rPr>
            </w:pPr>
          </w:p>
        </w:tc>
        <w:tc>
          <w:tcPr>
            <w:tcW w:w="87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874" w:type="dxa"/>
            <w:noWrap w:val="0"/>
            <w:vAlign w:val="top"/>
          </w:tcPr>
          <w:p>
            <w:pPr>
              <w:rPr>
                <w:rFonts w:ascii="仿宋" w:hAnsi="仿宋" w:eastAsia="仿宋" w:cs="宋体"/>
                <w:color w:val="000000"/>
                <w:sz w:val="32"/>
                <w:szCs w:val="32"/>
              </w:rPr>
            </w:pPr>
          </w:p>
        </w:tc>
        <w:tc>
          <w:tcPr>
            <w:tcW w:w="1646"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noWrap w:val="0"/>
            <w:vAlign w:val="top"/>
          </w:tcPr>
          <w:p>
            <w:pPr>
              <w:rPr>
                <w:rFonts w:ascii="仿宋" w:hAnsi="仿宋" w:eastAsia="仿宋" w:cs="宋体"/>
                <w:color w:val="000000"/>
                <w:sz w:val="32"/>
                <w:szCs w:val="32"/>
              </w:rPr>
            </w:pPr>
          </w:p>
        </w:tc>
        <w:tc>
          <w:tcPr>
            <w:tcW w:w="930" w:type="dxa"/>
            <w:noWrap w:val="0"/>
            <w:vAlign w:val="top"/>
          </w:tcPr>
          <w:p>
            <w:pPr>
              <w:rPr>
                <w:rFonts w:ascii="仿宋" w:hAnsi="仿宋" w:eastAsia="仿宋" w:cs="宋体"/>
                <w:color w:val="000000"/>
                <w:sz w:val="32"/>
                <w:szCs w:val="32"/>
              </w:rPr>
            </w:pPr>
          </w:p>
        </w:tc>
        <w:tc>
          <w:tcPr>
            <w:tcW w:w="87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874" w:type="dxa"/>
            <w:noWrap w:val="0"/>
            <w:vAlign w:val="top"/>
          </w:tcPr>
          <w:p>
            <w:pPr>
              <w:rPr>
                <w:rFonts w:ascii="仿宋" w:hAnsi="仿宋" w:eastAsia="仿宋" w:cs="宋体"/>
                <w:color w:val="000000"/>
                <w:sz w:val="32"/>
                <w:szCs w:val="32"/>
              </w:rPr>
            </w:pPr>
          </w:p>
        </w:tc>
        <w:tc>
          <w:tcPr>
            <w:tcW w:w="1646"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noWrap w:val="0"/>
            <w:vAlign w:val="top"/>
          </w:tcPr>
          <w:p>
            <w:pPr>
              <w:rPr>
                <w:rFonts w:ascii="仿宋" w:hAnsi="仿宋" w:eastAsia="仿宋" w:cs="宋体"/>
                <w:color w:val="000000"/>
                <w:sz w:val="32"/>
                <w:szCs w:val="32"/>
              </w:rPr>
            </w:pPr>
          </w:p>
        </w:tc>
        <w:tc>
          <w:tcPr>
            <w:tcW w:w="930" w:type="dxa"/>
            <w:noWrap w:val="0"/>
            <w:vAlign w:val="top"/>
          </w:tcPr>
          <w:p>
            <w:pPr>
              <w:rPr>
                <w:rFonts w:ascii="仿宋" w:hAnsi="仿宋" w:eastAsia="仿宋" w:cs="宋体"/>
                <w:color w:val="000000"/>
                <w:sz w:val="32"/>
                <w:szCs w:val="32"/>
              </w:rPr>
            </w:pPr>
          </w:p>
        </w:tc>
        <w:tc>
          <w:tcPr>
            <w:tcW w:w="87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874" w:type="dxa"/>
            <w:noWrap w:val="0"/>
            <w:vAlign w:val="top"/>
          </w:tcPr>
          <w:p>
            <w:pPr>
              <w:rPr>
                <w:rFonts w:ascii="仿宋" w:hAnsi="仿宋" w:eastAsia="仿宋" w:cs="宋体"/>
                <w:color w:val="000000"/>
                <w:sz w:val="32"/>
                <w:szCs w:val="32"/>
              </w:rPr>
            </w:pPr>
          </w:p>
        </w:tc>
        <w:tc>
          <w:tcPr>
            <w:tcW w:w="1646"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noWrap w:val="0"/>
            <w:vAlign w:val="top"/>
          </w:tcPr>
          <w:p>
            <w:pPr>
              <w:rPr>
                <w:rFonts w:ascii="仿宋" w:hAnsi="仿宋" w:eastAsia="仿宋" w:cs="宋体"/>
                <w:color w:val="000000"/>
                <w:sz w:val="32"/>
                <w:szCs w:val="32"/>
              </w:rPr>
            </w:pPr>
          </w:p>
        </w:tc>
        <w:tc>
          <w:tcPr>
            <w:tcW w:w="930" w:type="dxa"/>
            <w:noWrap w:val="0"/>
            <w:vAlign w:val="top"/>
          </w:tcPr>
          <w:p>
            <w:pPr>
              <w:rPr>
                <w:rFonts w:ascii="仿宋" w:hAnsi="仿宋" w:eastAsia="仿宋" w:cs="宋体"/>
                <w:color w:val="000000"/>
                <w:sz w:val="32"/>
                <w:szCs w:val="32"/>
              </w:rPr>
            </w:pPr>
          </w:p>
        </w:tc>
        <w:tc>
          <w:tcPr>
            <w:tcW w:w="87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874" w:type="dxa"/>
            <w:noWrap w:val="0"/>
            <w:vAlign w:val="top"/>
          </w:tcPr>
          <w:p>
            <w:pPr>
              <w:rPr>
                <w:rFonts w:ascii="仿宋" w:hAnsi="仿宋" w:eastAsia="仿宋" w:cs="宋体"/>
                <w:color w:val="000000"/>
                <w:sz w:val="32"/>
                <w:szCs w:val="32"/>
              </w:rPr>
            </w:pPr>
          </w:p>
        </w:tc>
        <w:tc>
          <w:tcPr>
            <w:tcW w:w="1646"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noWrap w:val="0"/>
            <w:vAlign w:val="top"/>
          </w:tcPr>
          <w:p>
            <w:pPr>
              <w:rPr>
                <w:rFonts w:ascii="仿宋" w:hAnsi="仿宋" w:eastAsia="仿宋" w:cs="宋体"/>
                <w:color w:val="000000"/>
                <w:sz w:val="32"/>
                <w:szCs w:val="32"/>
              </w:rPr>
            </w:pPr>
            <w:r>
              <w:rPr>
                <w:rFonts w:hint="eastAsia" w:ascii="仿宋" w:hAnsi="仿宋" w:eastAsia="仿宋" w:cs="宋体"/>
                <w:color w:val="000000"/>
                <w:sz w:val="28"/>
                <w:szCs w:val="28"/>
              </w:rPr>
              <w:t>得分合计</w:t>
            </w:r>
          </w:p>
        </w:tc>
        <w:tc>
          <w:tcPr>
            <w:tcW w:w="930" w:type="dxa"/>
            <w:noWrap w:val="0"/>
            <w:vAlign w:val="top"/>
          </w:tcPr>
          <w:p>
            <w:pPr>
              <w:rPr>
                <w:rFonts w:ascii="仿宋" w:hAnsi="仿宋" w:eastAsia="仿宋" w:cs="宋体"/>
                <w:color w:val="000000"/>
                <w:sz w:val="32"/>
                <w:szCs w:val="32"/>
              </w:rPr>
            </w:pPr>
          </w:p>
        </w:tc>
        <w:tc>
          <w:tcPr>
            <w:tcW w:w="87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874" w:type="dxa"/>
            <w:noWrap w:val="0"/>
            <w:vAlign w:val="top"/>
          </w:tcPr>
          <w:p>
            <w:pPr>
              <w:rPr>
                <w:rFonts w:ascii="仿宋" w:hAnsi="仿宋" w:eastAsia="仿宋" w:cs="宋体"/>
                <w:color w:val="000000"/>
                <w:sz w:val="32"/>
                <w:szCs w:val="32"/>
              </w:rPr>
            </w:pPr>
          </w:p>
        </w:tc>
        <w:tc>
          <w:tcPr>
            <w:tcW w:w="1646"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noWrap w:val="0"/>
            <w:vAlign w:val="top"/>
          </w:tcPr>
          <w:p>
            <w:pPr>
              <w:rPr>
                <w:rFonts w:ascii="仿宋" w:hAnsi="仿宋" w:eastAsia="仿宋" w:cs="宋体"/>
                <w:color w:val="000000"/>
                <w:sz w:val="28"/>
                <w:szCs w:val="28"/>
              </w:rPr>
            </w:pPr>
            <w:r>
              <w:rPr>
                <w:rFonts w:hint="eastAsia" w:ascii="仿宋" w:hAnsi="仿宋" w:eastAsia="仿宋" w:cs="宋体"/>
                <w:color w:val="000000"/>
                <w:sz w:val="28"/>
                <w:szCs w:val="28"/>
              </w:rPr>
              <w:t>检查评级</w:t>
            </w:r>
          </w:p>
        </w:tc>
        <w:tc>
          <w:tcPr>
            <w:tcW w:w="930" w:type="dxa"/>
            <w:noWrap w:val="0"/>
            <w:vAlign w:val="top"/>
          </w:tcPr>
          <w:p>
            <w:pPr>
              <w:rPr>
                <w:rFonts w:ascii="仿宋" w:hAnsi="仿宋" w:eastAsia="仿宋" w:cs="宋体"/>
                <w:color w:val="000000"/>
                <w:sz w:val="32"/>
                <w:szCs w:val="32"/>
              </w:rPr>
            </w:pPr>
          </w:p>
        </w:tc>
        <w:tc>
          <w:tcPr>
            <w:tcW w:w="87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c>
          <w:tcPr>
            <w:tcW w:w="874" w:type="dxa"/>
            <w:noWrap w:val="0"/>
            <w:vAlign w:val="top"/>
          </w:tcPr>
          <w:p>
            <w:pPr>
              <w:rPr>
                <w:rFonts w:ascii="仿宋" w:hAnsi="仿宋" w:eastAsia="仿宋" w:cs="宋体"/>
                <w:color w:val="000000"/>
                <w:sz w:val="32"/>
                <w:szCs w:val="32"/>
              </w:rPr>
            </w:pPr>
          </w:p>
        </w:tc>
        <w:tc>
          <w:tcPr>
            <w:tcW w:w="1646" w:type="dxa"/>
            <w:noWrap w:val="0"/>
            <w:vAlign w:val="top"/>
          </w:tcPr>
          <w:p>
            <w:pPr>
              <w:rPr>
                <w:rFonts w:ascii="仿宋" w:hAnsi="仿宋" w:eastAsia="仿宋" w:cs="宋体"/>
                <w:color w:val="000000"/>
                <w:sz w:val="32"/>
                <w:szCs w:val="32"/>
              </w:rPr>
            </w:pPr>
          </w:p>
        </w:tc>
        <w:tc>
          <w:tcPr>
            <w:tcW w:w="900" w:type="dxa"/>
            <w:noWrap w:val="0"/>
            <w:vAlign w:val="top"/>
          </w:tcPr>
          <w:p>
            <w:pPr>
              <w:rPr>
                <w:rFonts w:ascii="仿宋" w:hAnsi="仿宋" w:eastAsia="仿宋" w:cs="宋体"/>
                <w:color w:val="000000"/>
                <w:sz w:val="32"/>
                <w:szCs w:val="32"/>
              </w:rPr>
            </w:pPr>
          </w:p>
        </w:tc>
      </w:tr>
    </w:tbl>
    <w:p>
      <w:pPr>
        <w:pStyle w:val="7"/>
        <w:spacing w:before="0" w:beforeAutospacing="0" w:after="0" w:afterAutospacing="0" w:line="560" w:lineRule="exact"/>
        <w:ind w:firstLine="280" w:firstLineChars="100"/>
        <w:jc w:val="both"/>
        <w:rPr>
          <w:rFonts w:ascii="仿宋_GB2312" w:hAnsi="楷体" w:eastAsia="仿宋_GB2312" w:cs="楷体"/>
          <w:color w:val="000000"/>
          <w:sz w:val="28"/>
          <w:szCs w:val="28"/>
        </w:rPr>
      </w:pPr>
      <w:r>
        <w:rPr>
          <w:rFonts w:hint="eastAsia" w:ascii="仿宋_GB2312" w:hAnsi="楷体" w:eastAsia="仿宋_GB2312" w:cs="楷体"/>
          <w:color w:val="000000"/>
          <w:sz w:val="28"/>
          <w:szCs w:val="28"/>
        </w:rPr>
        <w:t>检查人员：                                负责人：                 检查时间：年  月  日</w:t>
      </w:r>
    </w:p>
    <w:p>
      <w:pPr>
        <w:pStyle w:val="7"/>
        <w:spacing w:before="0" w:beforeAutospacing="0" w:after="0" w:afterAutospacing="0" w:line="560" w:lineRule="exact"/>
        <w:ind w:firstLine="640" w:firstLineChars="200"/>
        <w:jc w:val="both"/>
        <w:rPr>
          <w:rFonts w:ascii="仿宋_GB2312" w:hAnsi="楷体" w:eastAsia="仿宋_GB2312" w:cs="楷体"/>
          <w:color w:val="000000"/>
          <w:sz w:val="32"/>
          <w:szCs w:val="32"/>
        </w:rPr>
      </w:pPr>
    </w:p>
    <w:p>
      <w:pPr>
        <w:pStyle w:val="7"/>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黑体" w:eastAsia="黑体" w:cs="Times New Roman"/>
          <w:bCs/>
          <w:color w:val="000000"/>
          <w:sz w:val="32"/>
          <w:szCs w:val="32"/>
        </w:rPr>
        <w:t>附表</w:t>
      </w:r>
      <w:r>
        <w:rPr>
          <w:rFonts w:ascii="Times New Roman" w:hAnsi="Times New Roman" w:eastAsia="黑体" w:cs="Times New Roman"/>
          <w:bCs/>
          <w:color w:val="000000"/>
          <w:sz w:val="32"/>
          <w:szCs w:val="32"/>
        </w:rPr>
        <w:t>7</w:t>
      </w:r>
      <w:r>
        <w:rPr>
          <w:rFonts w:ascii="Times New Roman" w:hAnsi="黑体" w:eastAsia="黑体" w:cs="Times New Roman"/>
          <w:bCs/>
          <w:color w:val="000000"/>
          <w:sz w:val="32"/>
          <w:szCs w:val="32"/>
        </w:rPr>
        <w:t>：</w:t>
      </w:r>
    </w:p>
    <w:p>
      <w:pPr>
        <w:widowControl/>
        <w:spacing w:line="400" w:lineRule="exact"/>
        <w:jc w:val="center"/>
        <w:rPr>
          <w:rFonts w:ascii="黑体" w:hAnsi="黑体" w:eastAsia="黑体" w:cs="宋体"/>
          <w:bCs/>
          <w:color w:val="000000"/>
          <w:kern w:val="0"/>
          <w:sz w:val="44"/>
          <w:szCs w:val="44"/>
        </w:rPr>
      </w:pPr>
      <w:r>
        <w:rPr>
          <w:rFonts w:hint="eastAsia" w:ascii="黑体" w:hAnsi="黑体" w:eastAsia="黑体" w:cs="宋体"/>
          <w:bCs/>
          <w:color w:val="000000"/>
          <w:kern w:val="0"/>
          <w:sz w:val="44"/>
          <w:szCs w:val="44"/>
        </w:rPr>
        <w:t>目标责任制执行情况县（区）级核查结果认定表</w:t>
      </w:r>
    </w:p>
    <w:p>
      <w:pPr>
        <w:pStyle w:val="7"/>
        <w:spacing w:before="0" w:beforeAutospacing="0" w:after="0" w:afterAutospacing="0" w:line="400" w:lineRule="exact"/>
        <w:ind w:firstLine="280" w:firstLineChars="100"/>
        <w:jc w:val="both"/>
        <w:rPr>
          <w:rFonts w:ascii="仿宋_GB2312" w:hAnsi="楷体" w:eastAsia="仿宋_GB2312" w:cs="楷体"/>
          <w:color w:val="000000"/>
          <w:sz w:val="28"/>
          <w:szCs w:val="28"/>
        </w:rPr>
      </w:pPr>
      <w:r>
        <w:rPr>
          <w:rFonts w:hint="eastAsia" w:ascii="仿宋_GB2312" w:hAnsi="楷体" w:eastAsia="仿宋_GB2312" w:cs="楷体"/>
          <w:color w:val="000000"/>
          <w:sz w:val="28"/>
          <w:szCs w:val="28"/>
          <w:u w:val="single"/>
        </w:rPr>
        <w:t xml:space="preserve">        镇（场）       </w:t>
      </w:r>
      <w:r>
        <w:rPr>
          <w:rFonts w:hint="eastAsia" w:ascii="仿宋_GB2312" w:hAnsi="楷体" w:eastAsia="仿宋_GB2312" w:cs="楷体"/>
          <w:color w:val="000000"/>
          <w:sz w:val="28"/>
          <w:szCs w:val="28"/>
        </w:rPr>
        <w:t>年度</w:t>
      </w:r>
    </w:p>
    <w:tbl>
      <w:tblPr>
        <w:tblStyle w:val="12"/>
        <w:tblW w:w="12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179"/>
        <w:gridCol w:w="1179"/>
        <w:gridCol w:w="1179"/>
        <w:gridCol w:w="1179"/>
        <w:gridCol w:w="1179"/>
        <w:gridCol w:w="1179"/>
        <w:gridCol w:w="1179"/>
        <w:gridCol w:w="936"/>
        <w:gridCol w:w="90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restart"/>
            <w:noWrap w:val="0"/>
            <w:vAlign w:val="center"/>
          </w:tcPr>
          <w:p>
            <w:pPr>
              <w:pStyle w:val="7"/>
              <w:spacing w:before="0" w:beforeAutospacing="0" w:after="0" w:afterAutospacing="0" w:line="560" w:lineRule="exact"/>
              <w:jc w:val="center"/>
              <w:rPr>
                <w:rFonts w:ascii="仿宋_GB2312" w:eastAsia="仿宋_GB2312"/>
                <w:color w:val="000000"/>
                <w:sz w:val="28"/>
                <w:szCs w:val="28"/>
              </w:rPr>
            </w:pPr>
            <w:r>
              <w:rPr>
                <w:rFonts w:hint="eastAsia" w:ascii="仿宋_GB2312" w:eastAsia="仿宋_GB2312"/>
                <w:color w:val="000000"/>
                <w:sz w:val="28"/>
                <w:szCs w:val="28"/>
              </w:rPr>
              <w:t>考核指标</w:t>
            </w:r>
          </w:p>
        </w:tc>
        <w:tc>
          <w:tcPr>
            <w:tcW w:w="1179" w:type="dxa"/>
            <w:vMerge w:val="restart"/>
            <w:noWrap w:val="0"/>
            <w:vAlign w:val="center"/>
          </w:tcPr>
          <w:p>
            <w:pPr>
              <w:pStyle w:val="7"/>
              <w:spacing w:before="0" w:beforeAutospacing="0" w:after="0" w:afterAutospacing="0" w:line="560" w:lineRule="exact"/>
              <w:jc w:val="center"/>
              <w:rPr>
                <w:rFonts w:ascii="仿宋_GB2312" w:eastAsia="仿宋_GB2312"/>
                <w:color w:val="000000"/>
                <w:sz w:val="28"/>
                <w:szCs w:val="28"/>
              </w:rPr>
            </w:pPr>
          </w:p>
        </w:tc>
        <w:tc>
          <w:tcPr>
            <w:tcW w:w="3537" w:type="dxa"/>
            <w:gridSpan w:val="3"/>
            <w:noWrap w:val="0"/>
            <w:vAlign w:val="center"/>
          </w:tcPr>
          <w:p>
            <w:pPr>
              <w:pStyle w:val="7"/>
              <w:spacing w:before="0" w:beforeAutospacing="0" w:after="0" w:afterAutospacing="0" w:line="560" w:lineRule="exact"/>
              <w:jc w:val="center"/>
              <w:rPr>
                <w:rFonts w:ascii="仿宋_GB2312" w:eastAsia="仿宋_GB2312"/>
                <w:color w:val="000000"/>
                <w:sz w:val="28"/>
                <w:szCs w:val="28"/>
              </w:rPr>
            </w:pPr>
            <w:r>
              <w:rPr>
                <w:rFonts w:hint="eastAsia" w:ascii="仿宋_GB2312" w:eastAsia="仿宋_GB2312"/>
                <w:color w:val="000000"/>
                <w:sz w:val="28"/>
                <w:szCs w:val="28"/>
              </w:rPr>
              <w:t>镇（场）自检</w:t>
            </w:r>
          </w:p>
        </w:tc>
        <w:tc>
          <w:tcPr>
            <w:tcW w:w="3537" w:type="dxa"/>
            <w:gridSpan w:val="3"/>
            <w:noWrap w:val="0"/>
            <w:vAlign w:val="center"/>
          </w:tcPr>
          <w:p>
            <w:pPr>
              <w:pStyle w:val="7"/>
              <w:spacing w:before="0" w:beforeAutospacing="0" w:after="0" w:afterAutospacing="0" w:line="560" w:lineRule="exact"/>
              <w:jc w:val="center"/>
              <w:rPr>
                <w:rFonts w:ascii="仿宋_GB2312" w:eastAsia="仿宋_GB2312"/>
                <w:color w:val="000000"/>
                <w:sz w:val="28"/>
                <w:szCs w:val="28"/>
              </w:rPr>
            </w:pPr>
            <w:r>
              <w:rPr>
                <w:rFonts w:hint="eastAsia" w:ascii="仿宋_GB2312" w:eastAsia="仿宋_GB2312"/>
                <w:color w:val="000000"/>
                <w:sz w:val="28"/>
                <w:szCs w:val="28"/>
              </w:rPr>
              <w:t>县（区）级检查</w:t>
            </w:r>
          </w:p>
        </w:tc>
        <w:tc>
          <w:tcPr>
            <w:tcW w:w="936" w:type="dxa"/>
            <w:vMerge w:val="restart"/>
            <w:noWrap w:val="0"/>
            <w:vAlign w:val="center"/>
          </w:tcPr>
          <w:p>
            <w:pPr>
              <w:pStyle w:val="7"/>
              <w:spacing w:before="0" w:beforeAutospacing="0" w:after="0" w:afterAutospacing="0" w:line="560" w:lineRule="exact"/>
              <w:jc w:val="center"/>
              <w:rPr>
                <w:rFonts w:ascii="仿宋_GB2312" w:eastAsia="仿宋_GB2312"/>
                <w:color w:val="000000"/>
                <w:sz w:val="28"/>
                <w:szCs w:val="28"/>
              </w:rPr>
            </w:pPr>
            <w:r>
              <w:rPr>
                <w:rFonts w:hint="eastAsia" w:ascii="仿宋_GB2312" w:eastAsia="仿宋_GB2312"/>
                <w:color w:val="000000"/>
                <w:sz w:val="28"/>
                <w:szCs w:val="28"/>
              </w:rPr>
              <w:t>对比精度</w:t>
            </w:r>
          </w:p>
        </w:tc>
        <w:tc>
          <w:tcPr>
            <w:tcW w:w="900" w:type="dxa"/>
            <w:vMerge w:val="restart"/>
            <w:noWrap w:val="0"/>
            <w:vAlign w:val="center"/>
          </w:tcPr>
          <w:p>
            <w:pPr>
              <w:pStyle w:val="7"/>
              <w:spacing w:before="0" w:beforeAutospacing="0" w:after="0" w:afterAutospacing="0" w:line="560" w:lineRule="exact"/>
              <w:jc w:val="center"/>
              <w:rPr>
                <w:rFonts w:ascii="仿宋_GB2312" w:eastAsia="仿宋_GB2312"/>
                <w:color w:val="000000"/>
                <w:sz w:val="28"/>
                <w:szCs w:val="28"/>
              </w:rPr>
            </w:pPr>
            <w:r>
              <w:rPr>
                <w:rFonts w:hint="eastAsia" w:ascii="仿宋_GB2312" w:eastAsia="仿宋_GB2312"/>
                <w:color w:val="000000"/>
                <w:sz w:val="28"/>
                <w:szCs w:val="28"/>
              </w:rPr>
              <w:t>自检结果</w:t>
            </w:r>
          </w:p>
        </w:tc>
        <w:tc>
          <w:tcPr>
            <w:tcW w:w="1180" w:type="dxa"/>
            <w:vMerge w:val="restart"/>
            <w:noWrap w:val="0"/>
            <w:vAlign w:val="center"/>
          </w:tcPr>
          <w:p>
            <w:pPr>
              <w:pStyle w:val="7"/>
              <w:spacing w:before="0" w:beforeAutospacing="0" w:after="0" w:afterAutospacing="0" w:line="560" w:lineRule="exact"/>
              <w:jc w:val="center"/>
              <w:rPr>
                <w:rFonts w:ascii="仿宋_GB2312" w:hAnsi="仿宋" w:eastAsia="仿宋_GB2312"/>
                <w:color w:val="000000"/>
                <w:sz w:val="28"/>
                <w:szCs w:val="28"/>
              </w:rPr>
            </w:pPr>
            <w:r>
              <w:rPr>
                <w:rFonts w:hint="eastAsia" w:ascii="仿宋_GB2312" w:hAnsi="仿宋" w:eastAsia="仿宋_GB2312"/>
                <w:color w:val="000000"/>
                <w:sz w:val="28"/>
                <w:szCs w:val="28"/>
              </w:rPr>
              <w:t>认定</w:t>
            </w:r>
          </w:p>
          <w:p>
            <w:pPr>
              <w:pStyle w:val="7"/>
              <w:spacing w:before="0" w:beforeAutospacing="0" w:after="0" w:afterAutospacing="0" w:line="560" w:lineRule="exact"/>
              <w:jc w:val="center"/>
              <w:rPr>
                <w:rFonts w:ascii="仿宋_GB2312" w:eastAsia="仿宋_GB2312"/>
                <w:color w:val="000000"/>
                <w:sz w:val="28"/>
                <w:szCs w:val="28"/>
              </w:rPr>
            </w:pPr>
            <w:r>
              <w:rPr>
                <w:rFonts w:hint="eastAsia" w:ascii="仿宋_GB2312" w:hAnsi="仿宋" w:eastAsia="仿宋_GB2312"/>
                <w:color w:val="000000"/>
                <w:sz w:val="28"/>
                <w:szCs w:val="28"/>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noWrap w:val="0"/>
            <w:vAlign w:val="top"/>
          </w:tcPr>
          <w:p>
            <w:pPr>
              <w:pStyle w:val="7"/>
              <w:spacing w:before="0" w:beforeAutospacing="0" w:after="0" w:afterAutospacing="0" w:line="560" w:lineRule="exact"/>
              <w:jc w:val="both"/>
              <w:rPr>
                <w:rFonts w:ascii="仿宋_GB2312" w:eastAsia="仿宋_GB2312"/>
                <w:color w:val="000000"/>
                <w:sz w:val="28"/>
                <w:szCs w:val="28"/>
              </w:rPr>
            </w:pPr>
          </w:p>
        </w:tc>
        <w:tc>
          <w:tcPr>
            <w:tcW w:w="1179" w:type="dxa"/>
            <w:vMerge w:val="continue"/>
            <w:noWrap w:val="0"/>
            <w:vAlign w:val="top"/>
          </w:tcPr>
          <w:p>
            <w:pPr>
              <w:pStyle w:val="7"/>
              <w:spacing w:before="0" w:beforeAutospacing="0" w:after="0" w:afterAutospacing="0" w:line="560" w:lineRule="exact"/>
              <w:jc w:val="both"/>
              <w:rPr>
                <w:rFonts w:ascii="仿宋_GB2312" w:eastAsia="仿宋_GB2312"/>
                <w:color w:val="000000"/>
                <w:sz w:val="28"/>
                <w:szCs w:val="28"/>
              </w:rPr>
            </w:pPr>
          </w:p>
        </w:tc>
        <w:tc>
          <w:tcPr>
            <w:tcW w:w="1179" w:type="dxa"/>
            <w:noWrap w:val="0"/>
            <w:vAlign w:val="top"/>
          </w:tcPr>
          <w:p>
            <w:pPr>
              <w:pStyle w:val="7"/>
              <w:spacing w:before="0" w:beforeAutospacing="0" w:after="0" w:afterAutospacing="0" w:line="560" w:lineRule="exact"/>
              <w:jc w:val="both"/>
              <w:rPr>
                <w:rFonts w:ascii="仿宋_GB2312" w:eastAsia="仿宋_GB2312"/>
                <w:color w:val="000000"/>
                <w:sz w:val="28"/>
                <w:szCs w:val="28"/>
              </w:rPr>
            </w:pPr>
            <w:r>
              <w:rPr>
                <w:rFonts w:hint="eastAsia" w:ascii="仿宋_GB2312" w:eastAsia="仿宋_GB2312"/>
                <w:color w:val="000000"/>
                <w:sz w:val="28"/>
                <w:szCs w:val="28"/>
              </w:rPr>
              <w:t>任务数</w:t>
            </w:r>
          </w:p>
        </w:tc>
        <w:tc>
          <w:tcPr>
            <w:tcW w:w="1179" w:type="dxa"/>
            <w:noWrap w:val="0"/>
            <w:vAlign w:val="top"/>
          </w:tcPr>
          <w:p>
            <w:pPr>
              <w:pStyle w:val="7"/>
              <w:spacing w:before="0" w:beforeAutospacing="0" w:after="0" w:afterAutospacing="0" w:line="560" w:lineRule="exact"/>
              <w:jc w:val="both"/>
              <w:rPr>
                <w:rFonts w:ascii="仿宋_GB2312" w:eastAsia="仿宋_GB2312"/>
                <w:color w:val="000000"/>
                <w:sz w:val="28"/>
                <w:szCs w:val="28"/>
              </w:rPr>
            </w:pPr>
            <w:r>
              <w:rPr>
                <w:rFonts w:hint="eastAsia" w:ascii="仿宋_GB2312" w:eastAsia="仿宋_GB2312"/>
                <w:color w:val="000000"/>
                <w:sz w:val="28"/>
                <w:szCs w:val="28"/>
              </w:rPr>
              <w:t>完成数</w:t>
            </w:r>
          </w:p>
        </w:tc>
        <w:tc>
          <w:tcPr>
            <w:tcW w:w="1179" w:type="dxa"/>
            <w:noWrap w:val="0"/>
            <w:vAlign w:val="top"/>
          </w:tcPr>
          <w:p>
            <w:pPr>
              <w:pStyle w:val="7"/>
              <w:spacing w:before="0" w:beforeAutospacing="0" w:after="0" w:afterAutospacing="0" w:line="560" w:lineRule="exact"/>
              <w:jc w:val="both"/>
              <w:rPr>
                <w:rFonts w:ascii="仿宋_GB2312" w:eastAsia="仿宋_GB2312"/>
                <w:color w:val="000000"/>
                <w:sz w:val="28"/>
                <w:szCs w:val="28"/>
              </w:rPr>
            </w:pPr>
            <w:r>
              <w:rPr>
                <w:rFonts w:hint="eastAsia" w:ascii="仿宋_GB2312" w:eastAsia="仿宋_GB2312"/>
                <w:color w:val="000000"/>
                <w:sz w:val="28"/>
                <w:szCs w:val="28"/>
              </w:rPr>
              <w:t>完成率</w:t>
            </w:r>
          </w:p>
        </w:tc>
        <w:tc>
          <w:tcPr>
            <w:tcW w:w="1179" w:type="dxa"/>
            <w:noWrap w:val="0"/>
            <w:vAlign w:val="top"/>
          </w:tcPr>
          <w:p>
            <w:pPr>
              <w:pStyle w:val="7"/>
              <w:spacing w:before="0" w:beforeAutospacing="0" w:after="0" w:afterAutospacing="0" w:line="560" w:lineRule="exact"/>
              <w:jc w:val="both"/>
              <w:rPr>
                <w:rFonts w:ascii="仿宋_GB2312" w:eastAsia="仿宋_GB2312"/>
                <w:color w:val="000000"/>
                <w:sz w:val="28"/>
                <w:szCs w:val="28"/>
              </w:rPr>
            </w:pPr>
            <w:r>
              <w:rPr>
                <w:rFonts w:hint="eastAsia" w:ascii="仿宋_GB2312" w:eastAsia="仿宋_GB2312"/>
                <w:color w:val="000000"/>
                <w:sz w:val="28"/>
                <w:szCs w:val="28"/>
              </w:rPr>
              <w:t>任务数</w:t>
            </w:r>
          </w:p>
        </w:tc>
        <w:tc>
          <w:tcPr>
            <w:tcW w:w="1179" w:type="dxa"/>
            <w:noWrap w:val="0"/>
            <w:vAlign w:val="top"/>
          </w:tcPr>
          <w:p>
            <w:pPr>
              <w:pStyle w:val="7"/>
              <w:spacing w:before="0" w:beforeAutospacing="0" w:after="0" w:afterAutospacing="0" w:line="560" w:lineRule="exact"/>
              <w:jc w:val="both"/>
              <w:rPr>
                <w:rFonts w:ascii="仿宋_GB2312" w:eastAsia="仿宋_GB2312"/>
                <w:color w:val="000000"/>
                <w:sz w:val="28"/>
                <w:szCs w:val="28"/>
              </w:rPr>
            </w:pPr>
            <w:r>
              <w:rPr>
                <w:rFonts w:hint="eastAsia" w:ascii="仿宋_GB2312" w:eastAsia="仿宋_GB2312"/>
                <w:color w:val="000000"/>
                <w:sz w:val="28"/>
                <w:szCs w:val="28"/>
              </w:rPr>
              <w:t>完成数</w:t>
            </w:r>
          </w:p>
        </w:tc>
        <w:tc>
          <w:tcPr>
            <w:tcW w:w="1179" w:type="dxa"/>
            <w:noWrap w:val="0"/>
            <w:vAlign w:val="top"/>
          </w:tcPr>
          <w:p>
            <w:pPr>
              <w:pStyle w:val="7"/>
              <w:spacing w:before="0" w:beforeAutospacing="0" w:after="0" w:afterAutospacing="0" w:line="560" w:lineRule="exact"/>
              <w:jc w:val="both"/>
              <w:rPr>
                <w:rFonts w:ascii="仿宋_GB2312" w:eastAsia="仿宋_GB2312"/>
                <w:color w:val="000000"/>
                <w:sz w:val="28"/>
                <w:szCs w:val="28"/>
              </w:rPr>
            </w:pPr>
            <w:r>
              <w:rPr>
                <w:rFonts w:hint="eastAsia" w:ascii="仿宋_GB2312" w:eastAsia="仿宋_GB2312"/>
                <w:color w:val="000000"/>
                <w:sz w:val="28"/>
                <w:szCs w:val="28"/>
              </w:rPr>
              <w:t>完成率</w:t>
            </w:r>
          </w:p>
        </w:tc>
        <w:tc>
          <w:tcPr>
            <w:tcW w:w="936" w:type="dxa"/>
            <w:vMerge w:val="continue"/>
            <w:noWrap w:val="0"/>
            <w:vAlign w:val="top"/>
          </w:tcPr>
          <w:p>
            <w:pPr>
              <w:pStyle w:val="7"/>
              <w:spacing w:before="0" w:beforeAutospacing="0" w:after="0" w:afterAutospacing="0" w:line="560" w:lineRule="exact"/>
              <w:jc w:val="both"/>
              <w:rPr>
                <w:rFonts w:ascii="仿宋_GB2312" w:eastAsia="仿宋_GB2312"/>
                <w:color w:val="000000"/>
                <w:sz w:val="28"/>
                <w:szCs w:val="28"/>
              </w:rPr>
            </w:pPr>
          </w:p>
        </w:tc>
        <w:tc>
          <w:tcPr>
            <w:tcW w:w="900" w:type="dxa"/>
            <w:vMerge w:val="continue"/>
            <w:noWrap w:val="0"/>
            <w:vAlign w:val="top"/>
          </w:tcPr>
          <w:p>
            <w:pPr>
              <w:pStyle w:val="7"/>
              <w:spacing w:before="0" w:beforeAutospacing="0" w:after="0" w:afterAutospacing="0" w:line="560" w:lineRule="exact"/>
              <w:jc w:val="both"/>
              <w:rPr>
                <w:rFonts w:ascii="仿宋_GB2312" w:eastAsia="仿宋_GB2312"/>
                <w:color w:val="000000"/>
                <w:sz w:val="28"/>
                <w:szCs w:val="28"/>
              </w:rPr>
            </w:pPr>
          </w:p>
        </w:tc>
        <w:tc>
          <w:tcPr>
            <w:tcW w:w="1180" w:type="dxa"/>
            <w:vMerge w:val="continue"/>
            <w:noWrap w:val="0"/>
            <w:vAlign w:val="top"/>
          </w:tcPr>
          <w:p>
            <w:pPr>
              <w:pStyle w:val="7"/>
              <w:spacing w:before="0" w:beforeAutospacing="0" w:after="0" w:afterAutospacing="0" w:line="560" w:lineRule="exact"/>
              <w:jc w:val="both"/>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restart"/>
            <w:noWrap w:val="0"/>
            <w:vAlign w:val="top"/>
          </w:tcPr>
          <w:p>
            <w:pPr>
              <w:pStyle w:val="7"/>
              <w:spacing w:before="0" w:beforeAutospacing="0" w:after="0" w:afterAutospacing="0" w:line="560" w:lineRule="exact"/>
              <w:jc w:val="both"/>
              <w:rPr>
                <w:rFonts w:ascii="仿宋_GB2312" w:eastAsia="仿宋_GB2312"/>
                <w:color w:val="000000"/>
                <w:sz w:val="28"/>
                <w:szCs w:val="28"/>
              </w:rPr>
            </w:pPr>
          </w:p>
        </w:tc>
        <w:tc>
          <w:tcPr>
            <w:tcW w:w="1179" w:type="dxa"/>
            <w:noWrap w:val="0"/>
            <w:vAlign w:val="top"/>
          </w:tcPr>
          <w:p>
            <w:pPr>
              <w:pStyle w:val="7"/>
              <w:spacing w:before="0" w:beforeAutospacing="0" w:after="0" w:afterAutospacing="0" w:line="560" w:lineRule="exact"/>
              <w:jc w:val="center"/>
              <w:rPr>
                <w:rFonts w:ascii="仿宋_GB2312" w:eastAsia="仿宋_GB2312"/>
                <w:color w:val="000000"/>
                <w:sz w:val="28"/>
                <w:szCs w:val="28"/>
              </w:rPr>
            </w:pPr>
            <w:r>
              <w:rPr>
                <w:rFonts w:hint="eastAsia" w:ascii="仿宋_GB2312" w:eastAsia="仿宋_GB2312"/>
                <w:color w:val="000000"/>
                <w:sz w:val="28"/>
                <w:szCs w:val="28"/>
              </w:rPr>
              <w:t>小计</w:t>
            </w:r>
          </w:p>
        </w:tc>
        <w:tc>
          <w:tcPr>
            <w:tcW w:w="1179" w:type="dxa"/>
            <w:noWrap w:val="0"/>
            <w:vAlign w:val="top"/>
          </w:tcPr>
          <w:p>
            <w:pPr>
              <w:pStyle w:val="7"/>
              <w:spacing w:before="0" w:beforeAutospacing="0" w:after="0" w:afterAutospacing="0" w:line="560" w:lineRule="exact"/>
              <w:jc w:val="both"/>
              <w:rPr>
                <w:rFonts w:ascii="仿宋_GB2312" w:eastAsia="仿宋_GB2312"/>
                <w:color w:val="000000"/>
                <w:sz w:val="28"/>
                <w:szCs w:val="28"/>
              </w:rPr>
            </w:pPr>
          </w:p>
        </w:tc>
        <w:tc>
          <w:tcPr>
            <w:tcW w:w="1179" w:type="dxa"/>
            <w:noWrap w:val="0"/>
            <w:vAlign w:val="top"/>
          </w:tcPr>
          <w:p>
            <w:pPr>
              <w:pStyle w:val="7"/>
              <w:spacing w:before="0" w:beforeAutospacing="0" w:after="0" w:afterAutospacing="0" w:line="560" w:lineRule="exact"/>
              <w:jc w:val="both"/>
              <w:rPr>
                <w:rFonts w:ascii="仿宋_GB2312" w:eastAsia="仿宋_GB2312"/>
                <w:color w:val="000000"/>
                <w:sz w:val="28"/>
                <w:szCs w:val="28"/>
              </w:rPr>
            </w:pPr>
          </w:p>
        </w:tc>
        <w:tc>
          <w:tcPr>
            <w:tcW w:w="1179" w:type="dxa"/>
            <w:noWrap w:val="0"/>
            <w:vAlign w:val="top"/>
          </w:tcPr>
          <w:p>
            <w:pPr>
              <w:pStyle w:val="7"/>
              <w:spacing w:before="0" w:beforeAutospacing="0" w:after="0" w:afterAutospacing="0" w:line="560" w:lineRule="exact"/>
              <w:jc w:val="both"/>
              <w:rPr>
                <w:rFonts w:ascii="仿宋_GB2312" w:eastAsia="仿宋_GB2312"/>
                <w:color w:val="000000"/>
                <w:sz w:val="28"/>
                <w:szCs w:val="28"/>
              </w:rPr>
            </w:pPr>
          </w:p>
        </w:tc>
        <w:tc>
          <w:tcPr>
            <w:tcW w:w="1179" w:type="dxa"/>
            <w:noWrap w:val="0"/>
            <w:vAlign w:val="top"/>
          </w:tcPr>
          <w:p>
            <w:pPr>
              <w:pStyle w:val="7"/>
              <w:spacing w:before="0" w:beforeAutospacing="0" w:after="0" w:afterAutospacing="0" w:line="560" w:lineRule="exact"/>
              <w:jc w:val="both"/>
              <w:rPr>
                <w:rFonts w:ascii="仿宋_GB2312" w:eastAsia="仿宋_GB2312"/>
                <w:color w:val="000000"/>
                <w:sz w:val="28"/>
                <w:szCs w:val="28"/>
              </w:rPr>
            </w:pPr>
          </w:p>
        </w:tc>
        <w:tc>
          <w:tcPr>
            <w:tcW w:w="1179" w:type="dxa"/>
            <w:noWrap w:val="0"/>
            <w:vAlign w:val="top"/>
          </w:tcPr>
          <w:p>
            <w:pPr>
              <w:pStyle w:val="7"/>
              <w:spacing w:before="0" w:beforeAutospacing="0" w:after="0" w:afterAutospacing="0" w:line="560" w:lineRule="exact"/>
              <w:jc w:val="both"/>
              <w:rPr>
                <w:rFonts w:ascii="仿宋_GB2312" w:eastAsia="仿宋_GB2312"/>
                <w:color w:val="000000"/>
                <w:sz w:val="28"/>
                <w:szCs w:val="28"/>
              </w:rPr>
            </w:pPr>
          </w:p>
        </w:tc>
        <w:tc>
          <w:tcPr>
            <w:tcW w:w="1179" w:type="dxa"/>
            <w:noWrap w:val="0"/>
            <w:vAlign w:val="top"/>
          </w:tcPr>
          <w:p>
            <w:pPr>
              <w:pStyle w:val="7"/>
              <w:spacing w:before="0" w:beforeAutospacing="0" w:after="0" w:afterAutospacing="0" w:line="560" w:lineRule="exact"/>
              <w:jc w:val="both"/>
              <w:rPr>
                <w:rFonts w:ascii="仿宋_GB2312" w:eastAsia="仿宋_GB2312"/>
                <w:color w:val="000000"/>
                <w:sz w:val="28"/>
                <w:szCs w:val="28"/>
              </w:rPr>
            </w:pPr>
          </w:p>
        </w:tc>
        <w:tc>
          <w:tcPr>
            <w:tcW w:w="936" w:type="dxa"/>
            <w:noWrap w:val="0"/>
            <w:vAlign w:val="top"/>
          </w:tcPr>
          <w:p>
            <w:pPr>
              <w:pStyle w:val="7"/>
              <w:spacing w:before="0" w:beforeAutospacing="0" w:after="0" w:afterAutospacing="0" w:line="560" w:lineRule="exact"/>
              <w:jc w:val="both"/>
              <w:rPr>
                <w:rFonts w:ascii="仿宋_GB2312" w:eastAsia="仿宋_GB2312"/>
                <w:color w:val="000000"/>
                <w:sz w:val="28"/>
                <w:szCs w:val="28"/>
              </w:rPr>
            </w:pPr>
          </w:p>
        </w:tc>
        <w:tc>
          <w:tcPr>
            <w:tcW w:w="900" w:type="dxa"/>
            <w:tcBorders>
              <w:bottom w:val="single" w:color="auto" w:sz="4" w:space="0"/>
            </w:tcBorders>
            <w:noWrap w:val="0"/>
            <w:vAlign w:val="top"/>
          </w:tcPr>
          <w:p>
            <w:pPr>
              <w:pStyle w:val="7"/>
              <w:spacing w:before="0" w:beforeAutospacing="0" w:after="0" w:afterAutospacing="0" w:line="560" w:lineRule="exact"/>
              <w:jc w:val="both"/>
              <w:rPr>
                <w:rFonts w:ascii="仿宋_GB2312" w:eastAsia="仿宋_GB2312"/>
                <w:color w:val="000000"/>
                <w:sz w:val="28"/>
                <w:szCs w:val="28"/>
              </w:rPr>
            </w:pPr>
          </w:p>
        </w:tc>
        <w:tc>
          <w:tcPr>
            <w:tcW w:w="1180" w:type="dxa"/>
            <w:tcBorders>
              <w:bottom w:val="single" w:color="auto" w:sz="4" w:space="0"/>
            </w:tcBorders>
            <w:noWrap w:val="0"/>
            <w:vAlign w:val="top"/>
          </w:tcPr>
          <w:p>
            <w:pPr>
              <w:pStyle w:val="7"/>
              <w:spacing w:before="0" w:beforeAutospacing="0" w:after="0" w:afterAutospacing="0" w:line="560" w:lineRule="exact"/>
              <w:jc w:val="both"/>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936" w:type="dxa"/>
            <w:noWrap w:val="0"/>
            <w:vAlign w:val="top"/>
          </w:tcPr>
          <w:p>
            <w:pPr>
              <w:pStyle w:val="7"/>
              <w:spacing w:before="0" w:beforeAutospacing="0" w:after="0" w:afterAutospacing="0" w:line="560" w:lineRule="exact"/>
              <w:jc w:val="both"/>
              <w:rPr>
                <w:color w:val="000000"/>
                <w:sz w:val="28"/>
                <w:szCs w:val="28"/>
              </w:rPr>
            </w:pPr>
          </w:p>
        </w:tc>
        <w:tc>
          <w:tcPr>
            <w:tcW w:w="900" w:type="dxa"/>
            <w:tcBorders>
              <w:tr2bl w:val="single" w:color="auto" w:sz="4" w:space="0"/>
            </w:tcBorders>
            <w:noWrap w:val="0"/>
            <w:vAlign w:val="top"/>
          </w:tcPr>
          <w:p>
            <w:pPr>
              <w:pStyle w:val="7"/>
              <w:spacing w:before="0" w:beforeAutospacing="0" w:after="0" w:afterAutospacing="0" w:line="560" w:lineRule="exact"/>
              <w:jc w:val="both"/>
              <w:rPr>
                <w:color w:val="000000"/>
                <w:sz w:val="28"/>
                <w:szCs w:val="28"/>
              </w:rPr>
            </w:pPr>
          </w:p>
        </w:tc>
        <w:tc>
          <w:tcPr>
            <w:tcW w:w="1180" w:type="dxa"/>
            <w:tcBorders>
              <w:tr2bl w:val="single" w:color="auto" w:sz="4" w:space="0"/>
            </w:tcBorders>
            <w:noWrap w:val="0"/>
            <w:vAlign w:val="top"/>
          </w:tcPr>
          <w:p>
            <w:pPr>
              <w:pStyle w:val="7"/>
              <w:spacing w:before="0" w:beforeAutospacing="0" w:after="0" w:afterAutospacing="0" w:line="560" w:lineRule="exact"/>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936" w:type="dxa"/>
            <w:noWrap w:val="0"/>
            <w:vAlign w:val="top"/>
          </w:tcPr>
          <w:p>
            <w:pPr>
              <w:pStyle w:val="7"/>
              <w:spacing w:before="0" w:beforeAutospacing="0" w:after="0" w:afterAutospacing="0" w:line="560" w:lineRule="exact"/>
              <w:jc w:val="both"/>
              <w:rPr>
                <w:color w:val="000000"/>
                <w:sz w:val="28"/>
                <w:szCs w:val="28"/>
              </w:rPr>
            </w:pPr>
          </w:p>
        </w:tc>
        <w:tc>
          <w:tcPr>
            <w:tcW w:w="900" w:type="dxa"/>
            <w:tcBorders>
              <w:tr2bl w:val="single" w:color="auto" w:sz="4" w:space="0"/>
            </w:tcBorders>
            <w:noWrap w:val="0"/>
            <w:vAlign w:val="top"/>
          </w:tcPr>
          <w:p>
            <w:pPr>
              <w:pStyle w:val="7"/>
              <w:spacing w:before="0" w:beforeAutospacing="0" w:after="0" w:afterAutospacing="0" w:line="560" w:lineRule="exact"/>
              <w:jc w:val="both"/>
              <w:rPr>
                <w:color w:val="000000"/>
                <w:sz w:val="28"/>
                <w:szCs w:val="28"/>
              </w:rPr>
            </w:pPr>
          </w:p>
        </w:tc>
        <w:tc>
          <w:tcPr>
            <w:tcW w:w="1180" w:type="dxa"/>
            <w:tcBorders>
              <w:tr2bl w:val="single" w:color="auto" w:sz="4" w:space="0"/>
            </w:tcBorders>
            <w:noWrap w:val="0"/>
            <w:vAlign w:val="top"/>
          </w:tcPr>
          <w:p>
            <w:pPr>
              <w:pStyle w:val="7"/>
              <w:spacing w:before="0" w:beforeAutospacing="0" w:after="0" w:afterAutospacing="0" w:line="560" w:lineRule="exact"/>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restart"/>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center"/>
              <w:rPr>
                <w:color w:val="000000"/>
                <w:sz w:val="28"/>
                <w:szCs w:val="28"/>
              </w:rPr>
            </w:pPr>
            <w:r>
              <w:rPr>
                <w:rFonts w:hint="eastAsia" w:ascii="仿宋_GB2312" w:eastAsia="仿宋_GB2312"/>
                <w:color w:val="000000"/>
                <w:sz w:val="28"/>
                <w:szCs w:val="28"/>
              </w:rPr>
              <w:t>小计</w:t>
            </w: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936" w:type="dxa"/>
            <w:noWrap w:val="0"/>
            <w:vAlign w:val="top"/>
          </w:tcPr>
          <w:p>
            <w:pPr>
              <w:pStyle w:val="7"/>
              <w:spacing w:before="0" w:beforeAutospacing="0" w:after="0" w:afterAutospacing="0" w:line="560" w:lineRule="exact"/>
              <w:jc w:val="both"/>
              <w:rPr>
                <w:color w:val="000000"/>
                <w:sz w:val="28"/>
                <w:szCs w:val="28"/>
              </w:rPr>
            </w:pPr>
          </w:p>
        </w:tc>
        <w:tc>
          <w:tcPr>
            <w:tcW w:w="900" w:type="dxa"/>
            <w:tcBorders>
              <w:bottom w:val="single" w:color="auto" w:sz="4" w:space="0"/>
            </w:tcBorders>
            <w:noWrap w:val="0"/>
            <w:vAlign w:val="top"/>
          </w:tcPr>
          <w:p>
            <w:pPr>
              <w:pStyle w:val="7"/>
              <w:spacing w:before="0" w:beforeAutospacing="0" w:after="0" w:afterAutospacing="0" w:line="560" w:lineRule="exact"/>
              <w:jc w:val="both"/>
              <w:rPr>
                <w:color w:val="000000"/>
                <w:sz w:val="28"/>
                <w:szCs w:val="28"/>
              </w:rPr>
            </w:pPr>
          </w:p>
        </w:tc>
        <w:tc>
          <w:tcPr>
            <w:tcW w:w="1180" w:type="dxa"/>
            <w:tcBorders>
              <w:bottom w:val="single" w:color="auto" w:sz="4" w:space="0"/>
            </w:tcBorders>
            <w:noWrap w:val="0"/>
            <w:vAlign w:val="top"/>
          </w:tcPr>
          <w:p>
            <w:pPr>
              <w:pStyle w:val="7"/>
              <w:spacing w:before="0" w:beforeAutospacing="0" w:after="0" w:afterAutospacing="0" w:line="560" w:lineRule="exact"/>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center"/>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936" w:type="dxa"/>
            <w:noWrap w:val="0"/>
            <w:vAlign w:val="top"/>
          </w:tcPr>
          <w:p>
            <w:pPr>
              <w:pStyle w:val="7"/>
              <w:spacing w:before="0" w:beforeAutospacing="0" w:after="0" w:afterAutospacing="0" w:line="560" w:lineRule="exact"/>
              <w:jc w:val="both"/>
              <w:rPr>
                <w:color w:val="000000"/>
                <w:sz w:val="28"/>
                <w:szCs w:val="28"/>
              </w:rPr>
            </w:pPr>
          </w:p>
        </w:tc>
        <w:tc>
          <w:tcPr>
            <w:tcW w:w="900" w:type="dxa"/>
            <w:tcBorders>
              <w:tr2bl w:val="single" w:color="auto" w:sz="4" w:space="0"/>
            </w:tcBorders>
            <w:noWrap w:val="0"/>
            <w:vAlign w:val="top"/>
          </w:tcPr>
          <w:p>
            <w:pPr>
              <w:pStyle w:val="7"/>
              <w:spacing w:before="0" w:beforeAutospacing="0" w:after="0" w:afterAutospacing="0" w:line="560" w:lineRule="exact"/>
              <w:jc w:val="both"/>
              <w:rPr>
                <w:color w:val="000000"/>
                <w:sz w:val="28"/>
                <w:szCs w:val="28"/>
              </w:rPr>
            </w:pPr>
          </w:p>
        </w:tc>
        <w:tc>
          <w:tcPr>
            <w:tcW w:w="1180" w:type="dxa"/>
            <w:tcBorders>
              <w:tr2bl w:val="single" w:color="auto" w:sz="4" w:space="0"/>
            </w:tcBorders>
            <w:noWrap w:val="0"/>
            <w:vAlign w:val="top"/>
          </w:tcPr>
          <w:p>
            <w:pPr>
              <w:pStyle w:val="7"/>
              <w:spacing w:before="0" w:beforeAutospacing="0" w:after="0" w:afterAutospacing="0" w:line="560" w:lineRule="exact"/>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center"/>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936" w:type="dxa"/>
            <w:noWrap w:val="0"/>
            <w:vAlign w:val="top"/>
          </w:tcPr>
          <w:p>
            <w:pPr>
              <w:pStyle w:val="7"/>
              <w:spacing w:before="0" w:beforeAutospacing="0" w:after="0" w:afterAutospacing="0" w:line="560" w:lineRule="exact"/>
              <w:jc w:val="both"/>
              <w:rPr>
                <w:color w:val="000000"/>
                <w:sz w:val="28"/>
                <w:szCs w:val="28"/>
              </w:rPr>
            </w:pPr>
          </w:p>
        </w:tc>
        <w:tc>
          <w:tcPr>
            <w:tcW w:w="900" w:type="dxa"/>
            <w:tcBorders>
              <w:tr2bl w:val="single" w:color="auto" w:sz="4" w:space="0"/>
            </w:tcBorders>
            <w:noWrap w:val="0"/>
            <w:vAlign w:val="top"/>
          </w:tcPr>
          <w:p>
            <w:pPr>
              <w:pStyle w:val="7"/>
              <w:spacing w:before="0" w:beforeAutospacing="0" w:after="0" w:afterAutospacing="0" w:line="560" w:lineRule="exact"/>
              <w:jc w:val="both"/>
              <w:rPr>
                <w:color w:val="000000"/>
                <w:sz w:val="28"/>
                <w:szCs w:val="28"/>
              </w:rPr>
            </w:pPr>
          </w:p>
        </w:tc>
        <w:tc>
          <w:tcPr>
            <w:tcW w:w="1180" w:type="dxa"/>
            <w:tcBorders>
              <w:tr2bl w:val="single" w:color="auto" w:sz="4" w:space="0"/>
            </w:tcBorders>
            <w:noWrap w:val="0"/>
            <w:vAlign w:val="top"/>
          </w:tcPr>
          <w:p>
            <w:pPr>
              <w:pStyle w:val="7"/>
              <w:spacing w:before="0" w:beforeAutospacing="0" w:after="0" w:afterAutospacing="0" w:line="560" w:lineRule="exact"/>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restart"/>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center"/>
              <w:rPr>
                <w:color w:val="000000"/>
                <w:sz w:val="28"/>
                <w:szCs w:val="28"/>
              </w:rPr>
            </w:pPr>
            <w:r>
              <w:rPr>
                <w:rFonts w:hint="eastAsia" w:ascii="仿宋_GB2312" w:eastAsia="仿宋_GB2312"/>
                <w:color w:val="000000"/>
                <w:sz w:val="28"/>
                <w:szCs w:val="28"/>
              </w:rPr>
              <w:t>小计</w:t>
            </w: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936" w:type="dxa"/>
            <w:noWrap w:val="0"/>
            <w:vAlign w:val="top"/>
          </w:tcPr>
          <w:p>
            <w:pPr>
              <w:pStyle w:val="7"/>
              <w:spacing w:before="0" w:beforeAutospacing="0" w:after="0" w:afterAutospacing="0" w:line="560" w:lineRule="exact"/>
              <w:jc w:val="both"/>
              <w:rPr>
                <w:color w:val="000000"/>
                <w:sz w:val="28"/>
                <w:szCs w:val="28"/>
              </w:rPr>
            </w:pPr>
          </w:p>
        </w:tc>
        <w:tc>
          <w:tcPr>
            <w:tcW w:w="900" w:type="dxa"/>
            <w:tcBorders>
              <w:bottom w:val="single" w:color="auto" w:sz="4" w:space="0"/>
            </w:tcBorders>
            <w:noWrap w:val="0"/>
            <w:vAlign w:val="top"/>
          </w:tcPr>
          <w:p>
            <w:pPr>
              <w:pStyle w:val="7"/>
              <w:spacing w:before="0" w:beforeAutospacing="0" w:after="0" w:afterAutospacing="0" w:line="560" w:lineRule="exact"/>
              <w:jc w:val="both"/>
              <w:rPr>
                <w:color w:val="000000"/>
                <w:sz w:val="28"/>
                <w:szCs w:val="28"/>
              </w:rPr>
            </w:pPr>
          </w:p>
        </w:tc>
        <w:tc>
          <w:tcPr>
            <w:tcW w:w="1180" w:type="dxa"/>
            <w:tcBorders>
              <w:bottom w:val="single" w:color="auto" w:sz="4" w:space="0"/>
            </w:tcBorders>
            <w:noWrap w:val="0"/>
            <w:vAlign w:val="top"/>
          </w:tcPr>
          <w:p>
            <w:pPr>
              <w:pStyle w:val="7"/>
              <w:spacing w:before="0" w:beforeAutospacing="0" w:after="0" w:afterAutospacing="0" w:line="560" w:lineRule="exact"/>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936" w:type="dxa"/>
            <w:noWrap w:val="0"/>
            <w:vAlign w:val="top"/>
          </w:tcPr>
          <w:p>
            <w:pPr>
              <w:pStyle w:val="7"/>
              <w:spacing w:before="0" w:beforeAutospacing="0" w:after="0" w:afterAutospacing="0" w:line="560" w:lineRule="exact"/>
              <w:jc w:val="both"/>
              <w:rPr>
                <w:color w:val="000000"/>
                <w:sz w:val="28"/>
                <w:szCs w:val="28"/>
              </w:rPr>
            </w:pPr>
          </w:p>
        </w:tc>
        <w:tc>
          <w:tcPr>
            <w:tcW w:w="900" w:type="dxa"/>
            <w:tcBorders>
              <w:tr2bl w:val="single" w:color="auto" w:sz="4" w:space="0"/>
            </w:tcBorders>
            <w:noWrap w:val="0"/>
            <w:vAlign w:val="top"/>
          </w:tcPr>
          <w:p>
            <w:pPr>
              <w:pStyle w:val="7"/>
              <w:spacing w:before="0" w:beforeAutospacing="0" w:after="0" w:afterAutospacing="0" w:line="560" w:lineRule="exact"/>
              <w:jc w:val="both"/>
              <w:rPr>
                <w:color w:val="000000"/>
                <w:sz w:val="28"/>
                <w:szCs w:val="28"/>
              </w:rPr>
            </w:pPr>
          </w:p>
        </w:tc>
        <w:tc>
          <w:tcPr>
            <w:tcW w:w="1180" w:type="dxa"/>
            <w:tcBorders>
              <w:tr2bl w:val="single" w:color="auto" w:sz="4" w:space="0"/>
            </w:tcBorders>
            <w:noWrap w:val="0"/>
            <w:vAlign w:val="top"/>
          </w:tcPr>
          <w:p>
            <w:pPr>
              <w:pStyle w:val="7"/>
              <w:spacing w:before="0" w:beforeAutospacing="0" w:after="0" w:afterAutospacing="0" w:line="560" w:lineRule="exact"/>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Merge w:val="continue"/>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1179" w:type="dxa"/>
            <w:noWrap w:val="0"/>
            <w:vAlign w:val="top"/>
          </w:tcPr>
          <w:p>
            <w:pPr>
              <w:pStyle w:val="7"/>
              <w:spacing w:before="0" w:beforeAutospacing="0" w:after="0" w:afterAutospacing="0" w:line="560" w:lineRule="exact"/>
              <w:jc w:val="both"/>
              <w:rPr>
                <w:color w:val="000000"/>
                <w:sz w:val="28"/>
                <w:szCs w:val="28"/>
              </w:rPr>
            </w:pPr>
          </w:p>
        </w:tc>
        <w:tc>
          <w:tcPr>
            <w:tcW w:w="936" w:type="dxa"/>
            <w:noWrap w:val="0"/>
            <w:vAlign w:val="top"/>
          </w:tcPr>
          <w:p>
            <w:pPr>
              <w:pStyle w:val="7"/>
              <w:spacing w:before="0" w:beforeAutospacing="0" w:after="0" w:afterAutospacing="0" w:line="560" w:lineRule="exact"/>
              <w:jc w:val="both"/>
              <w:rPr>
                <w:color w:val="000000"/>
                <w:sz w:val="28"/>
                <w:szCs w:val="28"/>
              </w:rPr>
            </w:pPr>
          </w:p>
        </w:tc>
        <w:tc>
          <w:tcPr>
            <w:tcW w:w="900" w:type="dxa"/>
            <w:tcBorders>
              <w:tr2bl w:val="single" w:color="auto" w:sz="4" w:space="0"/>
            </w:tcBorders>
            <w:noWrap w:val="0"/>
            <w:vAlign w:val="top"/>
          </w:tcPr>
          <w:p>
            <w:pPr>
              <w:pStyle w:val="7"/>
              <w:spacing w:before="0" w:beforeAutospacing="0" w:after="0" w:afterAutospacing="0" w:line="560" w:lineRule="exact"/>
              <w:jc w:val="both"/>
              <w:rPr>
                <w:color w:val="000000"/>
                <w:sz w:val="28"/>
                <w:szCs w:val="28"/>
              </w:rPr>
            </w:pPr>
          </w:p>
        </w:tc>
        <w:tc>
          <w:tcPr>
            <w:tcW w:w="1180" w:type="dxa"/>
            <w:tcBorders>
              <w:tr2bl w:val="single" w:color="auto" w:sz="4" w:space="0"/>
            </w:tcBorders>
            <w:noWrap w:val="0"/>
            <w:vAlign w:val="top"/>
          </w:tcPr>
          <w:p>
            <w:pPr>
              <w:pStyle w:val="7"/>
              <w:spacing w:before="0" w:beforeAutospacing="0" w:after="0" w:afterAutospacing="0" w:line="560" w:lineRule="exact"/>
              <w:jc w:val="both"/>
              <w:rPr>
                <w:color w:val="000000"/>
                <w:sz w:val="28"/>
                <w:szCs w:val="28"/>
              </w:rPr>
            </w:pPr>
          </w:p>
        </w:tc>
      </w:tr>
    </w:tbl>
    <w:p>
      <w:pPr>
        <w:pStyle w:val="7"/>
        <w:spacing w:before="0" w:beforeAutospacing="0" w:after="0" w:afterAutospacing="0" w:line="560" w:lineRule="exact"/>
        <w:ind w:firstLine="240" w:firstLineChars="100"/>
        <w:jc w:val="both"/>
        <w:rPr>
          <w:rFonts w:ascii="仿宋_GB2312" w:hAnsi="楷体" w:eastAsia="仿宋_GB2312" w:cs="楷体"/>
          <w:color w:val="000000"/>
          <w:sz w:val="28"/>
          <w:szCs w:val="28"/>
        </w:rPr>
      </w:pPr>
      <w:r>
        <w:rPr>
          <w:rFonts w:hint="eastAsia"/>
        </w:rPr>
        <w:t>检查人员：                                负责人：                 检查时间：年  月  日</w:t>
      </w:r>
    </w:p>
    <w:p>
      <w:pPr>
        <w:pStyle w:val="2"/>
        <w:ind w:firstLine="0" w:firstLineChars="0"/>
        <w:sectPr>
          <w:footerReference r:id="rId5" w:type="default"/>
          <w:pgSz w:w="16838" w:h="11906" w:orient="landscape"/>
          <w:pgMar w:top="1587" w:right="2098" w:bottom="1474" w:left="1984" w:header="851" w:footer="992" w:gutter="0"/>
          <w:pgNumType w:fmt="decimal"/>
          <w:cols w:space="0" w:num="1"/>
          <w:rtlGutter w:val="0"/>
          <w:docGrid w:type="lines" w:linePitch="315" w:charSpace="0"/>
        </w:sectPr>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bookmarkStart w:id="5" w:name="_GoBack"/>
      <w:bookmarkEnd w:id="5"/>
    </w:p>
    <w:p>
      <w:pPr>
        <w:spacing w:line="600" w:lineRule="exact"/>
        <w:ind w:firstLine="313" w:firstLineChars="98"/>
        <w:rPr>
          <w:rFonts w:ascii="Times New Roman" w:hAnsi="Times New Roman" w:eastAsia="仿宋_GB2312" w:cs="Times New Roman"/>
          <w:color w:val="000000"/>
          <w:sz w:val="32"/>
          <w:szCs w:val="32"/>
        </w:rPr>
      </w:pPr>
      <w:r>
        <w:rPr>
          <w:rFonts w:hint="eastAsia" w:ascii="Times New Roman" w:hAnsi="Times New Roman" w:eastAsia="黑体" w:cs="黑体"/>
          <w:color w:val="000000"/>
          <w:sz w:val="32"/>
          <w:szCs w:val="32"/>
        </w:rPr>
        <w:t>公开方式：</w:t>
      </w:r>
      <w:r>
        <w:rPr>
          <w:rFonts w:hint="eastAsia" w:ascii="Times New Roman" w:hAnsi="Times New Roman" w:eastAsia="仿宋_GB2312" w:cs="仿宋_GB2312"/>
          <w:color w:val="000000"/>
          <w:sz w:val="32"/>
          <w:szCs w:val="32"/>
        </w:rPr>
        <w:t>主动公开</w:t>
      </w:r>
    </w:p>
    <w:p>
      <w:pPr>
        <w:spacing w:line="560" w:lineRule="exact"/>
        <w:ind w:firstLine="210" w:firstLineChars="100"/>
        <w:rPr>
          <w:rFonts w:ascii="Times New Roman" w:hAnsi="Times New Roman" w:eastAsia="仿宋_GB2312" w:cs="Times New Roman"/>
          <w:color w:val="000000"/>
        </w:rPr>
      </w:pPr>
    </w:p>
    <w:p>
      <w:pPr>
        <w:spacing w:line="460" w:lineRule="exact"/>
        <w:ind w:firstLine="554" w:firstLineChars="198"/>
        <w:rPr>
          <w:rFonts w:hint="default" w:ascii="Times New Roman" w:hAnsi="Times New Roman" w:eastAsia="仿宋_GB2312" w:cs="Times New Roman"/>
          <w:color w:val="000000"/>
          <w:sz w:val="28"/>
          <w:szCs w:val="28"/>
        </w:rPr>
      </w:pPr>
      <w:r>
        <w:rPr>
          <w:rFonts w:hint="default" w:ascii="Times New Roman" w:hAnsi="Times New Roman" w:cs="Times New Roman"/>
          <w:sz w:val="28"/>
          <w:szCs w:val="28"/>
        </w:rPr>
        <w:pict>
          <v:line id="_x0000_s2050" o:spid="_x0000_s2050" o:spt="20" style="position:absolute;left:0pt;flip:y;margin-left:10.5pt;margin-top:2.2pt;height:0pt;width:439.35pt;z-index:251660288;mso-width-relative:page;mso-height-relative:page;" coordsize="21600,21600">
            <v:path arrowok="t"/>
            <v:fill focussize="0,0"/>
            <v:stroke/>
            <v:imagedata o:title=""/>
            <o:lock v:ext="edit"/>
          </v:line>
        </w:pict>
      </w:r>
      <w:r>
        <w:rPr>
          <w:rFonts w:hint="default" w:ascii="Times New Roman" w:hAnsi="Times New Roman" w:eastAsia="仿宋_GB2312" w:cs="Times New Roman"/>
          <w:color w:val="000000"/>
          <w:sz w:val="28"/>
          <w:szCs w:val="28"/>
        </w:rPr>
        <w:t>抄送：区委办</w:t>
      </w:r>
      <w:r>
        <w:rPr>
          <w:rFonts w:hint="eastAsia" w:ascii="Times New Roman" w:hAnsi="Times New Roman" w:eastAsia="仿宋_GB2312" w:cs="Times New Roman"/>
          <w:color w:val="000000"/>
          <w:sz w:val="28"/>
          <w:szCs w:val="28"/>
          <w:lang w:eastAsia="zh-CN"/>
        </w:rPr>
        <w:t>公室</w:t>
      </w:r>
      <w:r>
        <w:rPr>
          <w:rFonts w:hint="default" w:ascii="Times New Roman" w:hAnsi="Times New Roman" w:eastAsia="仿宋_GB2312" w:cs="Times New Roman"/>
          <w:color w:val="000000"/>
          <w:sz w:val="28"/>
          <w:szCs w:val="28"/>
        </w:rPr>
        <w:t>、区人大</w:t>
      </w:r>
      <w:r>
        <w:rPr>
          <w:rFonts w:hint="eastAsia" w:ascii="Times New Roman" w:hAnsi="Times New Roman" w:eastAsia="仿宋_GB2312" w:cs="Times New Roman"/>
          <w:color w:val="000000"/>
          <w:sz w:val="28"/>
          <w:szCs w:val="28"/>
          <w:lang w:eastAsia="zh-CN"/>
        </w:rPr>
        <w:t>常委会办公室</w:t>
      </w:r>
      <w:r>
        <w:rPr>
          <w:rFonts w:hint="default" w:ascii="Times New Roman" w:hAnsi="Times New Roman" w:eastAsia="仿宋_GB2312" w:cs="Times New Roman"/>
          <w:color w:val="000000"/>
          <w:sz w:val="28"/>
          <w:szCs w:val="28"/>
        </w:rPr>
        <w:t>、区政协办</w:t>
      </w:r>
      <w:r>
        <w:rPr>
          <w:rFonts w:hint="eastAsia" w:ascii="Times New Roman" w:hAnsi="Times New Roman" w:eastAsia="仿宋_GB2312" w:cs="Times New Roman"/>
          <w:color w:val="000000"/>
          <w:sz w:val="28"/>
          <w:szCs w:val="28"/>
          <w:lang w:eastAsia="zh-CN"/>
        </w:rPr>
        <w:t>公室</w:t>
      </w:r>
      <w:r>
        <w:rPr>
          <w:rFonts w:hint="default" w:ascii="Times New Roman" w:hAnsi="Times New Roman" w:eastAsia="仿宋_GB2312" w:cs="Times New Roman"/>
          <w:color w:val="000000"/>
          <w:sz w:val="28"/>
          <w:szCs w:val="28"/>
        </w:rPr>
        <w:t xml:space="preserve">。 </w:t>
      </w:r>
    </w:p>
    <w:p>
      <w:pPr>
        <w:widowControl/>
        <w:spacing w:line="40" w:lineRule="exact"/>
        <w:ind w:left="1028" w:leftChars="195" w:right="225" w:rightChars="107" w:hanging="619" w:hangingChars="295"/>
        <w:rPr>
          <w:rFonts w:ascii="Times New Roman" w:hAnsi="Times New Roman" w:eastAsia="仿宋_GB2312" w:cs="Times New Roman"/>
          <w:kern w:val="0"/>
          <w:sz w:val="28"/>
          <w:szCs w:val="28"/>
        </w:rPr>
      </w:pPr>
      <w:r>
        <w:pict>
          <v:line id="_x0000_s2051" o:spid="_x0000_s2051" o:spt="20" style="position:absolute;left:0pt;flip:y;margin-left:10.5pt;margin-top:1.8pt;height:0pt;width:439.35pt;z-index:251659264;mso-width-relative:page;mso-height-relative:page;" coordsize="21600,21600">
            <v:path arrowok="t"/>
            <v:fill focussize="0,0"/>
            <v:stroke/>
            <v:imagedata o:title=""/>
            <o:lock v:ext="edit"/>
          </v:line>
        </w:pict>
      </w:r>
    </w:p>
    <w:p>
      <w:pPr>
        <w:widowControl/>
        <w:spacing w:line="40" w:lineRule="exact"/>
        <w:ind w:left="1235" w:leftChars="195" w:right="225" w:rightChars="107" w:hanging="826" w:hangingChars="295"/>
        <w:rPr>
          <w:rFonts w:ascii="Times New Roman" w:hAnsi="Times New Roman" w:eastAsia="仿宋_GB2312" w:cs="Times New Roman"/>
          <w:kern w:val="0"/>
          <w:sz w:val="28"/>
          <w:szCs w:val="28"/>
        </w:rPr>
      </w:pPr>
    </w:p>
    <w:p>
      <w:pPr>
        <w:spacing w:line="400" w:lineRule="exact"/>
        <w:ind w:firstLine="551" w:firstLineChars="197"/>
        <w:rPr>
          <w:rStyle w:val="9"/>
          <w:rFonts w:hint="default" w:ascii="Times New Roman" w:hAnsi="Times New Roman" w:eastAsia="仿宋_GB2312" w:cs="Times New Roman"/>
          <w:b w:val="0"/>
          <w:bCs w:val="0"/>
          <w:sz w:val="28"/>
          <w:szCs w:val="28"/>
        </w:rPr>
      </w:pPr>
      <w:r>
        <w:rPr>
          <w:rFonts w:hint="default" w:ascii="Times New Roman" w:hAnsi="Times New Roman" w:eastAsia="仿宋_GB2312" w:cs="Times New Roman"/>
          <w:sz w:val="28"/>
          <w:szCs w:val="28"/>
        </w:rPr>
        <w:pict>
          <v:line id="_x0000_s2052" o:spid="_x0000_s2052" o:spt="20" style="position:absolute;left:0pt;flip:y;margin-left:10.5pt;margin-top:25.2pt;height:0pt;width:439.35pt;z-index:251658240;mso-width-relative:page;mso-height-relative:page;" coordsize="21600,21600">
            <v:path arrowok="t"/>
            <v:fill focussize="0,0"/>
            <v:stroke/>
            <v:imagedata o:title=""/>
            <o:lock v:ext="edit"/>
          </v:line>
        </w:pict>
      </w:r>
      <w:r>
        <w:rPr>
          <w:rFonts w:hint="default" w:ascii="Times New Roman" w:hAnsi="Times New Roman" w:eastAsia="仿宋_GB2312" w:cs="Times New Roman"/>
          <w:color w:val="000000"/>
          <w:sz w:val="28"/>
          <w:szCs w:val="28"/>
        </w:rPr>
        <w:t>柳州市柳江区人民政府办公室            2019年</w:t>
      </w:r>
      <w:r>
        <w:rPr>
          <w:rFonts w:hint="default" w:ascii="Times New Roman" w:hAnsi="Times New Roman" w:eastAsia="仿宋_GB2312" w:cs="Times New Roman"/>
          <w:color w:val="000000"/>
          <w:sz w:val="28"/>
          <w:szCs w:val="28"/>
          <w:lang w:val="en-US" w:eastAsia="zh-CN"/>
        </w:rPr>
        <w:t>8</w:t>
      </w:r>
      <w:r>
        <w:rPr>
          <w:rFonts w:hint="default" w:ascii="Times New Roman" w:hAnsi="Times New Roman" w:eastAsia="仿宋_GB2312" w:cs="Times New Roman"/>
          <w:color w:val="000000"/>
          <w:sz w:val="28"/>
          <w:szCs w:val="28"/>
        </w:rPr>
        <w:t>月</w:t>
      </w:r>
      <w:r>
        <w:rPr>
          <w:rFonts w:hint="default" w:ascii="Times New Roman" w:hAnsi="Times New Roman" w:eastAsia="仿宋_GB2312" w:cs="Times New Roman"/>
          <w:color w:val="000000"/>
          <w:sz w:val="28"/>
          <w:szCs w:val="28"/>
          <w:lang w:val="en-US" w:eastAsia="zh-CN"/>
        </w:rPr>
        <w:t>20</w:t>
      </w:r>
      <w:r>
        <w:rPr>
          <w:rFonts w:hint="default" w:ascii="Times New Roman" w:hAnsi="Times New Roman" w:eastAsia="仿宋_GB2312" w:cs="Times New Roman"/>
          <w:color w:val="000000"/>
          <w:sz w:val="28"/>
          <w:szCs w:val="28"/>
        </w:rPr>
        <w:t xml:space="preserve">日印发 </w:t>
      </w:r>
    </w:p>
    <w:p>
      <w:pPr>
        <w:spacing w:line="400" w:lineRule="exact"/>
        <w:ind w:firstLine="630" w:firstLineChars="197"/>
        <w:rPr>
          <w:rStyle w:val="9"/>
          <w:rFonts w:eastAsia="仿宋_GB2312"/>
          <w:b w:val="0"/>
          <w:bCs w:val="0"/>
          <w:sz w:val="32"/>
          <w:szCs w:val="32"/>
        </w:rPr>
      </w:pPr>
    </w:p>
    <w:p>
      <w:pPr>
        <w:spacing w:line="560" w:lineRule="exact"/>
        <w:jc w:val="center"/>
        <w:rPr>
          <w:rFonts w:cs="Times New Roman"/>
        </w:rPr>
      </w:pPr>
    </w:p>
    <w:sectPr>
      <w:footerReference r:id="rId6" w:type="default"/>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950" w:firstLineChars="2750"/>
    </w:pP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hint="eastAsia"/>
                    <w:sz w:val="28"/>
                    <w:szCs w:val="28"/>
                  </w:rPr>
                  <w:t xml:space="preserve"> —</w:t>
                </w:r>
              </w:p>
            </w:txbxContent>
          </v:textbox>
        </v:shape>
      </w:pict>
    </w:r>
  </w:p>
  <w:p>
    <w:pPr>
      <w:pStyle w:val="5"/>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950" w:firstLineChars="2750"/>
    </w:pPr>
    <w:r>
      <w:rPr>
        <w:sz w:val="18"/>
      </w:rPr>
      <w:pict>
        <v:shape id="_x0000_s4101" o:spid="_x0000_s410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ind w:firstLine="11620" w:firstLineChars="4150"/>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hint="eastAsia"/>
                    <w:sz w:val="28"/>
                    <w:szCs w:val="28"/>
                  </w:rPr>
                  <w:t xml:space="preserve"> —</w:t>
                </w:r>
              </w:p>
            </w:txbxContent>
          </v:textbox>
        </v:shape>
      </w:pict>
    </w:r>
  </w:p>
  <w:p>
    <w:pPr>
      <w:pStyle w:val="5"/>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cs="Times New Roman"/>
        <w:sz w:val="28"/>
        <w:szCs w:val="28"/>
      </w:rPr>
    </w:pPr>
    <w:r>
      <w:pict>
        <v:shape id="_x0000_s4098" o:spid="_x0000_s4098" o:spt="202" type="#_x0000_t202" style="position:absolute;left:0pt;margin-top:0pt;height:17.1pt;width:45.7pt;mso-position-horizontal:outside;mso-position-horizontal-relative:margin;mso-wrap-style:none;z-index:251658240;mso-width-relative:page;mso-height-relative:page;" filled="f" stroked="f" coordsize="21600,21600">
          <v:path/>
          <v:fill on="f" focussize="0,0"/>
          <v:stroke on="f"/>
          <v:imagedata o:title=""/>
          <o:lock v:ext="edit"/>
          <v:textbox inset="0mm,0mm,0mm,0mm" style="mso-fit-shape-to-text:t;">
            <w:txbxContent>
              <w:p>
                <w:pPr>
                  <w:pStyle w:val="5"/>
                  <w:jc w:val="center"/>
                  <w:rPr>
                    <w:rFonts w:hint="eastAsia"/>
                    <w:sz w:val="28"/>
                    <w:szCs w:val="28"/>
                    <w:lang w:val="en-US" w:eastAsia="zh-CN"/>
                  </w:rPr>
                </w:pPr>
                <w:r>
                  <w:rPr>
                    <w:rFonts w:hint="eastAsia"/>
                    <w:sz w:val="28"/>
                    <w:szCs w:val="28"/>
                    <w:lang w:val="en-US" w:eastAsia="zh-CN"/>
                  </w:rPr>
                  <w:t xml:space="preserve">                                                                                  </w:t>
                </w:r>
              </w:p>
              <w:p>
                <w:pPr>
                  <w:pStyle w:val="5"/>
                  <w:jc w:val="center"/>
                  <w:rPr>
                    <w:rFonts w:cs="Times New Roman"/>
                  </w:rPr>
                </w:pPr>
                <w:r>
                  <w:rPr>
                    <w:rFonts w:hint="eastAsia"/>
                    <w:sz w:val="28"/>
                    <w:szCs w:val="28"/>
                    <w:lang w:val="en-US" w:eastAsia="zh-CN"/>
                  </w:rPr>
                  <w:t xml:space="preserve">                                                                                    </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28</w:t>
                </w:r>
                <w:r>
                  <w:rPr>
                    <w:rFonts w:ascii="Times New Roman" w:hAnsi="Times New Roman" w:cs="Times New Roman"/>
                    <w:sz w:val="28"/>
                    <w:szCs w:val="28"/>
                  </w:rPr>
                  <w:fldChar w:fldCharType="end"/>
                </w:r>
                <w:r>
                  <w:rPr>
                    <w:sz w:val="28"/>
                    <w:szCs w:val="28"/>
                  </w:rPr>
                  <w:t xml:space="preserve"> —</w:t>
                </w:r>
              </w:p>
            </w:txbxContent>
          </v:textbox>
        </v:shape>
      </w:pict>
    </w:r>
  </w:p>
  <w:p>
    <w:pPr>
      <w:pStyle w:val="5"/>
      <w:rPr>
        <w:rFonts w:cs="Times New Roman"/>
      </w:rPr>
    </w:pPr>
  </w:p>
  <w:p>
    <w:pPr>
      <w:pStyle w:val="5"/>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cs="Times New Roman"/>
        <w:sz w:val="28"/>
        <w:szCs w:val="28"/>
      </w:rPr>
    </w:pPr>
    <w:r>
      <w:pict>
        <v:shape id="_x0000_s4097" o:spid="_x0000_s4097" o:spt="202" type="#_x0000_t202" style="position:absolute;left:0pt;margin-top:0pt;height:144pt;width:144pt;mso-position-horizontal:outside;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5"/>
                  <w:jc w:val="center"/>
                  <w:rPr>
                    <w:rFonts w:cs="Times New Roman"/>
                  </w:rPr>
                </w:pP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sz w:val="28"/>
                    <w:szCs w:val="28"/>
                  </w:rPr>
                  <w:t xml:space="preserve"> —</w:t>
                </w:r>
              </w:p>
            </w:txbxContent>
          </v:textbox>
        </v:shape>
      </w:pict>
    </w:r>
  </w:p>
  <w:p>
    <w:pPr>
      <w:pStyle w:val="5"/>
      <w:rPr>
        <w:rFonts w:cs="Times New Roman"/>
      </w:rPr>
    </w:pPr>
  </w:p>
  <w:p>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210"/>
  <w:drawingGridVerticalSpacing w:val="158"/>
  <w:displayHorizontalDrawingGridEvery w:val="1"/>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3947588"/>
    <w:rsid w:val="00002C67"/>
    <w:rsid w:val="00024296"/>
    <w:rsid w:val="00027986"/>
    <w:rsid w:val="00037E2C"/>
    <w:rsid w:val="00044C3F"/>
    <w:rsid w:val="000506FD"/>
    <w:rsid w:val="0006238F"/>
    <w:rsid w:val="00076A1E"/>
    <w:rsid w:val="000A588E"/>
    <w:rsid w:val="000C1F08"/>
    <w:rsid w:val="001106FF"/>
    <w:rsid w:val="00113C0C"/>
    <w:rsid w:val="00122E97"/>
    <w:rsid w:val="001230E3"/>
    <w:rsid w:val="001421BC"/>
    <w:rsid w:val="00142A63"/>
    <w:rsid w:val="00145D0C"/>
    <w:rsid w:val="00156A39"/>
    <w:rsid w:val="001D4E02"/>
    <w:rsid w:val="001D716B"/>
    <w:rsid w:val="00222C93"/>
    <w:rsid w:val="00230600"/>
    <w:rsid w:val="00231A50"/>
    <w:rsid w:val="00254C64"/>
    <w:rsid w:val="002B29F9"/>
    <w:rsid w:val="002B3DF8"/>
    <w:rsid w:val="002D212F"/>
    <w:rsid w:val="002D24D7"/>
    <w:rsid w:val="00312512"/>
    <w:rsid w:val="00326304"/>
    <w:rsid w:val="00340419"/>
    <w:rsid w:val="003814A9"/>
    <w:rsid w:val="003A1A57"/>
    <w:rsid w:val="003B4758"/>
    <w:rsid w:val="003B733F"/>
    <w:rsid w:val="003B7B22"/>
    <w:rsid w:val="003C74D7"/>
    <w:rsid w:val="003D2A92"/>
    <w:rsid w:val="00413AB5"/>
    <w:rsid w:val="004257AE"/>
    <w:rsid w:val="00433006"/>
    <w:rsid w:val="00451D78"/>
    <w:rsid w:val="00471A5A"/>
    <w:rsid w:val="00484D1F"/>
    <w:rsid w:val="004B1D5B"/>
    <w:rsid w:val="004C28B7"/>
    <w:rsid w:val="004D5D7D"/>
    <w:rsid w:val="004F7633"/>
    <w:rsid w:val="005063C2"/>
    <w:rsid w:val="00527148"/>
    <w:rsid w:val="00534EC8"/>
    <w:rsid w:val="005574BE"/>
    <w:rsid w:val="00604BE4"/>
    <w:rsid w:val="006116E9"/>
    <w:rsid w:val="00620B77"/>
    <w:rsid w:val="0066531F"/>
    <w:rsid w:val="00675EEE"/>
    <w:rsid w:val="006B2F00"/>
    <w:rsid w:val="006B7B2C"/>
    <w:rsid w:val="006C757E"/>
    <w:rsid w:val="00700327"/>
    <w:rsid w:val="007042F4"/>
    <w:rsid w:val="007078F0"/>
    <w:rsid w:val="0071530C"/>
    <w:rsid w:val="00725FD4"/>
    <w:rsid w:val="00764678"/>
    <w:rsid w:val="007703D4"/>
    <w:rsid w:val="00783B61"/>
    <w:rsid w:val="007876D8"/>
    <w:rsid w:val="007B2820"/>
    <w:rsid w:val="007C3747"/>
    <w:rsid w:val="007D6163"/>
    <w:rsid w:val="007E54A4"/>
    <w:rsid w:val="0080549B"/>
    <w:rsid w:val="00836063"/>
    <w:rsid w:val="00841ABB"/>
    <w:rsid w:val="00843F58"/>
    <w:rsid w:val="00861811"/>
    <w:rsid w:val="008A4627"/>
    <w:rsid w:val="008B0160"/>
    <w:rsid w:val="009525D6"/>
    <w:rsid w:val="00953AF4"/>
    <w:rsid w:val="00970878"/>
    <w:rsid w:val="00984B75"/>
    <w:rsid w:val="00993BF5"/>
    <w:rsid w:val="00996611"/>
    <w:rsid w:val="009A0297"/>
    <w:rsid w:val="009A262B"/>
    <w:rsid w:val="009A42CF"/>
    <w:rsid w:val="009A7E99"/>
    <w:rsid w:val="009D44E6"/>
    <w:rsid w:val="00A112E0"/>
    <w:rsid w:val="00A27272"/>
    <w:rsid w:val="00A31E62"/>
    <w:rsid w:val="00A37B3A"/>
    <w:rsid w:val="00A41032"/>
    <w:rsid w:val="00A66C66"/>
    <w:rsid w:val="00A87AB4"/>
    <w:rsid w:val="00A9253E"/>
    <w:rsid w:val="00A927C2"/>
    <w:rsid w:val="00A9469E"/>
    <w:rsid w:val="00AB3B7E"/>
    <w:rsid w:val="00AE3568"/>
    <w:rsid w:val="00B2025D"/>
    <w:rsid w:val="00B21B54"/>
    <w:rsid w:val="00B31727"/>
    <w:rsid w:val="00B41D00"/>
    <w:rsid w:val="00B619A5"/>
    <w:rsid w:val="00B732E2"/>
    <w:rsid w:val="00B772DF"/>
    <w:rsid w:val="00BC7D81"/>
    <w:rsid w:val="00C02878"/>
    <w:rsid w:val="00C12067"/>
    <w:rsid w:val="00C3058E"/>
    <w:rsid w:val="00C36F1D"/>
    <w:rsid w:val="00C50CB7"/>
    <w:rsid w:val="00C72E9F"/>
    <w:rsid w:val="00C8611F"/>
    <w:rsid w:val="00C961F6"/>
    <w:rsid w:val="00CA36A6"/>
    <w:rsid w:val="00CC15EB"/>
    <w:rsid w:val="00CC5E5B"/>
    <w:rsid w:val="00CE5EA0"/>
    <w:rsid w:val="00CF125F"/>
    <w:rsid w:val="00CF35DB"/>
    <w:rsid w:val="00D13EDE"/>
    <w:rsid w:val="00D505FE"/>
    <w:rsid w:val="00D54B77"/>
    <w:rsid w:val="00D54BC4"/>
    <w:rsid w:val="00D73C24"/>
    <w:rsid w:val="00D9100A"/>
    <w:rsid w:val="00D974AB"/>
    <w:rsid w:val="00DA366C"/>
    <w:rsid w:val="00DC6985"/>
    <w:rsid w:val="00E074C7"/>
    <w:rsid w:val="00E12E66"/>
    <w:rsid w:val="00E1491A"/>
    <w:rsid w:val="00E63539"/>
    <w:rsid w:val="00E70B98"/>
    <w:rsid w:val="00E75A5E"/>
    <w:rsid w:val="00EB3D16"/>
    <w:rsid w:val="00F0084D"/>
    <w:rsid w:val="00F3490E"/>
    <w:rsid w:val="00F53805"/>
    <w:rsid w:val="00F5552E"/>
    <w:rsid w:val="00F70E82"/>
    <w:rsid w:val="00FA0D0E"/>
    <w:rsid w:val="00FD6FC5"/>
    <w:rsid w:val="00FF3A1E"/>
    <w:rsid w:val="022730DC"/>
    <w:rsid w:val="024B1964"/>
    <w:rsid w:val="03337873"/>
    <w:rsid w:val="03947588"/>
    <w:rsid w:val="057F2328"/>
    <w:rsid w:val="063E6D6A"/>
    <w:rsid w:val="07B7609C"/>
    <w:rsid w:val="08156CB6"/>
    <w:rsid w:val="0A8602FE"/>
    <w:rsid w:val="0D313C68"/>
    <w:rsid w:val="0FE578E0"/>
    <w:rsid w:val="10285266"/>
    <w:rsid w:val="10706C60"/>
    <w:rsid w:val="19FF7943"/>
    <w:rsid w:val="1A954C89"/>
    <w:rsid w:val="1AE84308"/>
    <w:rsid w:val="1D7C70B3"/>
    <w:rsid w:val="20162042"/>
    <w:rsid w:val="24C60A3A"/>
    <w:rsid w:val="24DE4056"/>
    <w:rsid w:val="262C5279"/>
    <w:rsid w:val="27231C78"/>
    <w:rsid w:val="27AB4815"/>
    <w:rsid w:val="289B1FE8"/>
    <w:rsid w:val="29202E8E"/>
    <w:rsid w:val="2D1D3344"/>
    <w:rsid w:val="30643A86"/>
    <w:rsid w:val="3179245A"/>
    <w:rsid w:val="32F15CAF"/>
    <w:rsid w:val="338373DE"/>
    <w:rsid w:val="36B44CF7"/>
    <w:rsid w:val="38E276E2"/>
    <w:rsid w:val="3A234AFC"/>
    <w:rsid w:val="3F960AAD"/>
    <w:rsid w:val="432D0CF1"/>
    <w:rsid w:val="43AA321A"/>
    <w:rsid w:val="4A260A3E"/>
    <w:rsid w:val="4B500089"/>
    <w:rsid w:val="4C7131D0"/>
    <w:rsid w:val="4CD06DD4"/>
    <w:rsid w:val="4D106267"/>
    <w:rsid w:val="51E86431"/>
    <w:rsid w:val="5A2131A0"/>
    <w:rsid w:val="60831C61"/>
    <w:rsid w:val="61295A33"/>
    <w:rsid w:val="61F5185B"/>
    <w:rsid w:val="620C2988"/>
    <w:rsid w:val="652811D8"/>
    <w:rsid w:val="6AF4649A"/>
    <w:rsid w:val="6C2034B6"/>
    <w:rsid w:val="6CEA3ADD"/>
    <w:rsid w:val="6E272C39"/>
    <w:rsid w:val="6F725FEB"/>
    <w:rsid w:val="70781892"/>
    <w:rsid w:val="77A46647"/>
    <w:rsid w:val="782B3783"/>
    <w:rsid w:val="79241CBC"/>
    <w:rsid w:val="7C016A10"/>
    <w:rsid w:val="7C453B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4"/>
    <w:qFormat/>
    <w:uiPriority w:val="99"/>
    <w:pPr>
      <w:spacing w:line="360" w:lineRule="auto"/>
      <w:ind w:firstLine="720" w:firstLineChars="200"/>
      <w:jc w:val="left"/>
    </w:pPr>
    <w:rPr>
      <w:rFonts w:ascii="宋体" w:hAnsi="宋体" w:cs="宋体"/>
      <w:sz w:val="28"/>
      <w:szCs w:val="28"/>
    </w:rPr>
  </w:style>
  <w:style w:type="paragraph" w:styleId="3">
    <w:name w:val="Body Text"/>
    <w:basedOn w:val="1"/>
    <w:link w:val="13"/>
    <w:qFormat/>
    <w:uiPriority w:val="99"/>
    <w:pPr>
      <w:jc w:val="center"/>
    </w:pPr>
    <w:rPr>
      <w:b/>
      <w:bCs/>
      <w:sz w:val="44"/>
      <w:szCs w:val="44"/>
    </w:rPr>
  </w:style>
  <w:style w:type="paragraph" w:styleId="4">
    <w:name w:val="Date"/>
    <w:basedOn w:val="1"/>
    <w:next w:val="1"/>
    <w:link w:val="15"/>
    <w:semiHidden/>
    <w:qFormat/>
    <w:uiPriority w:val="99"/>
    <w:pPr>
      <w:ind w:left="100" w:leftChars="2500"/>
    </w:p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locked/>
    <w:uiPriority w:val="99"/>
    <w:rPr>
      <w:rFonts w:ascii="Times New Roman" w:hAnsi="Times New Roman" w:cs="Times New Roman"/>
      <w:b/>
      <w:bCs/>
    </w:rPr>
  </w:style>
  <w:style w:type="character" w:styleId="10">
    <w:name w:val="page number"/>
    <w:basedOn w:val="8"/>
    <w:qFormat/>
    <w:uiPriority w:val="0"/>
  </w:style>
  <w:style w:type="character" w:styleId="11">
    <w:name w:val="Hyperlink"/>
    <w:basedOn w:val="8"/>
    <w:qFormat/>
    <w:uiPriority w:val="99"/>
    <w:rPr>
      <w:color w:val="0000FF"/>
      <w:u w:val="single"/>
    </w:rPr>
  </w:style>
  <w:style w:type="character" w:customStyle="1" w:styleId="13">
    <w:name w:val="正文文本 Char"/>
    <w:basedOn w:val="8"/>
    <w:link w:val="3"/>
    <w:semiHidden/>
    <w:qFormat/>
    <w:locked/>
    <w:uiPriority w:val="99"/>
    <w:rPr>
      <w:rFonts w:ascii="Calibri" w:hAnsi="Calibri" w:cs="Calibri"/>
      <w:sz w:val="21"/>
      <w:szCs w:val="21"/>
    </w:rPr>
  </w:style>
  <w:style w:type="character" w:customStyle="1" w:styleId="14">
    <w:name w:val="正文首行缩进 Char"/>
    <w:basedOn w:val="13"/>
    <w:link w:val="2"/>
    <w:semiHidden/>
    <w:qFormat/>
    <w:locked/>
    <w:uiPriority w:val="99"/>
  </w:style>
  <w:style w:type="character" w:customStyle="1" w:styleId="15">
    <w:name w:val="日期 Char"/>
    <w:basedOn w:val="8"/>
    <w:link w:val="4"/>
    <w:semiHidden/>
    <w:qFormat/>
    <w:locked/>
    <w:uiPriority w:val="99"/>
    <w:rPr>
      <w:sz w:val="24"/>
      <w:szCs w:val="24"/>
    </w:rPr>
  </w:style>
  <w:style w:type="character" w:customStyle="1" w:styleId="16">
    <w:name w:val="页脚 Char"/>
    <w:basedOn w:val="8"/>
    <w:link w:val="5"/>
    <w:qFormat/>
    <w:locked/>
    <w:uiPriority w:val="99"/>
    <w:rPr>
      <w:sz w:val="18"/>
      <w:szCs w:val="18"/>
    </w:rPr>
  </w:style>
  <w:style w:type="character" w:customStyle="1" w:styleId="17">
    <w:name w:val="页眉 Char"/>
    <w:basedOn w:val="8"/>
    <w:link w:val="6"/>
    <w:semiHidden/>
    <w:qFormat/>
    <w:locked/>
    <w:uiPriority w:val="99"/>
    <w:rPr>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9" textRotate="1"/>
    <customShpInfo spid="_x0000_s4101" textRotate="1"/>
    <customShpInfo spid="_x0000_s4098"/>
    <customShpInfo spid="_x0000_s4097"/>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A07D08-1BD9-4BAB-9A9A-AC4C152AF34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556</Words>
  <Characters>3173</Characters>
  <Lines>26</Lines>
  <Paragraphs>7</Paragraphs>
  <TotalTime>5</TotalTime>
  <ScaleCrop>false</ScaleCrop>
  <LinksUpToDate>false</LinksUpToDate>
  <CharactersWithSpaces>3722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2019-05-27T09:33:00Z</dcterms:created>
  <dc:creator>shapefile.wl</dc:creator>
  <cp:lastModifiedBy>Administrator</cp:lastModifiedBy>
  <cp:lastPrinted>2019-10-29T01:49:00Z</cp:lastPrinted>
  <dcterms:modified xsi:type="dcterms:W3CDTF">2019-10-29T03:09:12Z</dcterms:modified>
  <dc:title>关于柳江区各乡镇5个城乡建设用地增减挂钩项目的立项请示</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