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47" w:type="dxa"/>
        <w:tblInd w:w="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3087"/>
        <w:gridCol w:w="1400"/>
        <w:gridCol w:w="1313"/>
        <w:gridCol w:w="1812"/>
        <w:gridCol w:w="1735"/>
        <w:gridCol w:w="2737"/>
      </w:tblGrid>
      <w:tr>
        <w:trPr>
          <w:trHeight w:val="325" w:hRule="atLeast"/>
        </w:trPr>
        <w:tc>
          <w:tcPr>
            <w:tcW w:w="1454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ind w:firstLine="320" w:firstLineChars="1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4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柳江区2020年招商引资目标任务分解表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4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2020年柳江区招商引资目标区外境内到位资金64亿元，试行双轨制运行目标50亿元，战略性新兴产业目标12亿元。2020年柳江区招商引资目标新签约项目数27个，其中新引进工业项目数20个。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责任单位</w:t>
            </w:r>
          </w:p>
        </w:tc>
        <w:tc>
          <w:tcPr>
            <w:tcW w:w="3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项目类别</w:t>
            </w:r>
          </w:p>
        </w:tc>
        <w:tc>
          <w:tcPr>
            <w:tcW w:w="4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区外境内到位资金目标（亿元）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新引进项目数（个）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产业招商类别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原统计制度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试行双轨制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战略性新兴产业</w:t>
            </w:r>
          </w:p>
        </w:tc>
        <w:tc>
          <w:tcPr>
            <w:tcW w:w="1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工业和信息化局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工业项目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新兴、穿山工业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园区除外）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4（工业项目）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工业招商工作组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开发区管委会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新兴、穿山工业园区项目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16（工业项目）</w:t>
            </w:r>
          </w:p>
        </w:tc>
        <w:tc>
          <w:tcPr>
            <w:tcW w:w="2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住房城乡建设局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房地产、基础设施项目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基础设施建设招商工作组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商务局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服务业、商贸流通项目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新兴、穿山工业园区除外）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商贸流通招商工作组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新城管委、</w:t>
            </w:r>
          </w:p>
          <w:p>
            <w:pPr>
              <w:widowControl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区城投公司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新城辖区综合项目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635</wp:posOffset>
                      </wp:positionV>
                      <wp:extent cx="889000" cy="396875"/>
                      <wp:effectExtent l="1905" t="4445" r="4445" b="177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750945" y="3500120"/>
                                <a:ext cx="889000" cy="396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0.75pt;margin-top:0.05pt;height:31.25pt;width:70pt;z-index:251657216;mso-width-relative:page;mso-height-relative:page;" coordsize="21600,21600" o:gfxdata="UEsDBAoAAAAAAIdO4kAAAAAAAAAAAAAAAAAEAAAAZHJzL1BLAwQUAAAACACHTuJAiR5HHNMAAAAG&#10;AQAADwAAAGRycy9kb3ducmV2LnhtbE2OzW7CMBCE75V4B2sr9QZOoI1IGgdBpZYbUqHcTbxNIuJ1&#10;GjtA376bEz3Oj2a+fHWzrbhg7xtHCuJZBAKpdKahSsHX4X26BOGDJqNbR6jgFz2sislDrjPjrvSJ&#10;l32oBI+Qz7SCOoQuk9KXNVrtZ65D4uzb9VYHln0lTa+vPG5bOY+iRFrdED/UusO3GsvzfrAKNod0&#10;8WGOw/a8S59xvUljP/wclXp6jKNXEAFv4V6GEZ/RoWCmkxvIeNEqmMYv3Bx9MaaLJcuTgmSegCxy&#10;+R+/+ANQSwMEFAAAAAgAh07iQFTyUj/vAQAAnwMAAA4AAABkcnMvZTJvRG9jLnhtbK1TS44TMRDd&#10;I3EHy3vSnUAySSudWUw0sEAwEsMBatx22pJ/cpl0cgkugMQOVizZcxuGY1B2mlGAHaIXVtlV9Vzv&#10;+fX68mAN28uI2ruWTyc1Z9IJ32m3a/nb2+snS84wgevAeCdbfpTILzePH62H0MiZ773pZGQE4rAZ&#10;Qsv7lEJTVSh6aQEnPkhHSeWjhUTbuKu6CAOhW1PN6npRDT52IXohEel0e0ryTcFXSor0WimUiZmW&#10;02yprLGsd3mtNmtodhFCr8U4BvzDFBa0o0sfoLaQgL2L+i8oq0X06FWaCG8rr5QWsnAgNtP6DzZv&#10;egiycCFxMDzIhP8PVrza30SmO3o7zhxYeqL7D1+/v//049tHWu+/fGbTLNIQsKHaK3cTxx2Gm5gZ&#10;H1S0TBkdXmSMfEKs2KHlTy/m9erZnLMjxfO6ns5GueUhMUEFy+WqrulRRC5YLZYX83xTdYLMQCFi&#10;ei69ZTloudEuqwEN7F9iOpX+KsnHzl9rY+gcGuPY0PIFXUvwQL5SBhKFNhBTdDvOwOzIsCLFgoje&#10;6C5352Y84pWJbA/kGbJa54dbGpkzA5goQbYp3zjsb615nC1gf2ouqVwGjdWJfG60Jdrn3cblrCxO&#10;HUllqU/i5ujOd8eieZV35IKi0OjYbLPzPcXn/9Xm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ke&#10;RxzTAAAABgEAAA8AAAAAAAAAAQAgAAAAIgAAAGRycy9kb3ducmV2LnhtbFBLAQIUABQAAAAIAIdO&#10;4kBU8lI/7wEAAJ8DAAAOAAAAAAAAAAEAIAAAACIBAABkcnMvZTJvRG9jLnhtbFBLBQYAAAAABgAG&#10;AFkBAACDBQAAAAA=&#10;">
                      <v:path arrowok="t"/>
                      <v:fill focussize="0,0"/>
                      <v:stroke weight="0.5pt" joinstyle="miter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-12700</wp:posOffset>
                      </wp:positionV>
                      <wp:extent cx="817880" cy="410210"/>
                      <wp:effectExtent l="1905" t="4445" r="18415" b="444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617845" y="3509645"/>
                                <a:ext cx="817880" cy="4102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0.75pt;margin-top:-1pt;height:32.3pt;width:64.4pt;z-index:251658240;mso-width-relative:page;mso-height-relative:page;" coordsize="21600,21600" o:gfxdata="UEsDBAoAAAAAAIdO4kAAAAAAAAAAAAAAAAAEAAAAZHJzL1BLAwQUAAAACACHTuJAMgmnK9cAAAAI&#10;AQAADwAAAGRycy9kb3ducmV2LnhtbE2PQU/CQBCF7yb8h82YeINti1ZbuyViot5IALkv3bFt6M6W&#10;7hbw3zuc5DR5eS9vvlcsLrYTJxx860hBPItAIFXOtFQr+N5+TF9A+KDJ6M4RKvhFD4tyclfo3Lgz&#10;rfG0CbXgEvK5VtCE0OdS+qpBq/3M9Ujs/bjB6sByqKUZ9JnLbSeTKEql1S3xh0b3+N5gddiMVsFy&#10;m80/zW78OqyyR3xbZrEfjzulHu7j6BVEwEv4D8MVn9GhZKa9G8l40SmYxk+c5JvwpKufPM9B7BWk&#10;SQqyLOTtgPIPUEsDBBQAAAAIAIdO4kBItBTk8AEAAJ8DAAAOAAAAZHJzL2Uyb0RvYy54bWytU0uO&#10;EzEQ3SNxB8t70t1hEkIrnVlMNLBAEInhADVuO23JP7lMOrkEF0BiByuW7Oc2DMeg7IRRgB2iF1bZ&#10;VX5V7/n18nJvDdvJiNq7jjeTmjPphO+123b83c31kwVnmMD1YLyTHT9I5Jerx4+WY2jl1A/e9DIy&#10;AnHYjqHjQ0qhrSoUg7SAEx+ko6Ty0UKibdxWfYSR0K2ppnU9r0Yf+xC9kIh0uj4m+argKyVFeqMU&#10;ysRMx2m2VNZY1tu8VqsltNsIYdDiNAb8wxQWtKOmD1BrSMDeR/0XlNUievQqTYS3lVdKC1k4EJum&#10;/oPN2wGCLFxIHAwPMuH/gxWvd5vIdN/xGWcOLD3R/cdv3z98/nH3idb7r1/YLIs0Bmyp9spt4mmH&#10;YRMz472Klimjw0t6/6IBsWJ7Apw3zxYXBHvo+NNZ/XxOcZFb7hMTVLCg/IIeRVDBRVNPm/Ic1REy&#10;Q4eI6YX0luWg40a7rAa0sHuFiaCo9FdJPnb+WhtTWhjHxo7PqS3BA/lKGUgU2kBM0W05A7Mlw4oU&#10;CyJ6o/t8O+PgAa9MZDsgz5DVej/e0MicGcBECbJN+TIZmuC3q3mcNeBwvFxSR85WJ/K50ZZon982&#10;LneUxaknUlnqo7g5uvX9oWhe5R25oDQ9OTbb7HxP8fl/tfo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gmnK9cAAAAIAQAADwAAAAAAAAABACAAAAAiAAAAZHJzL2Rvd25yZXYueG1sUEsBAhQAFAAA&#10;AAgAh07iQEi0FOTwAQAAnwMAAA4AAAAAAAAAAQAgAAAAJgEAAGRycy9lMm9Eb2MueG1sUEsFBgAA&#10;AAAGAAYAWQEAAIgFAAAAAA==&#10;">
                      <v:path arrowok="t"/>
                      <v:fill focussize="0,0"/>
                      <v:stroke weight="0.5pt" joinstyle="miter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5715</wp:posOffset>
                      </wp:positionV>
                      <wp:extent cx="1127125" cy="397510"/>
                      <wp:effectExtent l="1270" t="4445" r="14605" b="1714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741545" y="3500120"/>
                                <a:ext cx="1127125" cy="39751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.5pt;margin-top:0.45pt;height:31.3pt;width:88.75pt;z-index:251656192;mso-width-relative:page;mso-height-relative:page;" coordsize="21600,21600" o:gfxdata="UEsDBAoAAAAAAIdO4kAAAAAAAAAAAAAAAAAEAAAAZHJzL1BLAwQUAAAACACHTuJAQcvYrtQAAAAF&#10;AQAADwAAAGRycy9kb3ducmV2LnhtbE2PQU/CQBSE7yb+h80z8SbbiiCtfSViot5IBLkv3Wfb0H1b&#10;u1vAf+/jpMfJTGa+KZZn16kjDaH1jJBOElDElbct1wif29e7BagQDVvTeSaEHwqwLK+vCpNbf+IP&#10;Om5iraSEQ24Qmhj7XOtQNeRMmPieWLwvPzgTRQ61toM5Sbnr9H2SzLUzLctCY3p6aag6bEaHsNpm&#10;0ze7G98P6+yBnldZGsbvHeLtTZo8gYp0jn9huOALOpTCtPcj26A60fIkImSgLubjYgZqjzCfzkCX&#10;hf5PX/4CUEsDBBQAAAAIAIdO4kCoXABk8gEAAKADAAAOAAAAZHJzL2Uyb0RvYy54bWytU0uOEzEQ&#10;3SNxB8t70t0hn6GVziwmGlggGInhADVuO23JP7lMOrkEF0BiByuW7LkNwzEoO2EUYIfoheVyVT3X&#10;e369utxbw3Yyovau482k5kw64Xvtth1/e3v95IIzTOB6MN7Jjh8k8sv140erMbRy6gdvehkZgThs&#10;x9DxIaXQVhWKQVrAiQ/SUVL5aCFRGLdVH2EkdGuqaV0vqtHHPkQvJCKdbo5Jvi74SkmRXiuFMjHT&#10;cZotlTWW9S6v1XoF7TZCGLQ4jQH/MIUF7ejSB6gNJGDvov4LymoRPXqVJsLbyiulhSwciE1T/8Hm&#10;zQBBFi4kDoYHmfD/wYpXu5vIdN/xBWcOLD3R/Yev399/+vHtI633Xz6zRRZpDNhS7ZW7iacIw03M&#10;jPcqWqaMDi/o/YsGxIrtOz5bzpr5bM7ZoeNP53XdTE9yy31iggqaZrpsplQgcsWz5bwpBdURM2OH&#10;iOm59JblTceNdlkOaGH3EhPNQaW/SvKx89famPKkxrGRONG9BA9kLGUg0dYGoopuyxmYLTlWpFgQ&#10;0Rvd5+6Mgwe8MpHtgExDXuv9eEszc2YAEyXIN+XLutAEv7XmcTaAw7G5pI4eszqR0Y22Hb847zYu&#10;3yiLVU+kstZHdfPuzveHInqVI7JBufRk2eyz85j25z/W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y9iu1AAAAAUBAAAPAAAAAAAAAAEAIAAAACIAAABkcnMvZG93bnJldi54bWxQSwECFAAUAAAA&#10;CACHTuJAqFwAZPIBAACgAwAADgAAAAAAAAABACAAAAAjAQAAZHJzL2Uyb0RvYy54bWxQSwUGAAAA&#10;AAYABgBZAQAAhwUAAAAA&#10;">
                      <v:path arrowok="t"/>
                      <v:fill focussize="0,0"/>
                      <v:stroke weight="0.5pt" joinstyle="miter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新城开发建设招商工作组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文体广电旅游局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旅游项目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文化旅游招商工作组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农业农村局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农业项目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现代农业招商工作组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其他项目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10160</wp:posOffset>
                      </wp:positionV>
                      <wp:extent cx="1102995" cy="187325"/>
                      <wp:effectExtent l="635" t="4445" r="1270" b="177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732270" y="4376420"/>
                                <a:ext cx="1102995" cy="187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15pt;margin-top:0.8pt;height:14.75pt;width:86.85pt;z-index:251659264;mso-width-relative:page;mso-height-relative:page;" coordsize="21600,21600" o:gfxdata="UEsDBAoAAAAAAIdO4kAAAAAAAAAAAAAAAAAEAAAAZHJzL1BLAwQUAAAACACHTuJAE21MWNQAAAAG&#10;AQAADwAAAGRycy9kb3ducmV2LnhtbE2PwU7DMBBE70j8g7WVuFHHDQokxKkoEnBDakvvbrxNosbr&#10;EDtt+Xu2JzjOzmjmbbm8uF6ccAydJw1qnoBAqr3tqNHwtX27fwIRoiFrek+o4QcDLKvbm9IU1p9p&#10;jadNbASXUCiMhjbGoZAy1C06E+Z+QGLv4EdnIsuxkXY0Zy53vVwkSSad6YgXWjPga4v1cTM5Datt&#10;nr7b3fRx/Mwf8GWVqzB977S+m6nkGUTES/wLwxWf0aFipr2fyAbRa1ikHORzBuLqPmb82V5DqhTI&#10;qpT/8atfUEsDBBQAAAAIAIdO4kBZ3NxV8wEAAKADAAAOAAAAZHJzL2Uyb0RvYy54bWytU82O0zAQ&#10;viPxDpbvNG26/dmo6R62Wi4IKrFwn3WcxpL/5DFN+xK8ABI3OHHkztuwPAZjN7vqwg2Rw2jGM/N5&#10;5vOX1dXBaLaXAZWzNZ+MxpxJK1yj7K7m725vXiw5wwi2Ae2srPlRIr9aP3+26n0lS9c53cjACMRi&#10;1fuadzH6qihQdNIAjpyXlpKtCwYihWFXNAF6Qje6KMfjedG70PjghESk080pydcZv22liG/aFmVk&#10;uuY0W8w2ZHuXbLFeQbUL4DslhjHgH6YwoCxd+gi1gQjsQ1B/QRklgkPXxpFwpnBtq4TMO9A2k/Ef&#10;27ztwMu8C5GD/pEm/H+w4vV+G5hqar7gzIKhJ7r/9P3nxy+/fnwme//tK1skknqPFdVe220YIvTb&#10;kDY+tMGwViv/nt4/c0BbsUPN54tpWS6I9GPNL6aL+UU50C0PkQkqmEzG5eXljDNBFZMllc/SVcUJ&#10;M2H7gPGldIYlp+Za2UQHVLB/hfFU+lCSjq27UVrTOVTasp5GmM7ofgEkrFZDJNd4WhXtjjPQO1Ks&#10;iCEjotOqSd2pGY94rQPbA4mGtNa4/pZm5kwDRkqQbvI3DPukNY2zAexOzTmVyqAyKpLQtTI1X553&#10;a5uyMkt1WCpxfWI3eXeuOWbSixSRDDJDg2STzs5j8s9/rP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21MWNQAAAAGAQAADwAAAAAAAAABACAAAAAiAAAAZHJzL2Rvd25yZXYueG1sUEsBAhQAFAAA&#10;AAgAh07iQFnc3FXzAQAAoAMAAA4AAAAAAAAAAQAgAAAAIwEAAGRycy9lMm9Eb2MueG1sUEsFBgAA&#10;AAAGAAYAWQEAAIgFAAAAAA==&#10;">
                      <v:path arrowok="t"/>
                      <v:fill focussize="0,0"/>
                      <v:stroke weight="0.5pt" joinstyle="miter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    计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4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备注：1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</w:rPr>
              <w:t>原统计制度统计起点为总投资500万元及以上区外投资项目。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      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</w:rPr>
              <w:t>试行双轨制统计起点为总投资5000万元及以上区外投资项目。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      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</w:rPr>
              <w:t>战略性新兴产业：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     （1）新一代信息技术 （2）先进装备制造 （3）节能与环保 （4）新材料 （5）海洋经济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     （6）新能源汽车 （7）养生长寿健康产业 （8）生物农业 （9）生物医药 （10）新能源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630" w:firstLineChars="3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cs="Times New Roman"/>
              </w:rPr>
              <w:t>已完成签约、引进的项目，请另附项目签约、引进材料报送。</w:t>
            </w:r>
          </w:p>
          <w:p>
            <w:pPr>
              <w:spacing w:line="280" w:lineRule="exact"/>
              <w:ind w:firstLine="630" w:firstLineChars="3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</w:rPr>
              <w:t>表中项目完成数只是参考数，以各单位上报为准。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Edison、葉回憶</cp:lastModifiedBy>
  <dcterms:modified xsi:type="dcterms:W3CDTF">2020-07-15T09:13:00Z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