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after="120" w:line="560" w:lineRule="exact"/>
        <w:ind w:left="0" w:leftChars="0" w:right="0" w:rightChars="0" w:firstLine="0" w:firstLineChars="0"/>
        <w:jc w:val="both"/>
        <w:textAlignment w:val="auto"/>
        <w:outlineLvl w:val="9"/>
        <w:rPr>
          <w:rFonts w:hint="eastAsia" w:ascii="黑体" w:hAnsi="黑体" w:eastAsia="黑体" w:cs="黑体"/>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附件：</w:t>
      </w: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default" w:ascii="方正小标宋简体" w:hAnsi="宋体" w:eastAsia="方正小标宋简体" w:cs="Times New Roman"/>
          <w:color w:val="auto"/>
          <w:spacing w:val="0"/>
          <w:kern w:val="2"/>
          <w:sz w:val="44"/>
          <w:szCs w:val="44"/>
          <w:lang w:val="en-US" w:eastAsia="zh-CN" w:bidi="ar-SA"/>
        </w:rPr>
      </w:pPr>
      <w:r>
        <w:rPr>
          <w:rFonts w:hint="eastAsia" w:ascii="方正小标宋简体" w:hAnsi="宋体" w:eastAsia="方正小标宋简体" w:cs="Times New Roman"/>
          <w:color w:val="auto"/>
          <w:spacing w:val="0"/>
          <w:kern w:val="2"/>
          <w:sz w:val="44"/>
          <w:szCs w:val="44"/>
          <w:lang w:val="en-US" w:eastAsia="zh-CN" w:bidi="ar-SA"/>
        </w:rPr>
        <w:t>国家、自治区、柳州市及相关部门应对疫情影响支持文旅企业发展措施摘编</w:t>
      </w:r>
    </w:p>
    <w:tbl>
      <w:tblPr>
        <w:tblStyle w:val="13"/>
        <w:tblW w:w="153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410"/>
        <w:gridCol w:w="5933"/>
        <w:gridCol w:w="3240"/>
        <w:gridCol w:w="4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7"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color w:val="auto"/>
                <w:kern w:val="0"/>
                <w:sz w:val="28"/>
                <w:szCs w:val="28"/>
                <w:vertAlign w:val="baseline"/>
                <w:lang w:val="en-US" w:eastAsia="zh-CN" w:bidi="ar"/>
              </w:rPr>
            </w:pPr>
            <w:r>
              <w:rPr>
                <w:rFonts w:hint="eastAsia" w:ascii="Times New Roman" w:hAnsi="Times New Roman" w:eastAsia="仿宋_GB2312" w:cs="Times New Roman"/>
                <w:b w:val="0"/>
                <w:bCs w:val="0"/>
                <w:color w:val="auto"/>
                <w:kern w:val="0"/>
                <w:sz w:val="28"/>
                <w:szCs w:val="28"/>
                <w:vertAlign w:val="baseline"/>
                <w:lang w:val="en-US" w:eastAsia="zh-CN" w:bidi="ar"/>
              </w:rPr>
              <w:t>序号</w:t>
            </w:r>
          </w:p>
        </w:tc>
        <w:tc>
          <w:tcPr>
            <w:tcW w:w="1410"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color w:val="auto"/>
                <w:kern w:val="0"/>
                <w:sz w:val="28"/>
                <w:szCs w:val="28"/>
                <w:vertAlign w:val="baseline"/>
                <w:lang w:val="en-US" w:eastAsia="zh-CN" w:bidi="ar"/>
              </w:rPr>
            </w:pPr>
            <w:r>
              <w:rPr>
                <w:rFonts w:hint="eastAsia" w:ascii="Times New Roman" w:hAnsi="Times New Roman" w:eastAsia="仿宋_GB2312" w:cs="Times New Roman"/>
                <w:b w:val="0"/>
                <w:bCs w:val="0"/>
                <w:color w:val="auto"/>
                <w:kern w:val="0"/>
                <w:sz w:val="28"/>
                <w:szCs w:val="28"/>
                <w:vertAlign w:val="baseline"/>
                <w:lang w:val="en-US" w:eastAsia="zh-CN" w:bidi="ar"/>
              </w:rPr>
              <w:t>支持企业发展政策政策</w:t>
            </w:r>
          </w:p>
        </w:tc>
        <w:tc>
          <w:tcPr>
            <w:tcW w:w="5933"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color w:val="auto"/>
                <w:kern w:val="0"/>
                <w:sz w:val="28"/>
                <w:szCs w:val="28"/>
                <w:vertAlign w:val="baseline"/>
                <w:lang w:val="en-US" w:eastAsia="zh-CN" w:bidi="ar"/>
              </w:rPr>
            </w:pPr>
            <w:r>
              <w:rPr>
                <w:rFonts w:hint="eastAsia" w:ascii="Times New Roman" w:hAnsi="Times New Roman" w:eastAsia="仿宋_GB2312" w:cs="Times New Roman"/>
                <w:b w:val="0"/>
                <w:bCs w:val="0"/>
                <w:color w:val="auto"/>
                <w:kern w:val="0"/>
                <w:sz w:val="28"/>
                <w:szCs w:val="28"/>
                <w:vertAlign w:val="baseline"/>
                <w:lang w:val="en-US" w:eastAsia="zh-CN" w:bidi="ar"/>
              </w:rPr>
              <w:t>国 家</w:t>
            </w:r>
          </w:p>
        </w:tc>
        <w:tc>
          <w:tcPr>
            <w:tcW w:w="3240"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400" w:lineRule="exact"/>
              <w:ind w:right="0" w:rightChars="0"/>
              <w:jc w:val="center"/>
              <w:textAlignment w:val="auto"/>
              <w:outlineLvl w:val="9"/>
              <w:rPr>
                <w:rFonts w:hint="eastAsia" w:ascii="Times New Roman" w:hAnsi="Times New Roman" w:eastAsia="仿宋_GB2312" w:cs="Times New Roman"/>
                <w:b w:val="0"/>
                <w:bCs w:val="0"/>
                <w:color w:val="auto"/>
                <w:kern w:val="0"/>
                <w:sz w:val="28"/>
                <w:szCs w:val="28"/>
                <w:vertAlign w:val="baseline"/>
                <w:lang w:val="en-US" w:eastAsia="zh-CN" w:bidi="ar"/>
              </w:rPr>
            </w:pPr>
            <w:r>
              <w:rPr>
                <w:rFonts w:hint="eastAsia" w:ascii="Times New Roman" w:hAnsi="Times New Roman" w:eastAsia="仿宋_GB2312" w:cs="Times New Roman"/>
                <w:b w:val="0"/>
                <w:bCs w:val="0"/>
                <w:color w:val="auto"/>
                <w:kern w:val="0"/>
                <w:sz w:val="28"/>
                <w:szCs w:val="28"/>
                <w:vertAlign w:val="baseline"/>
                <w:lang w:val="en-US" w:eastAsia="zh-CN" w:bidi="ar"/>
              </w:rPr>
              <w:t>自治区</w:t>
            </w:r>
          </w:p>
        </w:tc>
        <w:tc>
          <w:tcPr>
            <w:tcW w:w="4177" w:type="dxa"/>
            <w:vAlign w:val="center"/>
          </w:tcPr>
          <w:p>
            <w:pPr>
              <w:pStyle w:val="4"/>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Times New Roman" w:hAnsi="Times New Roman" w:eastAsia="仿宋_GB2312" w:cs="Times New Roman"/>
                <w:b w:val="0"/>
                <w:bCs w:val="0"/>
                <w:color w:val="auto"/>
                <w:kern w:val="0"/>
                <w:sz w:val="28"/>
                <w:szCs w:val="28"/>
                <w:vertAlign w:val="baseline"/>
                <w:lang w:val="en-US" w:eastAsia="zh-CN" w:bidi="ar"/>
              </w:rPr>
            </w:pPr>
            <w:r>
              <w:rPr>
                <w:rFonts w:hint="eastAsia" w:ascii="Times New Roman" w:hAnsi="Times New Roman" w:eastAsia="仿宋_GB2312" w:cs="Times New Roman"/>
                <w:b w:val="0"/>
                <w:bCs w:val="0"/>
                <w:color w:val="auto"/>
                <w:kern w:val="0"/>
                <w:sz w:val="28"/>
                <w:szCs w:val="28"/>
                <w:vertAlign w:val="baseline"/>
                <w:lang w:val="en-US" w:eastAsia="zh-CN" w:bidi="ar"/>
              </w:rPr>
              <w:t>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0" w:hRule="atLeast"/>
          <w:jc w:val="center"/>
        </w:trPr>
        <w:tc>
          <w:tcPr>
            <w:tcW w:w="637"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1</w:t>
            </w:r>
          </w:p>
        </w:tc>
        <w:tc>
          <w:tcPr>
            <w:tcW w:w="1410"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做好普惠性减税降费政策在旅游业领域的落地服务</w:t>
            </w:r>
          </w:p>
        </w:tc>
        <w:tc>
          <w:tcPr>
            <w:tcW w:w="5933"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一、《文化和旅游部办公厅关于抓好促进旅游业恢复发展纾困扶持政策贯彻落实工作的通知》</w:t>
            </w:r>
            <w:r>
              <w:rPr>
                <w:rFonts w:hint="eastAsia" w:ascii="Times New Roman" w:hAnsi="Times New Roman" w:eastAsia="仿宋_GB2312" w:cs="Times New Roman"/>
                <w:b/>
                <w:bCs/>
                <w:color w:val="auto"/>
                <w:kern w:val="0"/>
                <w:sz w:val="24"/>
                <w:szCs w:val="24"/>
                <w:vertAlign w:val="baseline"/>
                <w:lang w:val="en-US" w:eastAsia="zh-CN" w:bidi="ar"/>
              </w:rPr>
              <w:t>：</w:t>
            </w:r>
            <w:r>
              <w:rPr>
                <w:rFonts w:hint="eastAsia" w:ascii="Times New Roman" w:hAnsi="Times New Roman" w:eastAsia="仿宋_GB2312" w:cs="Times New Roman"/>
                <w:color w:val="auto"/>
                <w:kern w:val="0"/>
                <w:sz w:val="24"/>
                <w:szCs w:val="24"/>
                <w:vertAlign w:val="baseline"/>
                <w:lang w:val="en-US" w:eastAsia="zh-CN" w:bidi="ar"/>
              </w:rPr>
              <w:t>积极配合财政、人力资源社会保障、税务等部门，做好服务业增值税加计抵减、扩大“六税两费”适用范围、减免房产税和城镇土地使用税、中小微企业设备器具税前扣除、阶段性降低失业保险和工伤保险费率、失业保险稳岗返还、服务业小微企业和个体工商户房租减免等普惠性政策在旅游业领域的落实服务工作。梳理各项普惠性纾困扶持政策的适用范围、申请条件、办理流程等，面向旅游市场主体做好宣传解读工作，并为企业对接有关部门、申请政策帮扶提供必要帮助。</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二、《国家发展改革委等部门印发〈关于促进服务业领域困难行业恢复发展的若干政策〉的通知》</w:t>
            </w:r>
            <w:r>
              <w:rPr>
                <w:rFonts w:hint="eastAsia" w:ascii="Times New Roman" w:hAnsi="Times New Roman" w:eastAsia="仿宋_GB2312" w:cs="Times New Roman"/>
                <w:b/>
                <w:bCs/>
                <w:color w:val="auto"/>
                <w:kern w:val="0"/>
                <w:sz w:val="24"/>
                <w:szCs w:val="24"/>
                <w:vertAlign w:val="baseline"/>
                <w:lang w:val="en-US" w:eastAsia="zh-CN" w:bidi="ar"/>
              </w:rPr>
              <w:t>：1．</w:t>
            </w:r>
            <w:r>
              <w:rPr>
                <w:rFonts w:hint="eastAsia" w:ascii="Times New Roman" w:hAnsi="Times New Roman" w:eastAsia="仿宋_GB2312" w:cs="Times New Roman"/>
                <w:color w:val="auto"/>
                <w:kern w:val="0"/>
                <w:sz w:val="24"/>
                <w:szCs w:val="24"/>
                <w:vertAlign w:val="baseline"/>
                <w:lang w:val="en-US" w:eastAsia="zh-CN" w:bidi="ar"/>
              </w:rPr>
              <w:t>延续服务业增值税加计抵减政策，2022年对生产、生活性服务业纳税人当期可抵扣进项税额继续分别按10%和15%加计抵减应纳税额。</w:t>
            </w:r>
            <w:r>
              <w:rPr>
                <w:rFonts w:hint="eastAsia" w:ascii="Times New Roman" w:hAnsi="Times New Roman" w:eastAsia="仿宋_GB2312" w:cs="Times New Roman"/>
                <w:b/>
                <w:bCs/>
                <w:color w:val="auto"/>
                <w:kern w:val="0"/>
                <w:sz w:val="24"/>
                <w:szCs w:val="24"/>
                <w:vertAlign w:val="baseline"/>
                <w:lang w:val="en-US" w:eastAsia="zh-CN" w:bidi="ar"/>
              </w:rPr>
              <w:t>2．</w:t>
            </w:r>
            <w:r>
              <w:rPr>
                <w:rFonts w:hint="eastAsia" w:ascii="Times New Roman" w:hAnsi="Times New Roman" w:eastAsia="仿宋_GB2312" w:cs="Times New Roman"/>
                <w:color w:val="auto"/>
                <w:kern w:val="0"/>
                <w:sz w:val="24"/>
                <w:szCs w:val="24"/>
                <w:vertAlign w:val="baseline"/>
                <w:lang w:val="en-US" w:eastAsia="zh-CN" w:bidi="ar"/>
              </w:rPr>
              <w:t>2022年扩大“六税两费”适用范围，将省级人民政府在50%税额幅度内减征资源税、城市维护建设税、房产税、城镇土地使用税、印花税（不含证券交易印花税）、耕地占用税和教育费附加、地方教育附加等“六税两费”的适用主体，由增值税小规模纳税人扩展至小型微利企业和个体工商户。符合条件的服务业市场主体可以享受。</w:t>
            </w:r>
            <w:r>
              <w:rPr>
                <w:rFonts w:hint="eastAsia" w:ascii="Times New Roman" w:hAnsi="Times New Roman" w:eastAsia="仿宋_GB2312" w:cs="Times New Roman"/>
                <w:b/>
                <w:bCs/>
                <w:color w:val="auto"/>
                <w:kern w:val="0"/>
                <w:sz w:val="24"/>
                <w:szCs w:val="24"/>
                <w:vertAlign w:val="baseline"/>
                <w:lang w:val="en-US" w:eastAsia="zh-CN" w:bidi="ar"/>
              </w:rPr>
              <w:t>3．</w:t>
            </w:r>
            <w:r>
              <w:rPr>
                <w:rFonts w:hint="eastAsia" w:ascii="Times New Roman" w:hAnsi="Times New Roman" w:eastAsia="仿宋_GB2312" w:cs="Times New Roman"/>
                <w:color w:val="auto"/>
                <w:kern w:val="0"/>
                <w:sz w:val="24"/>
                <w:szCs w:val="24"/>
                <w:vertAlign w:val="baseline"/>
                <w:lang w:val="en-US" w:eastAsia="zh-CN" w:bidi="ar"/>
              </w:rPr>
              <w:t>鼓励各地可根据条例授权和本地实际，2022 年对缴纳房产税、城镇土地使用税确有困难的纳税人给予减免。符合条件的服务业市场主体可以享受。</w:t>
            </w:r>
            <w:r>
              <w:rPr>
                <w:rFonts w:hint="eastAsia" w:ascii="Times New Roman" w:hAnsi="Times New Roman" w:eastAsia="仿宋_GB2312" w:cs="Times New Roman"/>
                <w:b/>
                <w:bCs/>
                <w:color w:val="auto"/>
                <w:kern w:val="0"/>
                <w:sz w:val="24"/>
                <w:szCs w:val="24"/>
                <w:vertAlign w:val="baseline"/>
                <w:lang w:val="en-US" w:eastAsia="zh-CN" w:bidi="ar"/>
              </w:rPr>
              <w:t>6．</w:t>
            </w:r>
            <w:r>
              <w:rPr>
                <w:rFonts w:hint="eastAsia" w:ascii="Times New Roman" w:hAnsi="Times New Roman" w:eastAsia="仿宋_GB2312" w:cs="Times New Roman"/>
                <w:color w:val="auto"/>
                <w:kern w:val="0"/>
                <w:sz w:val="24"/>
                <w:szCs w:val="24"/>
                <w:vertAlign w:val="baseline"/>
                <w:lang w:val="en-US" w:eastAsia="zh-CN" w:bidi="ar"/>
              </w:rPr>
              <w:t>2022年被列为疫情中高风险地区所在的县级行政区域内的服务业小微企业和个体工商户承租国有房屋，2022年减免6个月租金，其他地区减免 3个月租金。各地可统筹各类资金，对承租非国有房屋的服务业小微企业和个体工商户给予适当帮扶。鼓励非国有房屋租赁主体在平等协商的基础上合理分担疫情带来的损失。对减免租金的房屋业主，2022年缴纳房产税、城镇土地使用税确有困难的，鼓励各地可根据条例授权和地方实际给予减免。因减免租金影响国有企事业单位业绩的，在考核中根据实际情况予以认可。</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三、《财政部 税务总局关于进一步实施小微企业“六税两费”减免政策的公告》：</w:t>
            </w:r>
            <w:r>
              <w:rPr>
                <w:rFonts w:hint="eastAsia" w:ascii="Times New Roman" w:hAnsi="Times New Roman" w:eastAsia="仿宋_GB2312" w:cs="Times New Roman"/>
                <w:color w:val="auto"/>
                <w:kern w:val="0"/>
                <w:sz w:val="24"/>
                <w:szCs w:val="24"/>
                <w:vertAlign w:val="baseline"/>
                <w:lang w:val="en-US" w:eastAsia="zh-CN" w:bidi="ar"/>
              </w:rPr>
              <w:t>为进一步支持小微企业发展，现将有关税费政策公告如下：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二、增值税小规模纳税人、小型微利企业和个体工商户已依法享受资源税、城市维护建设税、房产税、城镇土地使用税、印花税、耕地占用税、教育费附加、地方教育附加其他优惠政策的，可叠加享受本公告第一条规定的优惠政策。</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482" w:firstLineChars="200"/>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四、</w:t>
            </w:r>
            <w:r>
              <w:rPr>
                <w:rFonts w:hint="eastAsia" w:ascii="Times New Roman" w:hAnsi="Times New Roman" w:eastAsia="仿宋_GB2312" w:cs="Times New Roman"/>
                <w:b/>
                <w:bCs/>
                <w:color w:val="auto"/>
                <w:kern w:val="0"/>
                <w:sz w:val="24"/>
                <w:szCs w:val="24"/>
                <w:vertAlign w:val="baseline"/>
                <w:lang w:val="en-US" w:eastAsia="zh-CN" w:bidi="ar"/>
              </w:rPr>
              <w:t>《关于对增值税小规模纳税人免征增值税的公告》：</w:t>
            </w:r>
            <w:r>
              <w:rPr>
                <w:rFonts w:hint="eastAsia" w:ascii="Times New Roman" w:hAnsi="Times New Roman" w:eastAsia="仿宋_GB2312" w:cs="Times New Roman"/>
                <w:color w:val="auto"/>
                <w:kern w:val="0"/>
                <w:sz w:val="24"/>
                <w:szCs w:val="24"/>
                <w:vertAlign w:val="baseline"/>
                <w:lang w:val="en-US" w:eastAsia="zh-CN" w:bidi="ar"/>
              </w:rPr>
              <w:t>为进一步支持小微企业发展，现将有关增值税政策公告如下：自2022年4月1日至2022年12月31日，增值税小规模纳税人适用3%征收率的应税销售收入，免征增值税；适用3%预征率的预缴增值税项目，暂停预缴增值税。《财政部 税务总局关于延续实施应对疫情部分税费优惠政策的公告》（财政部 税务总局公告2021年第7号）第一条规定的税收优惠政策，执行期限延长至2022年3月31日。</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482" w:firstLineChars="200"/>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b/>
                <w:bCs/>
                <w:color w:val="auto"/>
                <w:kern w:val="0"/>
                <w:sz w:val="24"/>
                <w:szCs w:val="24"/>
                <w:vertAlign w:val="baseline"/>
                <w:lang w:val="en-US" w:eastAsia="zh-CN" w:bidi="ar"/>
              </w:rPr>
              <w:t>五、《关于进一步加大增值税期末留抵退税政策实施力度的公告》：</w:t>
            </w:r>
            <w:r>
              <w:rPr>
                <w:rFonts w:hint="eastAsia" w:ascii="Times New Roman" w:hAnsi="Times New Roman" w:eastAsia="仿宋_GB2312" w:cs="Times New Roman"/>
                <w:color w:val="auto"/>
                <w:kern w:val="0"/>
                <w:sz w:val="24"/>
                <w:szCs w:val="24"/>
                <w:vertAlign w:val="baseline"/>
                <w:lang w:val="en-US" w:eastAsia="zh-CN" w:bidi="ar"/>
              </w:rPr>
              <w:t>为支持小微企业和制造业等行业发展，提振市场主体信心、激发市场主体活力，现将进一步加大增值税期末留抵退税实施力度有关政策公告如下：一、加大小微企业增值税期末留抵退税政策力度，将先进制造业按月全额退还增值税增量留抵税额政策范围扩大至符合条件的小微企业（含个体工商户，下同），并一次性退还小微企业存量留抵税额。 （一）符合条件的小微企业，可以自2022年4月纳税申报期起向主管税务机关申请退还增量留抵税额。在2022年12月31日前，退税条件按照本公告第三条规定执行。（二）符合条件的微型企业，可以自2022年4月纳税申报期起向主管税务机关申请一次性退还存量留抵税额；符合条件的小型企业，可以自2022年5月纳税申报期起向主管税务机关申请一次性退还存量留抵税额。 三、适用本公告政策的纳税人需同时符合以下条件：（一）纳税信用等级为A级或者B级；（二）申请退税前36个月未发生骗取留抵退税、骗取出口退税或虚开增值税专用发票情形；（三）申请退税前36个月未因偷税被税务机关处罚两次及以上；（四）2019年4月1日起未享受即征即退、先征后返（退）政策。</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right="0" w:rightChars="0" w:firstLine="482" w:firstLineChars="200"/>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b/>
                <w:bCs/>
                <w:color w:val="auto"/>
                <w:kern w:val="0"/>
                <w:sz w:val="24"/>
                <w:szCs w:val="24"/>
                <w:vertAlign w:val="baseline"/>
                <w:lang w:val="en-US" w:eastAsia="zh-CN" w:bidi="ar"/>
              </w:rPr>
              <w:t>六、《关于进一步实施小微企业所得税优惠政策的公告》：</w:t>
            </w:r>
            <w:r>
              <w:rPr>
                <w:rFonts w:hint="eastAsia" w:ascii="Times New Roman" w:hAnsi="Times New Roman" w:eastAsia="仿宋_GB2312" w:cs="Times New Roman"/>
                <w:color w:val="auto"/>
                <w:kern w:val="0"/>
                <w:sz w:val="24"/>
                <w:szCs w:val="24"/>
                <w:vertAlign w:val="baseline"/>
                <w:lang w:val="en-US" w:eastAsia="zh-CN" w:bidi="ar"/>
              </w:rPr>
              <w:t>为进一步支持小微企业发展，现将有关税收政策公告如下：（一）对小型微利企业年应纳税所得额超过100万元但不超过300万元的部分，减按25%计入应纳税所得额，按20%的税率缴纳企业所得税。 （二）本公告所称小型微利企业，是指从事国家非限制和禁止行业，且同时符合年度应纳税所得额不超过300万元、从业人数不超过300人、资产总额不超过5000万元等三个条件的企业。从业人数，包括与企业建立劳动关系的职工人数和企业接受的劳务派遣用工人数。所称从业人数和资产总额指标，应按企业全年的季度平均值确定。具体计算公式如下：</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right="0" w:rightChars="0"/>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 xml:space="preserve">　　季度平均值＝（季初值＋季末值）÷2 </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right="0" w:rightChars="0"/>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 xml:space="preserve">　　全年季度平均值＝全年各季度平均值之和÷4 </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right="0" w:rightChars="0"/>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 xml:space="preserve">　　年度中间开业或者终止经营活动的，以其实际经营期作为一个纳税年度确定上述相关指标。 </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right="0" w:rightChars="0"/>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　（三）本公告执行期限为2022年1月1日至2024年12月31日。</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b/>
                <w:bCs/>
                <w:color w:val="auto"/>
                <w:kern w:val="0"/>
                <w:sz w:val="24"/>
                <w:szCs w:val="24"/>
                <w:vertAlign w:val="baseline"/>
                <w:lang w:val="en-US" w:eastAsia="zh-CN" w:bidi="ar"/>
              </w:rPr>
              <w:t>七、《关于促进服务业领域困难行业纾困发展有关增值税政策的公告》：</w:t>
            </w:r>
            <w:r>
              <w:rPr>
                <w:rFonts w:hint="eastAsia" w:ascii="Times New Roman" w:hAnsi="Times New Roman" w:eastAsia="仿宋_GB2312" w:cs="Times New Roman"/>
                <w:color w:val="auto"/>
                <w:kern w:val="0"/>
                <w:sz w:val="24"/>
                <w:szCs w:val="24"/>
                <w:vertAlign w:val="baseline"/>
                <w:lang w:val="en-US" w:eastAsia="zh-CN" w:bidi="ar"/>
              </w:rPr>
              <w:t>为促进服务业领域困难行业纾困发展，现将有关增值税政策公告如下：（一）《财政部 税务总局 海关总署关于深化增值税改革有关政策的公告》（财政部 税务总局 海关总署公告2019年39号）第七条和《财政部 税务总局关于明确生活性服务业增值税加计抵减政策的公告》（财政部 税务总局公告2019年第87号）规定的生产、生活性服务业增值税加计抵减政策，执行期限延长至2022年12月31日</w:t>
            </w:r>
          </w:p>
        </w:tc>
        <w:tc>
          <w:tcPr>
            <w:tcW w:w="3240"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一、《广西壮族自治区发展和改革委员会等部门关于印发广西壮族自治区促进服务业领域困难行业恢复发展若干政策措施的通知》：</w:t>
            </w:r>
            <w:r>
              <w:rPr>
                <w:rFonts w:hint="eastAsia" w:ascii="Times New Roman" w:hAnsi="Times New Roman" w:eastAsia="仿宋_GB2312" w:cs="Times New Roman"/>
                <w:color w:val="auto"/>
                <w:kern w:val="0"/>
                <w:sz w:val="24"/>
                <w:szCs w:val="24"/>
                <w:vertAlign w:val="baseline"/>
                <w:lang w:val="en-US" w:eastAsia="zh-CN" w:bidi="ar"/>
              </w:rPr>
              <w:t>（一）延续服务业增值税加计抵减政策，2022年对符合条件的生产、生活性服务业纳税人当期可抵扣进项税额继续分别按10%和15%加计抵减应纳税额。（二）2022年，按中央统一部署将减征资源税、城市维护建设税、房产税、城镇土地使用税、印花税（不含证券交易印花税）、耕地占用税和教育费附加、地方教育附加等“六税两费”的适用主体，由增值税小规模纳税人扩展至小型微利企业和个体工商户。符合条件的服务业市场主体可以按规定享受。</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right="0" w:rightChars="0" w:firstLine="241" w:firstLineChars="1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 xml:space="preserve">二、《广西明确“六税两费”减按50%征收》： </w:t>
            </w:r>
            <w:r>
              <w:rPr>
                <w:rFonts w:hint="eastAsia" w:ascii="Times New Roman" w:hAnsi="Times New Roman" w:eastAsia="仿宋_GB2312" w:cs="Times New Roman"/>
                <w:color w:val="auto"/>
                <w:kern w:val="0"/>
                <w:sz w:val="24"/>
                <w:szCs w:val="24"/>
                <w:vertAlign w:val="baseline"/>
                <w:lang w:val="en-US" w:eastAsia="zh-CN" w:bidi="ar"/>
              </w:rPr>
              <w:t>为进一步支持小微企业发展，对增值税小规模纳税人、小型微利企业和个体工商户可以在50%的税额幅度内减征资源税、城市维护建设税、房产税、城镇土地使用税、印花税（不含证券交易印花税）、耕地占用税和教育费附加、地方教育附加。已依法享受资源税、城市维护建设税、房产税、城镇土地使用税、印花税、耕地占用税、教育费附加、地方教育附加其他优惠政策的，可叠加享受以上优惠。</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480"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482" w:firstLineChars="200"/>
              <w:jc w:val="both"/>
              <w:textAlignment w:val="auto"/>
              <w:outlineLvl w:val="9"/>
              <w:rPr>
                <w:rFonts w:hint="eastAsia" w:ascii="楷体_GB2312" w:hAnsi="楷体_GB2312" w:eastAsia="楷体_GB2312" w:cs="楷体_GB2312"/>
                <w:b/>
                <w:bCs/>
                <w:color w:val="auto"/>
                <w:kern w:val="0"/>
                <w:sz w:val="24"/>
                <w:szCs w:val="24"/>
                <w:vertAlign w:val="baseline"/>
                <w:lang w:val="en-US" w:eastAsia="zh-CN" w:bidi="ar"/>
              </w:rPr>
            </w:pP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 xml:space="preserve">             </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tc>
        <w:tc>
          <w:tcPr>
            <w:tcW w:w="4177" w:type="dxa"/>
            <w:vAlign w:val="center"/>
          </w:tcPr>
          <w:p>
            <w:pPr>
              <w:pStyle w:val="4"/>
              <w:jc w:val="both"/>
              <w:rPr>
                <w:rFonts w:hint="eastAsia" w:ascii="Times New Roman" w:hAnsi="Times New Roman" w:eastAsia="仿宋_GB2312" w:cs="Times New Roman"/>
                <w:color w:val="auto"/>
                <w:kern w:val="0"/>
                <w:sz w:val="32"/>
                <w:szCs w:val="32"/>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办理方式：纳税人自行申报享受减免优惠，不需额外提交资料。纳税人符合条件但未及时申报享受“六税两费”减免优惠的，可依法申请抵减以后纳税期的应纳税费款或者申请退还。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7" w:hRule="atLeast"/>
          <w:jc w:val="center"/>
        </w:trPr>
        <w:tc>
          <w:tcPr>
            <w:tcW w:w="637"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2</w:t>
            </w:r>
          </w:p>
        </w:tc>
        <w:tc>
          <w:tcPr>
            <w:tcW w:w="1410"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推动普惠金融政策在旅游业领域加快落实</w:t>
            </w:r>
          </w:p>
        </w:tc>
        <w:tc>
          <w:tcPr>
            <w:tcW w:w="5933"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一、《文化和旅游部办公厅关于抓好促进旅游业恢复发展纾困扶持政策贯彻落实工作的通知》</w:t>
            </w:r>
            <w:r>
              <w:rPr>
                <w:rFonts w:hint="eastAsia" w:ascii="Times New Roman" w:hAnsi="Times New Roman" w:eastAsia="仿宋_GB2312" w:cs="Times New Roman"/>
                <w:b/>
                <w:bCs/>
                <w:color w:val="auto"/>
                <w:kern w:val="0"/>
                <w:sz w:val="24"/>
                <w:szCs w:val="24"/>
                <w:vertAlign w:val="baseline"/>
                <w:lang w:val="en-US" w:eastAsia="zh-CN" w:bidi="ar"/>
              </w:rPr>
              <w:t>：</w:t>
            </w:r>
            <w:r>
              <w:rPr>
                <w:rFonts w:hint="eastAsia" w:ascii="Times New Roman" w:hAnsi="Times New Roman" w:eastAsia="仿宋_GB2312" w:cs="Times New Roman"/>
                <w:color w:val="auto"/>
                <w:kern w:val="0"/>
                <w:sz w:val="24"/>
                <w:szCs w:val="24"/>
                <w:vertAlign w:val="baseline"/>
                <w:lang w:val="en-US" w:eastAsia="zh-CN" w:bidi="ar"/>
              </w:rPr>
              <w:t>主动对接金融管理部门，积极争取将旅游业列为当地金融优先支持行业，鼓励银行业金融机构合理增加旅游业有效信贷供给，丰富金融支持手段，持续推进金融服务创新。协调有关部门建立健全推动金融政策有效落实的保障机制，形成金融支持旅游业恢复发展的合力。</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二、《国家发展改革委等部门印发〈关于促进服务业领域困难行业恢复发展的若干政策〉的通知》</w:t>
            </w:r>
            <w:r>
              <w:rPr>
                <w:rFonts w:hint="eastAsia" w:ascii="Times New Roman" w:hAnsi="Times New Roman" w:eastAsia="仿宋_GB2312" w:cs="Times New Roman"/>
                <w:b/>
                <w:bCs/>
                <w:color w:val="auto"/>
                <w:kern w:val="0"/>
                <w:sz w:val="24"/>
                <w:szCs w:val="24"/>
                <w:vertAlign w:val="baseline"/>
                <w:lang w:val="en-US" w:eastAsia="zh-CN" w:bidi="ar"/>
              </w:rPr>
              <w:t>：7．</w:t>
            </w:r>
            <w:r>
              <w:rPr>
                <w:rFonts w:hint="eastAsia" w:ascii="Times New Roman" w:hAnsi="Times New Roman" w:eastAsia="仿宋_GB2312" w:cs="Times New Roman"/>
                <w:color w:val="auto"/>
                <w:kern w:val="0"/>
                <w:sz w:val="24"/>
                <w:szCs w:val="24"/>
                <w:vertAlign w:val="baseline"/>
                <w:lang w:val="en-US" w:eastAsia="zh-CN" w:bidi="ar"/>
              </w:rPr>
              <w:t>2022年引导银行用好2021年两次降低存款准备金率释放的2.2万亿元资金，发挥好货币政策工具的总量和结构双重功能，优先支持困难行业特别是服务业小微企业和民营企业。</w:t>
            </w:r>
            <w:r>
              <w:rPr>
                <w:rFonts w:hint="eastAsia" w:ascii="Times New Roman" w:hAnsi="Times New Roman" w:eastAsia="仿宋_GB2312" w:cs="Times New Roman"/>
                <w:b/>
                <w:bCs/>
                <w:color w:val="auto"/>
                <w:kern w:val="0"/>
                <w:sz w:val="24"/>
                <w:szCs w:val="24"/>
                <w:vertAlign w:val="baseline"/>
                <w:lang w:val="en-US" w:eastAsia="zh-CN" w:bidi="ar"/>
              </w:rPr>
              <w:t>8．</w:t>
            </w:r>
            <w:r>
              <w:rPr>
                <w:rFonts w:hint="eastAsia" w:ascii="Times New Roman" w:hAnsi="Times New Roman" w:eastAsia="仿宋_GB2312" w:cs="Times New Roman"/>
                <w:color w:val="auto"/>
                <w:kern w:val="0"/>
                <w:sz w:val="24"/>
                <w:szCs w:val="24"/>
                <w:vertAlign w:val="baseline"/>
                <w:lang w:val="en-US" w:eastAsia="zh-CN" w:bidi="ar"/>
              </w:rPr>
              <w:t>2022年发挥好支持普惠小微的市场化工具引导作用，对地方法人银行普惠小微贷款余额增量的1%提供激励资金，用好4000亿元再贷款滚动额度，引导金融机构加大对困难行业特别是服务业领域的倾斜力度。鼓励金融机构对符合续贷条件的服务业市场主体按正常续贷业务办理，不得盲目惜贷、抽贷、断贷、压贷，保持合理流动性。</w:t>
            </w:r>
            <w:r>
              <w:rPr>
                <w:rFonts w:hint="eastAsia" w:ascii="Times New Roman" w:hAnsi="Times New Roman" w:eastAsia="仿宋_GB2312" w:cs="Times New Roman"/>
                <w:b/>
                <w:bCs/>
                <w:color w:val="auto"/>
                <w:kern w:val="0"/>
                <w:sz w:val="24"/>
                <w:szCs w:val="24"/>
                <w:vertAlign w:val="baseline"/>
                <w:lang w:val="en-US" w:eastAsia="zh-CN" w:bidi="ar"/>
              </w:rPr>
              <w:t>9．</w:t>
            </w:r>
            <w:r>
              <w:rPr>
                <w:rFonts w:hint="eastAsia" w:ascii="Times New Roman" w:hAnsi="Times New Roman" w:eastAsia="仿宋_GB2312" w:cs="Times New Roman"/>
                <w:color w:val="auto"/>
                <w:kern w:val="0"/>
                <w:sz w:val="24"/>
                <w:szCs w:val="24"/>
                <w:vertAlign w:val="baseline"/>
                <w:lang w:val="en-US" w:eastAsia="zh-CN" w:bidi="ar"/>
              </w:rPr>
              <w:t>2022年继续推动金融系统减费让利，落实好贷款市场报价利率（LPR）下行、支农支小再贷款利率下调，推动实际贷款利率在前期大幅降低基础上继续下行，督促指导降低银行账户服务收费、人民币转账汇款手续费、银行卡刷卡手续费，减轻服务业小微企业和个体工商户经营成本压力。</w:t>
            </w:r>
            <w:r>
              <w:rPr>
                <w:rFonts w:hint="eastAsia" w:ascii="Times New Roman" w:hAnsi="Times New Roman" w:eastAsia="仿宋_GB2312" w:cs="Times New Roman"/>
                <w:b/>
                <w:bCs/>
                <w:color w:val="auto"/>
                <w:kern w:val="0"/>
                <w:sz w:val="24"/>
                <w:szCs w:val="24"/>
                <w:vertAlign w:val="baseline"/>
                <w:lang w:val="en-US" w:eastAsia="zh-CN" w:bidi="ar"/>
              </w:rPr>
              <w:t>26．</w:t>
            </w:r>
            <w:r>
              <w:rPr>
                <w:rFonts w:hint="eastAsia" w:ascii="Times New Roman" w:hAnsi="Times New Roman" w:eastAsia="仿宋_GB2312" w:cs="Times New Roman"/>
                <w:color w:val="auto"/>
                <w:kern w:val="0"/>
                <w:sz w:val="24"/>
                <w:szCs w:val="24"/>
                <w:vertAlign w:val="baseline"/>
                <w:lang w:val="en-US" w:eastAsia="zh-CN" w:bidi="ar"/>
              </w:rPr>
              <w:t>加强银企合作，建立健全重点旅游企业项目融资需求库，引导金融机构对符合条件的、预期发展前景较好的A级旅游景区、旅游度假区、乡村旅游经营单位、星级酒店、旅行社等重点文化和旅游市场主体加大信贷投入，适当提高贷款额度。</w:t>
            </w:r>
            <w:r>
              <w:rPr>
                <w:rFonts w:hint="eastAsia" w:ascii="Times New Roman" w:hAnsi="Times New Roman" w:eastAsia="仿宋_GB2312" w:cs="Times New Roman"/>
                <w:b/>
                <w:bCs/>
                <w:color w:val="auto"/>
                <w:kern w:val="0"/>
                <w:sz w:val="24"/>
                <w:szCs w:val="24"/>
                <w:vertAlign w:val="baseline"/>
                <w:lang w:val="en-US" w:eastAsia="zh-CN" w:bidi="ar"/>
              </w:rPr>
              <w:t>29．</w:t>
            </w:r>
            <w:r>
              <w:rPr>
                <w:rFonts w:hint="eastAsia" w:ascii="Times New Roman" w:hAnsi="Times New Roman" w:eastAsia="仿宋_GB2312" w:cs="Times New Roman"/>
                <w:color w:val="auto"/>
                <w:kern w:val="0"/>
                <w:sz w:val="24"/>
                <w:szCs w:val="24"/>
                <w:vertAlign w:val="baseline"/>
                <w:lang w:val="en-US" w:eastAsia="zh-CN" w:bidi="ar"/>
              </w:rPr>
              <w:t>鼓励银行业金融机构合理增加旅游业有效信贷供给。建立重点企业融资风险防控机制。引导金融机构合理降低新发放贷款利率，对受疫情影响生产经营困难的旅游企业主动让利。鼓励符合条件的旅游企业发行公司信用类债券，拓宽旅游企业多元化融资渠道。</w:t>
            </w:r>
            <w:r>
              <w:rPr>
                <w:rFonts w:hint="eastAsia" w:ascii="Times New Roman" w:hAnsi="Times New Roman" w:eastAsia="仿宋_GB2312" w:cs="Times New Roman"/>
                <w:b/>
                <w:bCs/>
                <w:color w:val="auto"/>
                <w:kern w:val="0"/>
                <w:sz w:val="24"/>
                <w:szCs w:val="24"/>
                <w:vertAlign w:val="baseline"/>
                <w:lang w:val="en-US" w:eastAsia="zh-CN" w:bidi="ar"/>
              </w:rPr>
              <w:t>30．</w:t>
            </w:r>
            <w:r>
              <w:rPr>
                <w:rFonts w:hint="eastAsia" w:ascii="Times New Roman" w:hAnsi="Times New Roman" w:eastAsia="仿宋_GB2312" w:cs="Times New Roman"/>
                <w:color w:val="auto"/>
                <w:kern w:val="0"/>
                <w:sz w:val="24"/>
                <w:szCs w:val="24"/>
                <w:vertAlign w:val="baseline"/>
                <w:lang w:val="en-US" w:eastAsia="zh-CN" w:bidi="ar"/>
              </w:rPr>
              <w:t>对符合条件的、预期发展良好的旅行社、旅游演艺等领域中小微企业加大普惠金融支持力度。发挥文化和旅游金融服务中心的积极作用，建立中小微旅游企业融资需求库。鼓励银行业金融机构对旅游相关初创企业、中小微企业和主题民宿等个体工商户分类予以小额贷款支持。</w:t>
            </w:r>
          </w:p>
        </w:tc>
        <w:tc>
          <w:tcPr>
            <w:tcW w:w="3240"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《广西壮族自治区发展和改革委员会等部门关于印发广西壮族自治区促进服务业领域困难行业恢复发展若干政策措施的通知》：</w:t>
            </w:r>
            <w:r>
              <w:rPr>
                <w:rFonts w:hint="eastAsia" w:ascii="Times New Roman" w:hAnsi="Times New Roman" w:eastAsia="仿宋_GB2312" w:cs="Times New Roman"/>
                <w:color w:val="auto"/>
                <w:kern w:val="0"/>
                <w:sz w:val="24"/>
                <w:szCs w:val="24"/>
                <w:vertAlign w:val="baseline"/>
                <w:lang w:val="en-US" w:eastAsia="zh-CN" w:bidi="ar"/>
              </w:rPr>
              <w:t>（八）2022年引导银行用好2021年两次降低存款准备金率释放的资金，发挥好货币政策工具的总量和结构双重功能，加强与“桂惠贷”政策的衔接，充分发挥“桂惠贷”政策惠企纾困作用，优先支持困难行业特别是服务业小微企业和民营企业。</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九）2022年发挥好支持普惠小微的市场化工具引导作用，对符合条件的地方法人银行普惠小微贷款余额增量的1%提供激励资金，用好再贷款额度，引导金融机构加大对困难行业特别是服务业领域的倾斜力度。鼓励金融机构对符合续贷条件的服务业市场主体按正常续贷业务办理，不得盲目惜贷、抽贷、断贷、压贷，保持合理流动性。（十）2022年继续推动金融系统减费让利，落实好贷款市场报价利率（LPR）下行、支农支小再贷款利率下调，推动实际贷款利率在前期大幅降低基础上有序下降，督促指导降低银行账户服务收费、人民币转账汇款手续费、银行卡刷卡手续费，减轻服务业小微企业和个体工商户经营成本压力。</w:t>
            </w:r>
            <w:r>
              <w:rPr>
                <w:rFonts w:hint="eastAsia" w:ascii="Times New Roman" w:hAnsi="Times New Roman" w:eastAsia="仿宋_GB2312" w:cs="Times New Roman"/>
                <w:b w:val="0"/>
                <w:bCs w:val="0"/>
                <w:color w:val="auto"/>
                <w:kern w:val="0"/>
                <w:sz w:val="24"/>
                <w:szCs w:val="24"/>
                <w:vertAlign w:val="baseline"/>
                <w:lang w:val="en-US" w:eastAsia="zh-CN" w:bidi="ar"/>
              </w:rPr>
              <w:t>（二十七）加强银企合作，建立健全重点旅游企业项目融资需求库，引导金融机构对符合条件的、预期发展前景较好的A级旅游景区、旅游度假区、乡村旅游经营单位、星级酒店、旅行社等重点文化和旅游市场主体加大信贷投入，适当提高贷款额度。（三十）鼓励银行业金融机构合理增加旅游业有效信贷供给。建立重点企业融资风险防控机制。鼓励金融机构充分利用“桂惠贷”贴息政策帮助旅游业企业降低融资成本。鼓励符合条件的旅游企业发行公司信用类债券，拓宽旅游企业多元化融资渠道。（三十一）对预期发展良好的旅行社、旅游演艺等领域中小微企业加大普惠金融支持力度。发挥文化和旅游金融服务中心的积极作用，建立中小微旅游企业融资需求库。鼓励银行业金融机构对旅游相关初创企业、中小微企业、主题民宿等个体工商户予以信贷支持。</w:t>
            </w:r>
          </w:p>
        </w:tc>
        <w:tc>
          <w:tcPr>
            <w:tcW w:w="4177" w:type="dxa"/>
            <w:vAlign w:val="center"/>
          </w:tcPr>
          <w:p>
            <w:pPr>
              <w:pStyle w:val="4"/>
              <w:keepNext w:val="0"/>
              <w:keepLines w:val="0"/>
              <w:pageBreakBefore w:val="0"/>
              <w:widowControl w:val="0"/>
              <w:kinsoku/>
              <w:wordWrap/>
              <w:overflowPunct/>
              <w:topLinePunct w:val="0"/>
              <w:autoSpaceDE/>
              <w:autoSpaceDN/>
              <w:bidi w:val="0"/>
              <w:spacing w:line="300" w:lineRule="exact"/>
              <w:ind w:firstLine="241" w:firstLineChars="100"/>
              <w:jc w:val="both"/>
              <w:textAlignment w:val="auto"/>
              <w:outlineLvl w:val="9"/>
              <w:rPr>
                <w:rFonts w:hint="eastAsia" w:ascii="楷体_GB2312" w:hAnsi="楷体_GB2312" w:eastAsia="楷体_GB2312" w:cs="楷体_GB2312"/>
                <w:b/>
                <w:bCs/>
                <w:color w:val="auto"/>
                <w:kern w:val="0"/>
                <w:sz w:val="24"/>
                <w:szCs w:val="24"/>
                <w:vertAlign w:val="baseline"/>
                <w:lang w:val="en-US" w:eastAsia="zh-CN" w:bidi="ar"/>
              </w:rPr>
            </w:pPr>
          </w:p>
          <w:p>
            <w:pPr>
              <w:pStyle w:val="4"/>
              <w:keepNext w:val="0"/>
              <w:keepLines w:val="0"/>
              <w:pageBreakBefore w:val="0"/>
              <w:widowControl w:val="0"/>
              <w:kinsoku/>
              <w:wordWrap/>
              <w:overflowPunct/>
              <w:topLinePunct w:val="0"/>
              <w:autoSpaceDE/>
              <w:autoSpaceDN/>
              <w:bidi w:val="0"/>
              <w:spacing w:line="300" w:lineRule="exact"/>
              <w:ind w:firstLine="241" w:firstLineChars="1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柳州银行出台十二条重磅措施支持抗疫纾困</w:t>
            </w:r>
            <w:r>
              <w:rPr>
                <w:rFonts w:hint="eastAsia" w:ascii="Times New Roman" w:hAnsi="Times New Roman" w:eastAsia="仿宋_GB2312" w:cs="Times New Roman"/>
                <w:color w:val="auto"/>
                <w:kern w:val="0"/>
                <w:sz w:val="24"/>
                <w:szCs w:val="24"/>
                <w:vertAlign w:val="baseline"/>
                <w:lang w:val="en-US" w:eastAsia="zh-CN" w:bidi="ar"/>
              </w:rPr>
              <w:t>：</w:t>
            </w:r>
            <w:r>
              <w:rPr>
                <w:rFonts w:hint="eastAsia" w:ascii="Times New Roman" w:hAnsi="Times New Roman" w:eastAsia="仿宋_GB2312" w:cs="Times New Roman"/>
                <w:b/>
                <w:bCs/>
                <w:color w:val="auto"/>
                <w:kern w:val="0"/>
                <w:sz w:val="24"/>
                <w:szCs w:val="24"/>
                <w:vertAlign w:val="baseline"/>
                <w:lang w:val="en-US" w:eastAsia="zh-CN" w:bidi="ar"/>
              </w:rPr>
              <w:t>一、提供专项信贷资金</w:t>
            </w:r>
            <w:r>
              <w:rPr>
                <w:rFonts w:hint="eastAsia" w:ascii="Times New Roman" w:hAnsi="Times New Roman" w:eastAsia="仿宋_GB2312" w:cs="Times New Roman"/>
                <w:color w:val="auto"/>
                <w:kern w:val="0"/>
                <w:sz w:val="24"/>
                <w:szCs w:val="24"/>
                <w:vertAlign w:val="baseline"/>
                <w:lang w:val="en-US" w:eastAsia="zh-CN" w:bidi="ar"/>
              </w:rPr>
              <w:t>。为受疫情较大冲击的行业如住宿餐饮、文化旅游、物流运输等行业提供专项资金5亿元，根据企业情况适当提升贷款额度，为企业恢复活力滴灌“金融活水”。</w:t>
            </w:r>
            <w:r>
              <w:rPr>
                <w:rFonts w:hint="eastAsia" w:ascii="Times New Roman" w:hAnsi="Times New Roman" w:eastAsia="仿宋_GB2312" w:cs="Times New Roman"/>
                <w:b/>
                <w:bCs/>
                <w:color w:val="auto"/>
                <w:kern w:val="0"/>
                <w:sz w:val="24"/>
                <w:szCs w:val="24"/>
                <w:vertAlign w:val="baseline"/>
                <w:lang w:val="en-US" w:eastAsia="zh-CN" w:bidi="ar"/>
              </w:rPr>
              <w:t>二、主动对接困难企业</w:t>
            </w:r>
            <w:r>
              <w:rPr>
                <w:rFonts w:hint="eastAsia" w:ascii="Times New Roman" w:hAnsi="Times New Roman" w:eastAsia="仿宋_GB2312" w:cs="Times New Roman"/>
                <w:color w:val="auto"/>
                <w:kern w:val="0"/>
                <w:sz w:val="24"/>
                <w:szCs w:val="24"/>
                <w:vertAlign w:val="baseline"/>
                <w:lang w:val="en-US" w:eastAsia="zh-CN" w:bidi="ar"/>
              </w:rPr>
              <w:t>。逐户跟踪、排查、精准掌握企业复工复产情况，尤其加大对接已被政府列入重点支持名单中涉及疫情防控物资和生活必需品生产、流通销售且征信无不良记录的民营、小微企业、个体工商户，了解企业难处，对符合条件的企业坚持不惜贷、抽贷、压贷、断贷。</w:t>
            </w:r>
            <w:r>
              <w:rPr>
                <w:rFonts w:hint="eastAsia" w:ascii="Times New Roman" w:hAnsi="Times New Roman" w:eastAsia="仿宋_GB2312" w:cs="Times New Roman"/>
                <w:b/>
                <w:bCs/>
                <w:color w:val="auto"/>
                <w:kern w:val="0"/>
                <w:sz w:val="24"/>
                <w:szCs w:val="24"/>
                <w:vertAlign w:val="baseline"/>
                <w:lang w:val="en-US" w:eastAsia="zh-CN" w:bidi="ar"/>
              </w:rPr>
              <w:t>三、切实提高办理效率。</w:t>
            </w:r>
            <w:r>
              <w:rPr>
                <w:rFonts w:hint="eastAsia" w:ascii="Times New Roman" w:hAnsi="Times New Roman" w:eastAsia="仿宋_GB2312" w:cs="Times New Roman"/>
                <w:color w:val="auto"/>
                <w:kern w:val="0"/>
                <w:sz w:val="24"/>
                <w:szCs w:val="24"/>
                <w:vertAlign w:val="baseline"/>
                <w:lang w:val="en-US" w:eastAsia="zh-CN" w:bidi="ar"/>
              </w:rPr>
              <w:t>对受疫情影响严重的小微客户做到信贷额度优先安排、贷款申请优先审批、贷款资金优先发放“三个优先”，简化审批流程，开辟限时办结绿色通道，材料齐全2个工作日内放款。</w:t>
            </w:r>
            <w:r>
              <w:rPr>
                <w:rFonts w:hint="eastAsia" w:ascii="Times New Roman" w:hAnsi="Times New Roman" w:eastAsia="仿宋_GB2312" w:cs="Times New Roman"/>
                <w:b/>
                <w:bCs/>
                <w:color w:val="auto"/>
                <w:kern w:val="0"/>
                <w:sz w:val="24"/>
                <w:szCs w:val="24"/>
                <w:vertAlign w:val="baseline"/>
                <w:lang w:val="en-US" w:eastAsia="zh-CN" w:bidi="ar"/>
              </w:rPr>
              <w:t>四、严格落实减费让利。</w:t>
            </w:r>
            <w:r>
              <w:rPr>
                <w:rFonts w:hint="eastAsia" w:ascii="Times New Roman" w:hAnsi="Times New Roman" w:eastAsia="仿宋_GB2312" w:cs="Times New Roman"/>
                <w:color w:val="auto"/>
                <w:kern w:val="0"/>
                <w:sz w:val="24"/>
                <w:szCs w:val="24"/>
                <w:vertAlign w:val="baseline"/>
                <w:lang w:val="en-US" w:eastAsia="zh-CN" w:bidi="ar"/>
              </w:rPr>
              <w:t>给予受疫情影响严重的小微企业贷款利率下调10-20个BP的政策优惠。其中针对农、林、牧、渔业及受疫情影响较大的住宿餐饮、物流运输、文化旅游、建筑业、汽车零部件生产企业等行业的经营贷小微企业，新增经营性贷款金额1000万以上的，可在原贷款利率定价水平基础上减10-30BP。</w:t>
            </w:r>
            <w:r>
              <w:rPr>
                <w:rFonts w:hint="eastAsia" w:ascii="Times New Roman" w:hAnsi="Times New Roman" w:eastAsia="仿宋_GB2312" w:cs="Times New Roman"/>
                <w:b/>
                <w:bCs/>
                <w:color w:val="auto"/>
                <w:kern w:val="0"/>
                <w:sz w:val="24"/>
                <w:szCs w:val="24"/>
                <w:vertAlign w:val="baseline"/>
                <w:lang w:val="en-US" w:eastAsia="zh-CN" w:bidi="ar"/>
              </w:rPr>
              <w:t>五、放宽办理审批门槛。</w:t>
            </w:r>
            <w:r>
              <w:rPr>
                <w:rFonts w:hint="eastAsia" w:ascii="Times New Roman" w:hAnsi="Times New Roman" w:eastAsia="仿宋_GB2312" w:cs="Times New Roman"/>
                <w:color w:val="auto"/>
                <w:kern w:val="0"/>
                <w:sz w:val="24"/>
                <w:szCs w:val="24"/>
                <w:vertAlign w:val="baseline"/>
                <w:lang w:val="en-US" w:eastAsia="zh-CN" w:bidi="ar"/>
              </w:rPr>
              <w:t>针对受疫情影响严重的小微企业客户，有涉诉记录但未涉及抵押物、未实际影响企业经营的，可根据实际情况予以放宽审查。</w:t>
            </w:r>
            <w:r>
              <w:rPr>
                <w:rFonts w:hint="eastAsia" w:ascii="Times New Roman" w:hAnsi="Times New Roman" w:eastAsia="仿宋_GB2312" w:cs="Times New Roman"/>
                <w:b/>
                <w:bCs/>
                <w:color w:val="auto"/>
                <w:kern w:val="0"/>
                <w:sz w:val="24"/>
                <w:szCs w:val="24"/>
                <w:vertAlign w:val="baseline"/>
                <w:lang w:val="en-US" w:eastAsia="zh-CN" w:bidi="ar"/>
              </w:rPr>
              <w:t>六、切实保障线上渠道。</w:t>
            </w:r>
            <w:r>
              <w:rPr>
                <w:rFonts w:hint="eastAsia" w:ascii="Times New Roman" w:hAnsi="Times New Roman" w:eastAsia="仿宋_GB2312" w:cs="Times New Roman"/>
                <w:color w:val="auto"/>
                <w:kern w:val="0"/>
                <w:sz w:val="24"/>
                <w:szCs w:val="24"/>
                <w:vertAlign w:val="baseline"/>
                <w:lang w:val="en-US" w:eastAsia="zh-CN" w:bidi="ar"/>
              </w:rPr>
              <w:t>加强线上业务运用与推广，强化手机银行、网上银行、电话银行、网点自助设备等电子渠道服务，积极引导客户使用自助设备和线上服务，保障金融服务畅通。客户因疫情防控要求无法到达现场办理合同签订、展期、续贷等手续的，可在双方同意留存证据的情况下先通过视频等形式予以办理。对交通管制地区的信贷业务，开辟授信绿色通道，综合运用线上线下服务方式，快速办理信贷业务。</w:t>
            </w:r>
            <w:r>
              <w:rPr>
                <w:rFonts w:hint="eastAsia" w:ascii="Times New Roman" w:hAnsi="Times New Roman" w:eastAsia="仿宋_GB2312" w:cs="Times New Roman"/>
                <w:b/>
                <w:bCs/>
                <w:color w:val="auto"/>
                <w:kern w:val="0"/>
                <w:sz w:val="24"/>
                <w:szCs w:val="24"/>
                <w:vertAlign w:val="baseline"/>
                <w:lang w:val="en-US" w:eastAsia="zh-CN" w:bidi="ar"/>
              </w:rPr>
              <w:t>七、灵活调整还款方式。</w:t>
            </w:r>
            <w:r>
              <w:rPr>
                <w:rFonts w:hint="eastAsia" w:ascii="Times New Roman" w:hAnsi="Times New Roman" w:eastAsia="仿宋_GB2312" w:cs="Times New Roman"/>
                <w:color w:val="auto"/>
                <w:kern w:val="0"/>
                <w:sz w:val="24"/>
                <w:szCs w:val="24"/>
                <w:vertAlign w:val="baseline"/>
                <w:lang w:val="en-US" w:eastAsia="zh-CN" w:bidi="ar"/>
              </w:rPr>
              <w:t>受疫情影响的小微企业收入来源无法保障，预计未能按原计划偿还贷款，经过调查评估符合条件的，可以对本金、利息偿还方式进行调整。（一）针对存量逾期贷款，在结清拖欠的正常利息后，可减收3个月的罚息及复利；在2022年内结清拖欠本息的，罚息及复利可全部免收。（二）针对截至2021年末本金无逾期未欠息，2022年疫情期间到期的农、林、牧、渔业以及受疫情影响严重的住宿餐饮、物流运输、文化旅游、建筑业、汽车零部件生产企业等行业内的存量经营性小微贷款客户，能提供经营困难的证明（包括但不限于社保缴纳记录、水电费缴纳记录等），经申请审核通过后，视具体情况可享受：1.利息挂账；2.调整还息计划（如按季度、不定期还息）；3.挂账利息结清后，减免罚息和复利。</w:t>
            </w:r>
            <w:r>
              <w:rPr>
                <w:rFonts w:hint="eastAsia" w:ascii="Times New Roman" w:hAnsi="Times New Roman" w:eastAsia="仿宋_GB2312" w:cs="Times New Roman"/>
                <w:b/>
                <w:bCs/>
                <w:color w:val="auto"/>
                <w:kern w:val="0"/>
                <w:sz w:val="24"/>
                <w:szCs w:val="24"/>
                <w:vertAlign w:val="baseline"/>
                <w:lang w:val="en-US" w:eastAsia="zh-CN" w:bidi="ar"/>
              </w:rPr>
              <w:t>八、积极做好延续工作。</w:t>
            </w:r>
            <w:r>
              <w:rPr>
                <w:rFonts w:hint="eastAsia" w:ascii="Times New Roman" w:hAnsi="Times New Roman" w:eastAsia="仿宋_GB2312" w:cs="Times New Roman"/>
                <w:color w:val="auto"/>
                <w:kern w:val="0"/>
                <w:sz w:val="24"/>
                <w:szCs w:val="24"/>
                <w:vertAlign w:val="baseline"/>
                <w:lang w:val="en-US" w:eastAsia="zh-CN" w:bidi="ar"/>
              </w:rPr>
              <w:t>根据企业实际资金情况实行“一户一策”，对于符合续贷、展期条件的客户，不盲目惜贷、抽贷、断贷、压贷，实现符合续贷条件且有续贷需求的企业应续尽续。办理无还本续贷时，维持原有授信条件不变，不额外新增授信门槛，针对有涉诉记录但不涉及抵押物、未实际影响企业经营的，有征信瑕疵但已结清贷款本息的小微客户，可根据实际情况予以放宽审查。针对受疫情影响特别严重的文化旅游、运输物流、建筑业、汽车零部件生产企业等行业贷款金额在1000万以下的小微企业、小微企业主、个体工商户，在2021年末之前征信无不良记录，能提供经营困难的证明（包括但不限于社保缴纳记录、水电费缴纳记录等），经申请审核通过后，可新增一笔授信用于人工、水电、房租等日常周转支出。</w:t>
            </w:r>
            <w:r>
              <w:rPr>
                <w:rFonts w:hint="eastAsia" w:ascii="Times New Roman" w:hAnsi="Times New Roman" w:eastAsia="仿宋_GB2312" w:cs="Times New Roman"/>
                <w:b/>
                <w:bCs/>
                <w:color w:val="auto"/>
                <w:kern w:val="0"/>
                <w:sz w:val="24"/>
                <w:szCs w:val="24"/>
                <w:vertAlign w:val="baseline"/>
                <w:lang w:val="en-US" w:eastAsia="zh-CN" w:bidi="ar"/>
              </w:rPr>
              <w:t>九、启动征信保护机制。</w:t>
            </w:r>
            <w:r>
              <w:rPr>
                <w:rFonts w:hint="eastAsia" w:ascii="Times New Roman" w:hAnsi="Times New Roman" w:eastAsia="仿宋_GB2312" w:cs="Times New Roman"/>
                <w:color w:val="auto"/>
                <w:kern w:val="0"/>
                <w:sz w:val="24"/>
                <w:szCs w:val="24"/>
                <w:vertAlign w:val="baseline"/>
                <w:lang w:val="en-US" w:eastAsia="zh-CN" w:bidi="ar"/>
              </w:rPr>
              <w:t>针对小微企业客户及个人类客户，贷款获得延期的期间征信不作逾期报送。若因疫情防控要求不能按时还款，影响征信记录的，待逾期欠款还清后出具相关证明认定可申请征信调整。</w:t>
            </w:r>
            <w:r>
              <w:rPr>
                <w:rFonts w:hint="eastAsia" w:ascii="Times New Roman" w:hAnsi="Times New Roman" w:eastAsia="仿宋_GB2312" w:cs="Times New Roman"/>
                <w:b/>
                <w:bCs/>
                <w:color w:val="auto"/>
                <w:kern w:val="0"/>
                <w:sz w:val="24"/>
                <w:szCs w:val="24"/>
                <w:vertAlign w:val="baseline"/>
                <w:lang w:val="en-US" w:eastAsia="zh-CN" w:bidi="ar"/>
              </w:rPr>
              <w:t>十、保护个人消费贷款客户权益。</w:t>
            </w:r>
            <w:r>
              <w:rPr>
                <w:rFonts w:hint="eastAsia" w:ascii="Times New Roman" w:hAnsi="Times New Roman" w:eastAsia="仿宋_GB2312" w:cs="Times New Roman"/>
                <w:color w:val="auto"/>
                <w:kern w:val="0"/>
                <w:sz w:val="24"/>
                <w:szCs w:val="24"/>
                <w:vertAlign w:val="baseline"/>
                <w:lang w:val="en-US" w:eastAsia="zh-CN" w:bidi="ar"/>
              </w:rPr>
              <w:t>针对受疫情影响的出租车司机、货运司机及灵活就业主体的个人消费贷款客户，提供延期还款、减免罚息复利及征信保护的服务，切实保护个人消费贷款客户信贷权益。</w:t>
            </w:r>
            <w:r>
              <w:rPr>
                <w:rFonts w:hint="eastAsia" w:ascii="Times New Roman" w:hAnsi="Times New Roman" w:eastAsia="仿宋_GB2312" w:cs="Times New Roman"/>
                <w:b/>
                <w:bCs/>
                <w:color w:val="auto"/>
                <w:kern w:val="0"/>
                <w:sz w:val="24"/>
                <w:szCs w:val="24"/>
                <w:vertAlign w:val="baseline"/>
                <w:lang w:val="en-US" w:eastAsia="zh-CN" w:bidi="ar"/>
              </w:rPr>
              <w:t>十一、保护个人购房按揭贷款客户权益</w:t>
            </w:r>
            <w:r>
              <w:rPr>
                <w:rFonts w:hint="eastAsia" w:ascii="Times New Roman" w:hAnsi="Times New Roman" w:eastAsia="仿宋_GB2312" w:cs="Times New Roman"/>
                <w:color w:val="auto"/>
                <w:kern w:val="0"/>
                <w:sz w:val="24"/>
                <w:szCs w:val="24"/>
                <w:vertAlign w:val="baseline"/>
                <w:lang w:val="en-US" w:eastAsia="zh-CN" w:bidi="ar"/>
              </w:rPr>
              <w:t>。</w:t>
            </w:r>
            <w:r>
              <w:rPr>
                <w:rFonts w:hint="eastAsia" w:ascii="Times New Roman" w:hAnsi="Times New Roman" w:eastAsia="仿宋_GB2312" w:cs="Times New Roman"/>
                <w:b/>
                <w:bCs/>
                <w:color w:val="auto"/>
                <w:kern w:val="0"/>
                <w:sz w:val="24"/>
                <w:szCs w:val="24"/>
                <w:vertAlign w:val="baseline"/>
                <w:lang w:val="en-US" w:eastAsia="zh-CN" w:bidi="ar"/>
              </w:rPr>
              <w:t>（一）适用客群</w:t>
            </w:r>
            <w:r>
              <w:rPr>
                <w:rFonts w:hint="eastAsia" w:ascii="Times New Roman" w:hAnsi="Times New Roman" w:eastAsia="仿宋_GB2312" w:cs="Times New Roman"/>
                <w:color w:val="auto"/>
                <w:kern w:val="0"/>
                <w:sz w:val="24"/>
                <w:szCs w:val="24"/>
                <w:vertAlign w:val="baseline"/>
                <w:lang w:val="en-US" w:eastAsia="zh-CN" w:bidi="ar"/>
              </w:rPr>
              <w:t>。1.受疫情影响暂时失去收入来源的按揭客户，包括但不限于住宿餐饮、物流运输、文化旅游、娱乐会展、文体演出、影视剧院、线下教育培训、畜禽水产养殖等受疫情影响较大的行业从业人员；2.对因感染新冠肺炎住院治疗或隔离人员、疫情防控需要隔离观察人员；3.参加疫情防控的工作人员；4.在柳州银行办理个人购房按揭贷款，并在柳州银行代发工资存在工资下降或延迟发放的人员。</w:t>
            </w:r>
            <w:r>
              <w:rPr>
                <w:rFonts w:hint="eastAsia" w:ascii="Times New Roman" w:hAnsi="Times New Roman" w:eastAsia="仿宋_GB2312" w:cs="Times New Roman"/>
                <w:b/>
                <w:bCs/>
                <w:color w:val="auto"/>
                <w:kern w:val="0"/>
                <w:sz w:val="24"/>
                <w:szCs w:val="24"/>
                <w:vertAlign w:val="baseline"/>
                <w:lang w:val="en-US" w:eastAsia="zh-CN" w:bidi="ar"/>
              </w:rPr>
              <w:t>（二）可申请的纾困政策</w:t>
            </w:r>
            <w:r>
              <w:rPr>
                <w:rFonts w:hint="eastAsia" w:ascii="Times New Roman" w:hAnsi="Times New Roman" w:eastAsia="仿宋_GB2312" w:cs="Times New Roman"/>
                <w:color w:val="auto"/>
                <w:kern w:val="0"/>
                <w:sz w:val="24"/>
                <w:szCs w:val="24"/>
                <w:vertAlign w:val="baseline"/>
                <w:lang w:val="en-US" w:eastAsia="zh-CN" w:bidi="ar"/>
              </w:rPr>
              <w:t>。1.提供最长6个月的宽限期延期还款服务，不计收罚息和复利；2.制定个性化的还款计划表；3.在疫情期间个人贷款发生逾期的，不视为违约，不纳入违约客户名单。</w:t>
            </w:r>
            <w:r>
              <w:rPr>
                <w:rFonts w:hint="eastAsia" w:ascii="Times New Roman" w:hAnsi="Times New Roman" w:eastAsia="仿宋_GB2312" w:cs="Times New Roman"/>
                <w:b/>
                <w:bCs/>
                <w:color w:val="auto"/>
                <w:kern w:val="0"/>
                <w:sz w:val="24"/>
                <w:szCs w:val="24"/>
                <w:vertAlign w:val="baseline"/>
                <w:lang w:val="en-US" w:eastAsia="zh-CN" w:bidi="ar"/>
              </w:rPr>
              <w:t>十二、保护信用卡客户权益。</w:t>
            </w:r>
            <w:r>
              <w:rPr>
                <w:rFonts w:hint="eastAsia" w:ascii="Times New Roman" w:hAnsi="Times New Roman" w:eastAsia="仿宋_GB2312" w:cs="Times New Roman"/>
                <w:color w:val="auto"/>
                <w:kern w:val="0"/>
                <w:sz w:val="24"/>
                <w:szCs w:val="24"/>
                <w:vertAlign w:val="baseline"/>
                <w:lang w:val="en-US" w:eastAsia="zh-CN" w:bidi="ar"/>
              </w:rPr>
              <w:t>对因感染新冠肺炎住院治疗或隔离人员、疫情防控需要隔离观察人员、参加疫情防控工作人员以及受疫情影响暂时失去收入来源的人员，在疫情期间信用卡无法及时还款发生逾期的，可适当延长还款期，不视为违约，不进入违约客户名单，如产生相关利息及违约金可根据用卡情况予以减免，提供一定期限免年费服务。</w:t>
            </w:r>
          </w:p>
          <w:p>
            <w:pPr>
              <w:pStyle w:val="4"/>
              <w:keepNext w:val="0"/>
              <w:keepLines w:val="0"/>
              <w:pageBreakBefore w:val="0"/>
              <w:widowControl w:val="0"/>
              <w:kinsoku/>
              <w:wordWrap/>
              <w:overflowPunct/>
              <w:topLinePunct w:val="0"/>
              <w:autoSpaceDE/>
              <w:autoSpaceDN/>
              <w:bidi w:val="0"/>
              <w:adjustRightInd w:val="0"/>
              <w:snapToGrid w:val="0"/>
              <w:spacing w:after="157" w:afterLines="50" w:line="300" w:lineRule="exact"/>
              <w:ind w:left="0" w:leftChars="0" w:right="0" w:rightChars="0" w:firstLine="240" w:firstLineChars="1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以上措施自下发之日起执行，同时本措施根据监管部门政策调整进行修订。</w:t>
            </w:r>
          </w:p>
          <w:p>
            <w:pPr>
              <w:pStyle w:val="4"/>
              <w:keepNext w:val="0"/>
              <w:keepLines w:val="0"/>
              <w:pageBreakBefore w:val="0"/>
              <w:widowControl w:val="0"/>
              <w:kinsoku/>
              <w:wordWrap/>
              <w:overflowPunct/>
              <w:topLinePunct w:val="0"/>
              <w:autoSpaceDE/>
              <w:autoSpaceDN/>
              <w:bidi w:val="0"/>
              <w:adjustRightInd w:val="0"/>
              <w:snapToGrid w:val="0"/>
              <w:spacing w:after="157" w:afterLines="50" w:line="300" w:lineRule="exact"/>
              <w:ind w:left="0" w:leftChars="0" w:right="0" w:rightChars="0" w:firstLine="240" w:firstLineChars="1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p>
            <w:pPr>
              <w:pStyle w:val="4"/>
              <w:keepNext w:val="0"/>
              <w:keepLines w:val="0"/>
              <w:pageBreakBefore w:val="0"/>
              <w:widowControl w:val="0"/>
              <w:kinsoku/>
              <w:wordWrap/>
              <w:overflowPunct/>
              <w:topLinePunct w:val="0"/>
              <w:autoSpaceDE/>
              <w:autoSpaceDN/>
              <w:bidi w:val="0"/>
              <w:adjustRightInd w:val="0"/>
              <w:snapToGrid w:val="0"/>
              <w:spacing w:after="157" w:afterLines="50" w:line="300" w:lineRule="exact"/>
              <w:ind w:left="0" w:leftChars="0" w:right="0" w:rightChars="0" w:firstLine="240" w:firstLineChars="1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p>
            <w:pPr>
              <w:pStyle w:val="4"/>
              <w:keepNext w:val="0"/>
              <w:keepLines w:val="0"/>
              <w:pageBreakBefore w:val="0"/>
              <w:widowControl w:val="0"/>
              <w:kinsoku/>
              <w:wordWrap/>
              <w:overflowPunct/>
              <w:topLinePunct w:val="0"/>
              <w:autoSpaceDE/>
              <w:autoSpaceDN/>
              <w:bidi w:val="0"/>
              <w:adjustRightInd w:val="0"/>
              <w:snapToGrid w:val="0"/>
              <w:spacing w:after="157" w:afterLines="50" w:line="300" w:lineRule="exact"/>
              <w:ind w:left="0" w:leftChars="0" w:right="0" w:rightChars="0" w:firstLine="240" w:firstLineChars="1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5" w:hRule="atLeast"/>
          <w:jc w:val="center"/>
        </w:trPr>
        <w:tc>
          <w:tcPr>
            <w:tcW w:w="637" w:type="dxa"/>
            <w:vAlign w:val="center"/>
          </w:tcPr>
          <w:p>
            <w:pPr>
              <w:pStyle w:val="4"/>
              <w:keepNext w:val="0"/>
              <w:keepLines w:val="0"/>
              <w:pageBreakBefore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32"/>
                <w:szCs w:val="32"/>
                <w:vertAlign w:val="baseline"/>
                <w:lang w:val="en-US" w:eastAsia="zh-CN" w:bidi="ar"/>
              </w:rPr>
            </w:pPr>
            <w:r>
              <w:rPr>
                <w:rFonts w:hint="eastAsia" w:ascii="Times New Roman" w:hAnsi="Times New Roman" w:eastAsia="仿宋_GB2312" w:cs="Times New Roman"/>
                <w:color w:val="auto"/>
                <w:kern w:val="0"/>
                <w:sz w:val="32"/>
                <w:szCs w:val="32"/>
                <w:vertAlign w:val="baseline"/>
                <w:lang w:val="en-US" w:eastAsia="zh-CN" w:bidi="ar"/>
              </w:rPr>
              <w:t>3</w:t>
            </w:r>
          </w:p>
        </w:tc>
        <w:tc>
          <w:tcPr>
            <w:tcW w:w="1410"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落实阶段性缓缴企业职工基本养老保险费、失</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业保险费和工伤保险费政策</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“免申即享”</w:t>
            </w:r>
          </w:p>
          <w:p>
            <w:pPr>
              <w:pStyle w:val="4"/>
              <w:keepNext w:val="0"/>
              <w:keepLines w:val="0"/>
              <w:pageBreakBefore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32"/>
                <w:szCs w:val="32"/>
                <w:vertAlign w:val="baseline"/>
                <w:lang w:val="en-US" w:eastAsia="zh-CN" w:bidi="ar"/>
              </w:rPr>
            </w:pPr>
          </w:p>
        </w:tc>
        <w:tc>
          <w:tcPr>
            <w:tcW w:w="5933"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一、《文化和旅游部办公厅关于抓好促进旅游业恢复发展纾困扶持政策贯彻落实工作的通知》</w:t>
            </w:r>
            <w:r>
              <w:rPr>
                <w:rFonts w:hint="eastAsia" w:ascii="Times New Roman" w:hAnsi="Times New Roman" w:eastAsia="仿宋_GB2312" w:cs="Times New Roman"/>
                <w:b/>
                <w:bCs/>
                <w:color w:val="auto"/>
                <w:kern w:val="0"/>
                <w:sz w:val="24"/>
                <w:szCs w:val="24"/>
                <w:vertAlign w:val="baseline"/>
                <w:lang w:val="en-US" w:eastAsia="zh-CN" w:bidi="ar"/>
              </w:rPr>
              <w:t>：</w:t>
            </w:r>
            <w:r>
              <w:rPr>
                <w:rFonts w:hint="eastAsia" w:ascii="Times New Roman" w:hAnsi="Times New Roman" w:eastAsia="仿宋_GB2312" w:cs="Times New Roman"/>
                <w:color w:val="auto"/>
                <w:kern w:val="0"/>
                <w:sz w:val="24"/>
                <w:szCs w:val="24"/>
                <w:vertAlign w:val="baseline"/>
                <w:lang w:val="en-US" w:eastAsia="zh-CN" w:bidi="ar"/>
              </w:rPr>
              <w:t>实施阶段性缓缴失业保险费、工伤保险费政策的地区，文化和旅游行政部门要加强与人力资源社会保障、税务、市场监管等部门的信息共享，主动提供所掌握的本地区适用政策的旅游市场主体名单，推动名单内的参保企业按照有关规定纳入政策“免申即享”范围。积极协调有关部门，支持未在掌握名单范围内的、以直接面向游客提供旅游服务为主营业务的市场主体，按规定实行告知承诺制，不增加企业事务性负担。</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二、《国家发展改革委等部门印发〈关于促进服务业领域困难行业恢复发展的若干政策〉的通知》</w:t>
            </w:r>
            <w:r>
              <w:rPr>
                <w:rFonts w:hint="eastAsia" w:ascii="Times New Roman" w:hAnsi="Times New Roman" w:eastAsia="仿宋_GB2312" w:cs="Times New Roman"/>
                <w:b/>
                <w:bCs/>
                <w:color w:val="auto"/>
                <w:kern w:val="0"/>
                <w:sz w:val="24"/>
                <w:szCs w:val="24"/>
                <w:vertAlign w:val="baseline"/>
                <w:lang w:val="en-US" w:eastAsia="zh-CN" w:bidi="ar"/>
              </w:rPr>
              <w:t>：</w:t>
            </w:r>
            <w:r>
              <w:rPr>
                <w:rFonts w:hint="eastAsia" w:ascii="Times New Roman" w:hAnsi="Times New Roman" w:eastAsia="仿宋_GB2312" w:cs="Times New Roman"/>
                <w:color w:val="auto"/>
                <w:kern w:val="0"/>
                <w:sz w:val="24"/>
                <w:szCs w:val="24"/>
                <w:vertAlign w:val="baseline"/>
                <w:lang w:val="en-US" w:eastAsia="zh-CN" w:bidi="ar"/>
              </w:rPr>
              <w:t>5．2022年延续实施阶段性降低失业保险、工伤保险费率政策。对不裁员、少裁员的企业继续实施普惠性失业保险稳岗返还政策，在2022年度将中小微企业返还比例从60%最高提至90%。符合条件的服务业市场主体可以享受。25．允许失业保险、工伤保险基金结余较多的省份对旅游企业阶段性实施缓缴失业保险、工伤保险费政策，具体办法由省级人民政府确定。符合条件的旅游企业提出申请，经参保地人民政府批准可以缓缴，期限不超过一年，缓缴期间免收滞纳金。</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2" w:firstLineChars="200"/>
              <w:jc w:val="both"/>
              <w:textAlignment w:val="auto"/>
              <w:outlineLvl w:val="9"/>
              <w:rPr>
                <w:rFonts w:hint="eastAsia" w:ascii="仿宋_GB2312" w:hAnsi="仿宋_GB2312" w:eastAsia="仿宋_GB2312" w:cs="仿宋_GB2312"/>
                <w:color w:val="auto"/>
                <w:sz w:val="24"/>
                <w:szCs w:val="24"/>
              </w:rPr>
            </w:pPr>
            <w:r>
              <w:rPr>
                <w:rFonts w:hint="eastAsia" w:ascii="楷体_GB2312" w:hAnsi="楷体_GB2312" w:eastAsia="楷体_GB2312" w:cs="楷体_GB2312"/>
                <w:b/>
                <w:bCs/>
                <w:color w:val="auto"/>
                <w:kern w:val="0"/>
                <w:sz w:val="24"/>
                <w:szCs w:val="24"/>
                <w:vertAlign w:val="baseline"/>
                <w:lang w:val="en-US" w:eastAsia="zh-CN" w:bidi="ar"/>
              </w:rPr>
              <w:t>三、《国家人力资源社会保障部办公厅国家税务总局办公厅关于特困行业阶段性实施缓缴企业社会保险费政策的通知》:（</w:t>
            </w:r>
            <w:r>
              <w:rPr>
                <w:rFonts w:hint="eastAsia" w:ascii="Times New Roman" w:hAnsi="Times New Roman" w:eastAsia="仿宋_GB2312" w:cs="Times New Roman"/>
                <w:color w:val="auto"/>
                <w:kern w:val="0"/>
                <w:sz w:val="24"/>
                <w:szCs w:val="24"/>
                <w:vertAlign w:val="baseline"/>
                <w:lang w:val="en-US" w:eastAsia="zh-CN" w:bidi="ar"/>
              </w:rPr>
              <w:t>一）适用范围。缓缴适用于餐饮、零售、旅游、民航、公路水路铁路运输企业三项社保费的单位应缴纳部分。上述行业中以单位方式参加社会保险的有雇工的个体工商户以及其他单位，参照企业办法缓缴。对职工个人应缴纳部分，企业应依法履行好代扣代缴义务。以个人身份参加企业职工基本养老保险的个体工商户和各类灵活就业人员，2022年缴纳费款有困难的，可自愿暂缓缴费，2022年未缴费月度可于2023年底前进行补缴，缴费基数在2023年当地个人缴费基数上下限范围内自主选择，缴费年限累计计算。（二）实施期限。企业职工基本养老保险费缓缴费款所属期为2022年4月至6月。失业保险费、工伤保险费缓缴费款所属期为2022年4月至2023年3月，在此期间，企业可申请不同期限的缓缴。已缴纳所属期为2022年4月费款的企业，可从5月起申请缓缴，缓缴月份相应顺延一个月，也可以申请退回4月费款。缓缴期间免收滞纳金。（三）办理流程</w:t>
            </w:r>
            <w:r>
              <w:rPr>
                <w:rFonts w:hint="eastAsia" w:ascii="黑体" w:hAnsi="黑体" w:eastAsia="黑体" w:cs="黑体"/>
                <w:color w:val="auto"/>
                <w:sz w:val="24"/>
                <w:szCs w:val="24"/>
              </w:rPr>
              <w:t>。</w:t>
            </w:r>
            <w:r>
              <w:rPr>
                <w:rFonts w:hint="eastAsia" w:ascii="仿宋_GB2312" w:hAnsi="仿宋_GB2312" w:eastAsia="仿宋_GB2312" w:cs="仿宋_GB2312"/>
                <w:color w:val="auto"/>
                <w:sz w:val="24"/>
                <w:szCs w:val="24"/>
              </w:rPr>
              <w:t>在缓缴期限内，企业可根据自身经营状况向社会保险登记部门申请缓缴三项社保费。新开办企业可自参保当月起申请缓缴；企业行业类型变更为上述行业的，可自变更当月起申请缓缴。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firstLine="480"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tc>
        <w:tc>
          <w:tcPr>
            <w:tcW w:w="3240"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一、《广西壮族自治区发展和改革委员会等部门关于印发广西壮族自治区促进服务业领域困难行业恢复发展若干政策措施的通知》：</w:t>
            </w:r>
            <w:r>
              <w:rPr>
                <w:rFonts w:hint="eastAsia" w:ascii="Times New Roman" w:hAnsi="Times New Roman" w:eastAsia="仿宋_GB2312" w:cs="Times New Roman"/>
                <w:color w:val="auto"/>
                <w:kern w:val="0"/>
                <w:sz w:val="24"/>
                <w:szCs w:val="24"/>
                <w:vertAlign w:val="baseline"/>
                <w:lang w:val="en-US" w:eastAsia="zh-CN" w:bidi="ar"/>
              </w:rPr>
              <w:t>（六）2022年延续实施阶段性降低失业保险、工伤保险费率政策。对不裁员、少裁员的企业继续实施普惠性失业保险稳岗返还政策，将中小微企业返还比例从60%最高提至90%。鼓励企业申请设立见习基地，见习人员补贴按照《广西壮族自治区就业见习管理办法》执行。符合条件的服务业市场主体可以享受。（二十六）对旅游企业阶段性实施缓缴失业保险、工伤保险费政策。在实施阶段性缓缴失业保险、工伤保险费政策期间，各设区市基金出现缺口的，由自治区调剂解决。经行业主管部门认定为旅游业的企业提出申请，当地人社部门核对参保信息后可以缓缴，期限不超过一年，缓缴期间免收滞纳金。</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二、《广西区人力资源社会保障厅国家税务总局广西区税务局关于特困行业阶段性实施缓缴企业社会保险费政策的通知》:（</w:t>
            </w:r>
            <w:r>
              <w:rPr>
                <w:rFonts w:hint="eastAsia" w:ascii="仿宋_GB2312" w:hAnsi="仿宋_GB2312" w:eastAsia="仿宋_GB2312" w:cs="仿宋_GB2312"/>
                <w:b/>
                <w:bCs/>
                <w:color w:val="auto"/>
                <w:sz w:val="24"/>
                <w:szCs w:val="24"/>
              </w:rPr>
              <w:t>一</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适用范围</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color w:val="auto"/>
                <w:sz w:val="24"/>
                <w:szCs w:val="24"/>
              </w:rPr>
              <w:t>缓缴适用于餐饮、零售、旅游、民航、公路水路铁路运输企业三项社会保险费的单位应缴纳部分。以个人身份参加企业职工基本养老保险的个体工商户和各类灵活就业人员，2022年缴纳费款有困难的，可自愿暂缓缴费，2022年未缴费月度可于2023年底前进行补缴，缴费基数在2023年当地个人缴费基数上下限范围内自主选择，缴费年限累计计算。</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二</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实施期限</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企业职工基本养老保险费缓缴费款所属期为2022年4月至6月。失业保险费、工伤保险费缓缴费款所属期为2022年4月至2023年3月，在此期间，企业可一次或多次申请不同期限的缓缴。已缴纳所属期为2022年4月费款的企业，可从5月起申请缓缴，缓缴月份相应顺延一个月，也可以申请退回4月费款。缓缴期间免收滞纳金。</w:t>
            </w:r>
          </w:p>
        </w:tc>
        <w:tc>
          <w:tcPr>
            <w:tcW w:w="4177" w:type="dxa"/>
            <w:vAlign w:val="center"/>
          </w:tcPr>
          <w:p>
            <w:pPr>
              <w:pStyle w:val="4"/>
              <w:jc w:val="center"/>
              <w:rPr>
                <w:rFonts w:hint="eastAsia" w:ascii="Times New Roman" w:hAnsi="Times New Roman" w:eastAsia="仿宋_GB2312" w:cs="Times New Roman"/>
                <w:color w:val="auto"/>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4</w:t>
            </w:r>
          </w:p>
        </w:tc>
        <w:tc>
          <w:tcPr>
            <w:tcW w:w="1410"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完善旅游企业承接机关企事业单位相关活动实施细则</w:t>
            </w:r>
          </w:p>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tc>
        <w:tc>
          <w:tcPr>
            <w:tcW w:w="5933"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一、《文化和旅游部办公厅关于抓好促进旅游业恢复发展纾困扶持政策贯彻落实工作的通知》</w:t>
            </w:r>
            <w:r>
              <w:rPr>
                <w:rFonts w:hint="eastAsia" w:ascii="Times New Roman" w:hAnsi="Times New Roman" w:eastAsia="仿宋_GB2312" w:cs="Times New Roman"/>
                <w:b/>
                <w:bCs/>
                <w:color w:val="auto"/>
                <w:kern w:val="0"/>
                <w:sz w:val="24"/>
                <w:szCs w:val="24"/>
                <w:vertAlign w:val="baseline"/>
                <w:lang w:val="en-US" w:eastAsia="zh-CN" w:bidi="ar"/>
              </w:rPr>
              <w:t>：</w:t>
            </w:r>
            <w:r>
              <w:rPr>
                <w:rFonts w:hint="eastAsia" w:ascii="Times New Roman" w:hAnsi="Times New Roman" w:eastAsia="仿宋_GB2312" w:cs="Times New Roman"/>
                <w:color w:val="auto"/>
                <w:kern w:val="0"/>
                <w:sz w:val="24"/>
                <w:szCs w:val="24"/>
                <w:vertAlign w:val="baseline"/>
                <w:lang w:val="en-US" w:eastAsia="zh-CN" w:bidi="ar"/>
              </w:rPr>
              <w:t>主动对接财政、商务等部门和地方工会组织，抓紧出台旅行社承接机关企事业单位工会活动、展会活动的实施细则，明确服务内容、服务标准等要求，完善细化服务合同订立、资金使用管理、财务票据报销等规定，规范业务流程，增强旅行社承接相关活动的可操作性。支持具备条件的星级旅游饭店、等级旅游民宿等旅游企业为机关企事业单位提供住宿、会议、餐饮等服务，积极协调有关部门对存在以星级、所有制等为门槛限制相关企业参与政府采购的情形及时予以清理，在严格执行经费支出额度规定的前提下，保障相关企业公平参与政府采购的权利。</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二、《国家发展改革委等部门印发〈关于促进服务业领域困难行业恢复发展的若干政策〉的通知》</w:t>
            </w:r>
            <w:r>
              <w:rPr>
                <w:rFonts w:hint="eastAsia" w:ascii="Times New Roman" w:hAnsi="Times New Roman" w:eastAsia="仿宋_GB2312" w:cs="Times New Roman"/>
                <w:b/>
                <w:bCs/>
                <w:color w:val="auto"/>
                <w:kern w:val="0"/>
                <w:sz w:val="24"/>
                <w:szCs w:val="24"/>
                <w:vertAlign w:val="baseline"/>
                <w:lang w:val="en-US" w:eastAsia="zh-CN" w:bidi="ar"/>
              </w:rPr>
              <w:t>：</w:t>
            </w:r>
            <w:r>
              <w:rPr>
                <w:rFonts w:hint="eastAsia" w:ascii="Times New Roman" w:hAnsi="Times New Roman" w:eastAsia="仿宋_GB2312" w:cs="Times New Roman"/>
                <w:color w:val="auto"/>
                <w:kern w:val="0"/>
                <w:sz w:val="24"/>
                <w:szCs w:val="24"/>
                <w:vertAlign w:val="baseline"/>
                <w:lang w:val="en-US" w:eastAsia="zh-CN" w:bidi="ar"/>
              </w:rPr>
              <w:t>27．政府采购住宿、会议、餐饮等服务项目时，严格执行经费支出额度规定，不得以星级、所有制等为门槛限制相关企业参与政府采购。28．鼓励机关企事业单位将符合规定举办的工会活动、会展活动等的方案制定、组织协调等交由旅行社承接，明确服务内容、服务标准等细化要求，加强资金使用管理，合理确定预付款比例，并按照合同约定及时向旅行社支付资金。</w:t>
            </w:r>
          </w:p>
        </w:tc>
        <w:tc>
          <w:tcPr>
            <w:tcW w:w="3240"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right="0" w:rightChars="0"/>
              <w:jc w:val="both"/>
              <w:textAlignment w:val="auto"/>
              <w:outlineLvl w:val="9"/>
              <w:rPr>
                <w:rFonts w:hint="eastAsia" w:ascii="Times New Roman" w:hAnsi="Times New Roman" w:eastAsia="仿宋_GB2312" w:cs="Times New Roman"/>
                <w:b/>
                <w:bCs/>
                <w:color w:val="auto"/>
                <w:kern w:val="0"/>
                <w:sz w:val="32"/>
                <w:szCs w:val="32"/>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《广西壮族自治区发展和改革委员会等部门关于印发广西壮族自治区促进服务业领域困难行业恢复发展若干政策措施的通知》</w:t>
            </w:r>
            <w:r>
              <w:rPr>
                <w:rFonts w:hint="eastAsia" w:ascii="Times New Roman" w:hAnsi="Times New Roman" w:eastAsia="仿宋_GB2312" w:cs="Times New Roman"/>
                <w:b/>
                <w:bCs/>
                <w:color w:val="auto"/>
                <w:kern w:val="0"/>
                <w:sz w:val="24"/>
                <w:szCs w:val="24"/>
                <w:vertAlign w:val="baseline"/>
                <w:lang w:val="en-US" w:eastAsia="zh-CN" w:bidi="ar"/>
              </w:rPr>
              <w:t>四、全面落实旅游业纾困扶持措施》：</w:t>
            </w:r>
            <w:r>
              <w:rPr>
                <w:rFonts w:hint="eastAsia" w:ascii="Times New Roman" w:hAnsi="Times New Roman" w:eastAsia="仿宋_GB2312" w:cs="Times New Roman"/>
                <w:color w:val="auto"/>
                <w:kern w:val="0"/>
                <w:sz w:val="24"/>
                <w:szCs w:val="24"/>
                <w:vertAlign w:val="baseline"/>
                <w:lang w:val="en-US" w:eastAsia="zh-CN" w:bidi="ar"/>
              </w:rPr>
              <w:t>（二十八）政府采购住宿、会议、餐饮等服务项目时，严格执行经费支出额度规定，不得以星级、所有制等为门槛限制相关企业参与政府采购。（二十九）鼓励机关企事业单位将符合规定举办的工会活动、会展活动等的方案制定、组织协调等交由旅行社承接，明确服务内容、服务标准等细化要求，加强资金使用管理，合理确定预付款比例，并按照合同约定及时向旅行社支付资金。</w:t>
            </w:r>
          </w:p>
        </w:tc>
        <w:tc>
          <w:tcPr>
            <w:tcW w:w="4177" w:type="dxa"/>
            <w:vAlign w:val="center"/>
          </w:tcPr>
          <w:p>
            <w:pPr>
              <w:pStyle w:val="4"/>
              <w:jc w:val="both"/>
              <w:rPr>
                <w:rFonts w:hint="eastAsia" w:ascii="Times New Roman" w:hAnsi="Times New Roman" w:eastAsia="仿宋_GB2312" w:cs="Times New Roman"/>
                <w:color w:val="auto"/>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5</w:t>
            </w:r>
          </w:p>
        </w:tc>
        <w:tc>
          <w:tcPr>
            <w:tcW w:w="1410"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用好旅游服务质量保证金扶持政策</w:t>
            </w:r>
          </w:p>
        </w:tc>
        <w:tc>
          <w:tcPr>
            <w:tcW w:w="5933"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right="0" w:rightChars="0" w:firstLine="482" w:firstLineChars="200"/>
              <w:jc w:val="both"/>
              <w:textAlignment w:val="auto"/>
              <w:outlineLvl w:val="9"/>
              <w:rPr>
                <w:rFonts w:hint="eastAsia" w:ascii="楷体_GB2312" w:hAnsi="楷体_GB2312" w:eastAsia="楷体_GB2312" w:cs="楷体_GB2312"/>
                <w:b/>
                <w:bCs/>
                <w:color w:val="auto"/>
                <w:kern w:val="0"/>
                <w:sz w:val="24"/>
                <w:szCs w:val="24"/>
                <w:vertAlign w:val="baseline"/>
                <w:lang w:val="en-US" w:eastAsia="zh-CN" w:bidi="ar"/>
              </w:r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一、《文化和旅游部办公厅关于抓好促进旅游业恢复发展纾困扶持政策贯彻落实工作的通知》</w:t>
            </w:r>
            <w:r>
              <w:rPr>
                <w:rFonts w:hint="eastAsia" w:ascii="Times New Roman" w:hAnsi="Times New Roman" w:eastAsia="仿宋_GB2312" w:cs="Times New Roman"/>
                <w:b/>
                <w:bCs/>
                <w:color w:val="auto"/>
                <w:kern w:val="0"/>
                <w:sz w:val="24"/>
                <w:szCs w:val="24"/>
                <w:vertAlign w:val="baseline"/>
                <w:lang w:val="en-US" w:eastAsia="zh-CN" w:bidi="ar"/>
              </w:rPr>
              <w:t>：</w:t>
            </w:r>
            <w:r>
              <w:rPr>
                <w:rFonts w:hint="eastAsia" w:ascii="Times New Roman" w:hAnsi="Times New Roman" w:eastAsia="仿宋_GB2312" w:cs="Times New Roman"/>
                <w:color w:val="auto"/>
                <w:kern w:val="0"/>
                <w:sz w:val="24"/>
                <w:szCs w:val="24"/>
                <w:vertAlign w:val="baseline"/>
                <w:lang w:val="en-US" w:eastAsia="zh-CN" w:bidi="ar"/>
              </w:rPr>
              <w:t>严格执行《文化和旅游部办公厅关于用好旅游服务质量保证金政策进一步支持旅行社恢复发展的通知》（办市场发〔2021〕195号），延长旅游服务质量保证金（以下简称“保证金”）暂退期限至2022年12月31日。对提出暂退保证金申请的旅行社，符合条件的，做到应退尽退。在保障游客合法权益不减弱的前提下，有条件的地方可进一步提高保证金暂退比例，由省级文化和旅游行政部门提出具体方案，报文化和旅游部同意后实施。加快推进保险替代保证金试点工作</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right="0" w:rightChars="0" w:firstLine="240" w:firstLineChars="1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支持有条件的地区开展保险直接替代现金或银行保函交纳保证金试点工作，进一步扩大试点范围。试点地区的旅行社可从存款、银行担保、直接使用保险等方式中灵活选用一种方式交纳保证金，不得加以限制、指定。已开展试点的地区，旅行社直接使用保险交纳保证金的，保险生效后，应及时退还已以现金方式交纳的保证金。</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二、《国家发展改革委等部门印发〈关于促进服务业领域困难行业恢复发展的若干政策〉的通知》</w:t>
            </w:r>
            <w:r>
              <w:rPr>
                <w:rFonts w:hint="eastAsia" w:ascii="Times New Roman" w:hAnsi="Times New Roman" w:eastAsia="仿宋_GB2312" w:cs="Times New Roman"/>
                <w:b/>
                <w:bCs/>
                <w:color w:val="auto"/>
                <w:kern w:val="0"/>
                <w:sz w:val="24"/>
                <w:szCs w:val="24"/>
                <w:vertAlign w:val="baseline"/>
                <w:lang w:val="en-US" w:eastAsia="zh-CN" w:bidi="ar"/>
              </w:rPr>
              <w:t>：</w:t>
            </w:r>
            <w:r>
              <w:rPr>
                <w:rFonts w:hint="eastAsia" w:ascii="Times New Roman" w:hAnsi="Times New Roman" w:eastAsia="仿宋_GB2312" w:cs="Times New Roman"/>
                <w:color w:val="auto"/>
                <w:kern w:val="0"/>
                <w:sz w:val="24"/>
                <w:szCs w:val="24"/>
                <w:vertAlign w:val="baseline"/>
                <w:lang w:val="en-US" w:eastAsia="zh-CN" w:bidi="ar"/>
              </w:rPr>
              <w:t>2022年继续实施旅行社暂退旅游服务质量保证金扶持政策，对符合条件的旅行社维持80%的暂退比例，鼓励有条件的地方进一步提高暂退比例。同时，加快推进保险代替保证金试点工作，扩大保险代替保证金试点范围。</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三、《文化和旅游部办公厅关于进一步调整暂退旅游服务质量保证金相关政策的通知》：</w:t>
            </w:r>
            <w:r>
              <w:rPr>
                <w:rFonts w:hint="eastAsia" w:ascii="Times New Roman" w:hAnsi="Times New Roman" w:eastAsia="仿宋_GB2312" w:cs="Times New Roman"/>
                <w:color w:val="auto"/>
                <w:kern w:val="0"/>
                <w:sz w:val="24"/>
                <w:szCs w:val="24"/>
                <w:vertAlign w:val="baseline"/>
                <w:lang w:val="en-US" w:eastAsia="zh-CN" w:bidi="ar"/>
              </w:rPr>
              <w:t>（一）已按照《文化和旅游部办公厅关于用好旅游服务质量保证金政策进一步支持旅行社恢复发展的通知》（办市场发〔2021〕195号）、《文化和旅游部办公厅关于抓好促进旅游业恢复发展纾困扶持政策贯彻落实工作的通知》（办产业发〔2022〕55号）要求享受暂退保证金政策的旅行社，可申请将暂退比例提高至100%，补足保证金期限延至2023年3月31日。（二）2021年10月19日至2022年4月11日（含当日）期间全国所有已依法交纳保证金、领取旅行社业务经营许可证的旅行社，提出暂退保证金申请的，暂退标准可为应交纳数额的100%，补足保证金期限为2023年3月31日。（三）2022年4月12日（含当日）以后取得旅行社业务经营许可证的旅行社，可申请暂缓交纳保证金，补足保证金期限为2023年3月31日。</w:t>
            </w:r>
          </w:p>
        </w:tc>
        <w:tc>
          <w:tcPr>
            <w:tcW w:w="3240"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firstLine="482" w:firstLineChars="200"/>
              <w:jc w:val="both"/>
              <w:textAlignment w:val="auto"/>
              <w:outlineLvl w:val="9"/>
              <w:rPr>
                <w:rFonts w:hint="eastAsia" w:ascii="楷体_GB2312" w:hAnsi="楷体_GB2312" w:eastAsia="楷体_GB2312" w:cs="楷体_GB2312"/>
                <w:b/>
                <w:bCs/>
                <w:color w:val="auto"/>
                <w:kern w:val="0"/>
                <w:sz w:val="24"/>
                <w:szCs w:val="24"/>
                <w:vertAlign w:val="baseline"/>
                <w:lang w:val="en-US" w:eastAsia="zh-CN" w:bidi="ar"/>
              </w:r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firstLine="482" w:firstLineChars="200"/>
              <w:jc w:val="both"/>
              <w:textAlignment w:val="auto"/>
              <w:outlineLvl w:val="9"/>
              <w:rPr>
                <w:rFonts w:hint="eastAsia" w:ascii="楷体_GB2312" w:hAnsi="楷体_GB2312" w:eastAsia="楷体_GB2312" w:cs="楷体_GB2312"/>
                <w:b/>
                <w:bCs/>
                <w:color w:val="auto"/>
                <w:kern w:val="0"/>
                <w:sz w:val="24"/>
                <w:szCs w:val="24"/>
                <w:vertAlign w:val="baseline"/>
                <w:lang w:val="en-US" w:eastAsia="zh-CN" w:bidi="ar"/>
              </w:r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firstLine="482" w:firstLineChars="200"/>
              <w:jc w:val="both"/>
              <w:textAlignment w:val="auto"/>
              <w:outlineLvl w:val="9"/>
              <w:rPr>
                <w:rFonts w:hint="eastAsia" w:ascii="Times New Roman" w:hAnsi="Times New Roman" w:eastAsia="仿宋_GB2312" w:cs="Times New Roman"/>
                <w:b/>
                <w:bCs/>
                <w:color w:val="auto"/>
                <w:kern w:val="0"/>
                <w:sz w:val="32"/>
                <w:szCs w:val="32"/>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《广西壮族自治区发展和改革委员会等部门关于印发广西壮族自治区促进服务业领域困难行业恢复发展若干政策措施的通知》：</w:t>
            </w:r>
            <w:r>
              <w:rPr>
                <w:rFonts w:hint="eastAsia" w:ascii="Times New Roman" w:hAnsi="Times New Roman" w:eastAsia="仿宋_GB2312" w:cs="Times New Roman"/>
                <w:color w:val="auto"/>
                <w:kern w:val="0"/>
                <w:sz w:val="24"/>
                <w:szCs w:val="24"/>
                <w:vertAlign w:val="baseline"/>
                <w:lang w:val="en-US" w:eastAsia="zh-CN" w:bidi="ar"/>
              </w:rPr>
              <w:t>（二十五）继续实施旅行社暂退旅游服务质量保证金扶持政策。引导保险机构加快推进保险代替保证金试点工作，扩大保险代替保证金试点范围。</w:t>
            </w:r>
          </w:p>
        </w:tc>
        <w:tc>
          <w:tcPr>
            <w:tcW w:w="4177"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firstLine="480" w:firstLineChars="200"/>
              <w:jc w:val="both"/>
              <w:textAlignment w:val="auto"/>
              <w:outlineLvl w:val="9"/>
              <w:rPr>
                <w:rFonts w:hint="eastAsia" w:ascii="Times New Roman" w:hAnsi="Times New Roman" w:eastAsia="仿宋_GB2312" w:cs="Times New Roman"/>
                <w:color w:val="auto"/>
                <w:kern w:val="0"/>
                <w:sz w:val="32"/>
                <w:szCs w:val="32"/>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各旅行社根据《文化和旅游部办公厅关于进一步调整暂停旅游服务保证金相关政策的通知》精神，请符合申请暂退质量保证金和暂缓缴纳质量保证金的旅行社准好如下相关材料：（一）申请暂退质量保证金的旅行社。1.旅游服务质量保证金取款申请书；2.承诺书；3.存缴质保金协议书；4.质保金存单 ；5.申请当月质保金专用账户的银行对账单；6.旅行社营业执照和经营许可证副本复印件；7.办理人身份证复印件（非法人代表的还要出具法人代表签字并盖章的委托书）。(二）申请暂缓缴纳质量保证金的旅行社。1.承诺书；2.旅行社营业执照和经营许可证副本复印件。请符合《文化和旅游部办公厅关于进一步调整暂停旅游服务保证金相关政策的通知》要求条件的旅行社，于2022年4月30日前向我局提交申请相关材料（以上相关证照原件需要现场审核请一并带来）审核办理。地址：柳州市桂中大道1号中房文化产业大厦11楼1113室市场管理科，联系电话：0772-2995171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6</w:t>
            </w:r>
          </w:p>
        </w:tc>
        <w:tc>
          <w:tcPr>
            <w:tcW w:w="1410" w:type="dxa"/>
            <w:vAlign w:val="center"/>
          </w:tcPr>
          <w:p>
            <w:pPr>
              <w:pStyle w:val="4"/>
              <w:keepNext w:val="0"/>
              <w:keepLines w:val="0"/>
              <w:pageBreakBefore w:val="0"/>
              <w:widowControl w:val="0"/>
              <w:kinsoku/>
              <w:wordWrap/>
              <w:overflowPunct/>
              <w:topLinePunct w:val="0"/>
              <w:autoSpaceDE/>
              <w:autoSpaceDN/>
              <w:bidi w:val="0"/>
              <w:adjustRightInd w:val="0"/>
              <w:snapToGrid w:val="0"/>
              <w:spacing w:after="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Times New Roman" w:hAnsi="Times New Roman" w:eastAsia="仿宋_GB2312" w:cs="Times New Roman"/>
                <w:color w:val="auto"/>
                <w:kern w:val="0"/>
                <w:sz w:val="24"/>
                <w:szCs w:val="24"/>
                <w:vertAlign w:val="baseline"/>
                <w:lang w:val="en-US" w:eastAsia="zh-CN" w:bidi="ar"/>
              </w:rPr>
              <w:t>减免租金</w:t>
            </w:r>
          </w:p>
        </w:tc>
        <w:tc>
          <w:tcPr>
            <w:tcW w:w="5933"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right="0" w:rightChars="0" w:firstLine="482" w:firstLineChars="200"/>
              <w:jc w:val="both"/>
              <w:textAlignment w:val="auto"/>
              <w:outlineLvl w:val="9"/>
              <w:rPr>
                <w:rFonts w:hint="eastAsia" w:ascii="楷体_GB2312" w:hAnsi="楷体_GB2312" w:eastAsia="楷体_GB2312" w:cs="楷体_GB2312"/>
                <w:b/>
                <w:bCs/>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《国家发展改革委等部门印发〈关于促进服务业领域困难行业恢复发展的若干政策〉的通知》</w:t>
            </w:r>
            <w:r>
              <w:rPr>
                <w:rFonts w:hint="eastAsia" w:ascii="Times New Roman" w:hAnsi="Times New Roman" w:eastAsia="仿宋_GB2312" w:cs="Times New Roman"/>
                <w:b/>
                <w:bCs/>
                <w:color w:val="auto"/>
                <w:kern w:val="0"/>
                <w:sz w:val="24"/>
                <w:szCs w:val="24"/>
                <w:vertAlign w:val="baseline"/>
                <w:lang w:val="en-US" w:eastAsia="zh-CN" w:bidi="ar"/>
              </w:rPr>
              <w:t>：</w:t>
            </w:r>
            <w:r>
              <w:rPr>
                <w:rFonts w:hint="eastAsia" w:ascii="楷体_GB2312" w:hAnsi="楷体_GB2312" w:eastAsia="楷体_GB2312" w:cs="楷体_GB2312"/>
                <w:b w:val="0"/>
                <w:bCs w:val="0"/>
                <w:color w:val="auto"/>
                <w:kern w:val="0"/>
                <w:sz w:val="24"/>
                <w:szCs w:val="24"/>
                <w:vertAlign w:val="baseline"/>
                <w:lang w:val="en-US" w:eastAsia="zh-CN" w:bidi="ar"/>
              </w:rPr>
              <w:t>6．2022年被列为疫情中高风险地区所在的县级行政区域内的服务业小微企业和个体工商户承租国有房屋，2022年减免6个月租金，其他地区减免 3个月租金。各地可统筹各类资金，对承租非国有房屋的服务业小微企业和个体工商户给予适当帮扶。鼓励非国有房屋租赁主体在平等协商的基础上合理分担疫情带来的损失。对减免租金的房屋业主，2022年缴纳房产税、城镇土地使用税确有困难的，鼓励各地可根据条例授权和地方实际给予减免。因减免租金影响国有企事业单位业绩的，在考核中根据实际情况予以认可。</w:t>
            </w:r>
          </w:p>
        </w:tc>
        <w:tc>
          <w:tcPr>
            <w:tcW w:w="3240"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firstLine="482" w:firstLineChars="20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r>
              <w:rPr>
                <w:rFonts w:hint="eastAsia" w:ascii="楷体_GB2312" w:hAnsi="楷体_GB2312" w:eastAsia="楷体_GB2312" w:cs="楷体_GB2312"/>
                <w:b/>
                <w:bCs/>
                <w:color w:val="auto"/>
                <w:kern w:val="0"/>
                <w:sz w:val="24"/>
                <w:szCs w:val="24"/>
                <w:vertAlign w:val="baseline"/>
                <w:lang w:val="en-US" w:eastAsia="zh-CN" w:bidi="ar"/>
              </w:rPr>
              <w:t xml:space="preserve">《广西壮族自治区发展和改革委员会等部门关于印发广西壮族自治区促进服务业领域困难行业恢复发展若干政策措施的通知》： </w:t>
            </w:r>
            <w:r>
              <w:rPr>
                <w:rFonts w:hint="eastAsia" w:ascii="Times New Roman" w:hAnsi="Times New Roman" w:eastAsia="仿宋_GB2312" w:cs="Times New Roman"/>
                <w:color w:val="auto"/>
                <w:kern w:val="0"/>
                <w:sz w:val="24"/>
                <w:szCs w:val="24"/>
                <w:vertAlign w:val="baseline"/>
                <w:lang w:val="en-US" w:eastAsia="zh-CN" w:bidi="ar"/>
              </w:rPr>
              <w:t>（七）2022年被列为疫情中高风险地区所在的县级行政区域内的服务业小微企业和个体工商户承租国有房屋，2022年减免6个月租金，其他地区减免3个月租金。各地可统筹各类资金，对承租非国有房屋的服务业小微企业和个体工商户给予适当帮扶。鼓励非国有房屋租赁主体在平等协商的基础上合理分担疫情带来的损失。减免租金的房屋业主缴纳房产税、城镇土地使用税确有困难的，可以按规定申请房产税、城镇土地使用税困难性减免。因减免租金影响国有企事业单位业绩的，在考核中根据实际情况予以认可。</w:t>
            </w:r>
          </w:p>
        </w:tc>
        <w:tc>
          <w:tcPr>
            <w:tcW w:w="4177" w:type="dxa"/>
            <w:vAlign w:val="center"/>
          </w:tcPr>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Chars="0" w:right="0" w:rightChars="0"/>
              <w:jc w:val="both"/>
              <w:textAlignment w:val="auto"/>
              <w:outlineLvl w:val="9"/>
              <w:rPr>
                <w:rFonts w:hint="eastAsia" w:ascii="Times New Roman" w:hAnsi="Times New Roman" w:eastAsia="仿宋_GB2312" w:cs="Times New Roman"/>
                <w:color w:val="auto"/>
                <w:kern w:val="0"/>
                <w:sz w:val="24"/>
                <w:szCs w:val="24"/>
                <w:vertAlign w:val="baseline"/>
                <w:lang w:val="en-US" w:eastAsia="zh-CN" w:bidi="ar"/>
              </w:rPr>
            </w:pPr>
          </w:p>
        </w:tc>
      </w:tr>
    </w:tbl>
    <w:p>
      <w:pPr>
        <w:pStyle w:val="4"/>
        <w:keepNext w:val="0"/>
        <w:keepLines w:val="0"/>
        <w:pageBreakBefore w:val="0"/>
        <w:widowControl w:val="0"/>
        <w:kinsoku/>
        <w:wordWrap/>
        <w:overflowPunct/>
        <w:topLinePunct w:val="0"/>
        <w:autoSpaceDE/>
        <w:autoSpaceDN/>
        <w:bidi w:val="0"/>
        <w:adjustRightInd/>
        <w:snapToGrid/>
        <w:spacing w:after="12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p>
    <w:sectPr>
      <w:headerReference r:id="rId3" w:type="default"/>
      <w:footerReference r:id="rId4" w:type="default"/>
      <w:pgSz w:w="16838" w:h="11906" w:orient="landscape"/>
      <w:pgMar w:top="850" w:right="720" w:bottom="720" w:left="720" w:header="851" w:footer="73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323215" cy="2292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23215" cy="229235"/>
                      </a:xfrm>
                      <a:prstGeom prst="rect">
                        <a:avLst/>
                      </a:prstGeom>
                      <a:noFill/>
                      <a:ln w="9525">
                        <a:noFill/>
                      </a:ln>
                    </wps:spPr>
                    <wps:txbx>
                      <w:txbxContent>
                        <w:p>
                          <w:pPr>
                            <w:pStyle w:val="5"/>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8.05pt;width:25.45pt;mso-position-horizontal:center;mso-position-horizontal-relative:margin;z-index:251667456;mso-width-relative:page;mso-height-relative:page;" filled="f" stroked="f" coordsize="21600,21600" o:gfxdata="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AsaqhtMAAAADAQAADwAAAAAA&#10;AAABACAAAAAiAAAAZHJzL2Rvd25yZXYueG1sUEsBAhQAFAAAAAgAh07iQAYOfcSmAQAALAMAAA4A&#10;AAAAAAAAAQAgAAAAIgEAAGRycy9lMm9Eb2MueG1sUEsFBgAAAAAGAAYAWQEAADoFAAAAAA==&#10;">
              <v:fill on="f" focussize="0,0"/>
              <v:stroke on="f"/>
              <v:imagedata o:title=""/>
              <o:lock v:ext="edit" aspectratio="f"/>
              <v:textbox inset="0mm,0mm,0mm,0mm">
                <w:txbxContent>
                  <w:p>
                    <w:pPr>
                      <w:pStyle w:val="5"/>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60"/>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C6F15"/>
    <w:rsid w:val="00466F9B"/>
    <w:rsid w:val="00FD39BA"/>
    <w:rsid w:val="02BE6C48"/>
    <w:rsid w:val="09FF45EA"/>
    <w:rsid w:val="0AFF5027"/>
    <w:rsid w:val="0B367F5B"/>
    <w:rsid w:val="0D23719C"/>
    <w:rsid w:val="11B44E64"/>
    <w:rsid w:val="12F179E9"/>
    <w:rsid w:val="14C16724"/>
    <w:rsid w:val="14D640EB"/>
    <w:rsid w:val="15D534F7"/>
    <w:rsid w:val="17766EE4"/>
    <w:rsid w:val="18582F72"/>
    <w:rsid w:val="1A02057E"/>
    <w:rsid w:val="1B8A365E"/>
    <w:rsid w:val="202732FA"/>
    <w:rsid w:val="204B5193"/>
    <w:rsid w:val="2B347FFF"/>
    <w:rsid w:val="2E785A10"/>
    <w:rsid w:val="36122C46"/>
    <w:rsid w:val="370421EF"/>
    <w:rsid w:val="38DC13FD"/>
    <w:rsid w:val="3A134790"/>
    <w:rsid w:val="3CBF7DCE"/>
    <w:rsid w:val="3EEC0A59"/>
    <w:rsid w:val="3FD37AAC"/>
    <w:rsid w:val="41980FB6"/>
    <w:rsid w:val="426D5266"/>
    <w:rsid w:val="46B160D1"/>
    <w:rsid w:val="498C5D3A"/>
    <w:rsid w:val="499B1674"/>
    <w:rsid w:val="4C7D13CE"/>
    <w:rsid w:val="4D846860"/>
    <w:rsid w:val="513C3FBB"/>
    <w:rsid w:val="5221146D"/>
    <w:rsid w:val="568F4CBC"/>
    <w:rsid w:val="58773693"/>
    <w:rsid w:val="5A317408"/>
    <w:rsid w:val="5D24787F"/>
    <w:rsid w:val="5D60093C"/>
    <w:rsid w:val="614D3387"/>
    <w:rsid w:val="65324DAD"/>
    <w:rsid w:val="66C97E27"/>
    <w:rsid w:val="68565709"/>
    <w:rsid w:val="6AA3516D"/>
    <w:rsid w:val="6D535020"/>
    <w:rsid w:val="71EA3C53"/>
    <w:rsid w:val="723174C9"/>
    <w:rsid w:val="73A85082"/>
    <w:rsid w:val="751A24CA"/>
    <w:rsid w:val="77980678"/>
    <w:rsid w:val="795273F1"/>
    <w:rsid w:val="7A0B049D"/>
    <w:rsid w:val="7A6C6F15"/>
    <w:rsid w:val="7B36599A"/>
    <w:rsid w:val="7E486860"/>
    <w:rsid w:val="7F9866A0"/>
    <w:rsid w:val="7FBEFE2F"/>
    <w:rsid w:val="FF3FA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weixin"/>
    <w:basedOn w:val="8"/>
    <w:qFormat/>
    <w:uiPriority w:val="0"/>
  </w:style>
  <w:style w:type="character" w:customStyle="1" w:styleId="15">
    <w:name w:val="h"/>
    <w:basedOn w:val="8"/>
    <w:qFormat/>
    <w:uiPriority w:val="0"/>
    <w:rPr>
      <w:shd w:val="clear" w:fill="FFFFFF"/>
    </w:rPr>
  </w:style>
  <w:style w:type="character" w:customStyle="1" w:styleId="16">
    <w:name w:val="swiper-pagination-switch"/>
    <w:basedOn w:val="8"/>
    <w:qFormat/>
    <w:uiPriority w:val="0"/>
    <w:rPr>
      <w:sz w:val="0"/>
      <w:szCs w:val="0"/>
    </w:rPr>
  </w:style>
  <w:style w:type="character" w:customStyle="1" w:styleId="17">
    <w:name w:val="swiper-active-switch"/>
    <w:basedOn w:val="8"/>
    <w:qFormat/>
    <w:uiPriority w:val="0"/>
    <w:rPr>
      <w:shd w:val="clear" w:fill="FFFFFF"/>
    </w:rPr>
  </w:style>
  <w:style w:type="character" w:customStyle="1" w:styleId="18">
    <w:name w:val="total"/>
    <w:basedOn w:val="8"/>
    <w:qFormat/>
    <w:uiPriority w:val="0"/>
  </w:style>
  <w:style w:type="character" w:customStyle="1" w:styleId="19">
    <w:name w:val="hover16"/>
    <w:basedOn w:val="8"/>
    <w:qFormat/>
    <w:uiPriority w:val="0"/>
  </w:style>
  <w:style w:type="character" w:customStyle="1" w:styleId="20">
    <w:name w:val="wap"/>
    <w:basedOn w:val="8"/>
    <w:qFormat/>
    <w:uiPriority w:val="0"/>
  </w:style>
  <w:style w:type="character" w:customStyle="1" w:styleId="21">
    <w:name w:val="znzsk"/>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xxc\M:\home\gxxc\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2022-04-21T01:25:00Z</dcterms:created>
  <dc:creator>Administrator</dc:creator>
  <cp:lastModifiedBy>User</cp:lastModifiedBy>
  <cp:lastPrinted>2022-05-07T23:09:00Z</cp:lastPrinted>
  <dcterms:modified xsi:type="dcterms:W3CDTF">2022-05-20T07:51:10Z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