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柳江区2025年使用财政衔接推进乡村振兴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补助资金</w:t>
      </w:r>
      <w:r>
        <w:rPr>
          <w:rFonts w:hint="default" w:ascii="Times New Roman" w:hAnsi="Times New Roman" w:eastAsia="方正小标宋简体" w:cs="Times New Roman"/>
          <w:sz w:val="44"/>
          <w:szCs w:val="44"/>
          <w:highlight w:val="none"/>
          <w:lang w:val="en-US" w:eastAsia="zh-CN"/>
        </w:rPr>
        <w:t>落实</w:t>
      </w:r>
      <w:r>
        <w:rPr>
          <w:rFonts w:hint="default" w:ascii="Times New Roman" w:hAnsi="Times New Roman" w:eastAsia="方正小标宋简体" w:cs="Times New Roman"/>
          <w:sz w:val="44"/>
          <w:szCs w:val="44"/>
          <w:highlight w:val="none"/>
        </w:rPr>
        <w:t>先建后补</w:t>
      </w:r>
      <w:r>
        <w:rPr>
          <w:rFonts w:hint="default" w:ascii="Times New Roman" w:hAnsi="Times New Roman" w:eastAsia="方正小标宋简体" w:cs="Times New Roman"/>
          <w:sz w:val="44"/>
          <w:szCs w:val="44"/>
          <w:highlight w:val="none"/>
          <w:lang w:val="en-US" w:eastAsia="zh-CN"/>
        </w:rPr>
        <w:t>及</w:t>
      </w:r>
      <w:r>
        <w:rPr>
          <w:rFonts w:hint="default" w:ascii="Times New Roman" w:hAnsi="Times New Roman" w:eastAsia="方正小标宋简体" w:cs="Times New Roman"/>
          <w:sz w:val="44"/>
          <w:szCs w:val="44"/>
          <w:highlight w:val="none"/>
        </w:rPr>
        <w:t>以奖代补</w:t>
      </w:r>
      <w:r>
        <w:rPr>
          <w:rFonts w:hint="default" w:ascii="Times New Roman" w:hAnsi="Times New Roman" w:eastAsia="方正小标宋简体" w:cs="Times New Roman"/>
          <w:sz w:val="44"/>
          <w:szCs w:val="4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的</w:t>
      </w:r>
      <w:r>
        <w:rPr>
          <w:rFonts w:hint="default" w:ascii="Times New Roman" w:hAnsi="Times New Roman" w:eastAsia="方正小标宋简体" w:cs="Times New Roman"/>
          <w:sz w:val="44"/>
          <w:szCs w:val="44"/>
          <w:highlight w:val="none"/>
        </w:rPr>
        <w:t>实施方案</w:t>
      </w:r>
    </w:p>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32"/>
          <w:szCs w:val="32"/>
          <w:highlight w:val="none"/>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为进一步提高财政衔接资金使用绩效，发挥财政衔接资金的引导和</w:t>
      </w:r>
      <w:r>
        <w:rPr>
          <w:rFonts w:hint="eastAsia" w:ascii="Times New Roman" w:hAnsi="Times New Roman" w:eastAsia="仿宋_GB2312" w:cs="Times New Roman"/>
          <w:kern w:val="2"/>
          <w:sz w:val="32"/>
          <w:szCs w:val="32"/>
          <w:highlight w:val="none"/>
          <w:lang w:val="en-US" w:eastAsia="zh-CN" w:bidi="ar-SA"/>
        </w:rPr>
        <w:t>杠杆作用</w:t>
      </w:r>
      <w:r>
        <w:rPr>
          <w:rFonts w:hint="default" w:ascii="Times New Roman" w:hAnsi="Times New Roman" w:eastAsia="仿宋_GB2312" w:cs="Times New Roman"/>
          <w:kern w:val="2"/>
          <w:sz w:val="32"/>
          <w:szCs w:val="32"/>
          <w:highlight w:val="none"/>
          <w:lang w:val="en-US" w:eastAsia="zh-CN" w:bidi="ar-SA"/>
        </w:rPr>
        <w:t>，创新财政衔接资金的项目管理方式，根据《广西壮族自治区财政厅  广西壮族自治区乡村振兴局等六部门关于印发〈广西财政衔接推进乡村振兴补助资金管理细则〉的通知》（桂财规〔2021〕3号）、《广西壮族自治区财政厅  广西壮族自治区乡村振兴局等六部门关于广西财政衔接推进乡村振兴补助资金管理细则的补充通知》（桂财规〔2023〕4号）、《柳州市柳江区财政局  柳州市柳江区乡村振兴局等六部门关于印发〈柳州市柳江区财政衔接推进乡村振兴补助资金管理细则〉通知》（柳江财政〔2021〕129号）文件指导精神，结合柳江实际，特制定本方案。</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一、指导思想</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深入贯彻落实为贯彻落实中央关于实现巩固拓展脱贫攻坚成果同乡村振兴有效衔接的意见，自治区关于巩固拓展脱贫攻坚成果同乡村振兴有效衔接的决策部署，进一步规范过渡期财政衔接推进乡村振兴补助资金管理，创新财政衔接资金项目管理模式，助推乡村产业振兴。</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二、遵循原则</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通过以奖代补、先建后补方式，支持经营主体培育或采用优良品种、建设标准化生产基地、引进新技术新设备、发展农产品精深加工、实施乡村旅游项目、推动一二三产融合、延伸产业链条、实施数字农业（智慧农业）发展等。</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实行财政衔接推进乡村振兴的资金安排方式，即项目单位按照项目实施方案和项目实施方案建设内容</w:t>
      </w:r>
      <w:r>
        <w:rPr>
          <w:rFonts w:hint="eastAsia" w:ascii="Times New Roman" w:hAnsi="Times New Roman" w:eastAsia="仿宋_GB2312" w:cs="Times New Roman"/>
          <w:kern w:val="2"/>
          <w:sz w:val="32"/>
          <w:szCs w:val="32"/>
          <w:highlight w:val="none"/>
          <w:lang w:val="en-US" w:eastAsia="zh-CN" w:bidi="ar-SA"/>
        </w:rPr>
        <w:t>，使</w:t>
      </w:r>
      <w:r>
        <w:rPr>
          <w:rFonts w:hint="default" w:ascii="Times New Roman" w:hAnsi="Times New Roman" w:eastAsia="仿宋_GB2312" w:cs="Times New Roman"/>
          <w:kern w:val="2"/>
          <w:sz w:val="32"/>
          <w:szCs w:val="32"/>
          <w:highlight w:val="none"/>
          <w:lang w:val="en-US" w:eastAsia="zh-CN" w:bidi="ar-SA"/>
        </w:rPr>
        <w:t>用自筹资金先行建设项目并在规定期限内完工，经项目实施单位初步验收合格后，对所建项目或建设内容给予补助标准的财政衔接推进乡村振兴补助资金进行补助。</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实行财政衔接推进乡村振兴补助资金</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奖补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的资金安排方式，即项目经营主体用自筹资金先行建设的项目，经项目单位实地绩效考评覆盖农户（含脱贫户、监测对象）受益面广、收益效果好，根据建设内容编制项目申报书和实施方案报</w:t>
      </w:r>
      <w:r>
        <w:rPr>
          <w:rFonts w:hint="eastAsia" w:ascii="Times New Roman" w:hAnsi="Times New Roman" w:eastAsia="仿宋_GB2312" w:cs="Times New Roman"/>
          <w:kern w:val="2"/>
          <w:sz w:val="32"/>
          <w:szCs w:val="32"/>
          <w:highlight w:val="none"/>
          <w:lang w:val="en-US" w:eastAsia="zh-CN" w:bidi="ar-SA"/>
        </w:rPr>
        <w:t>区</w:t>
      </w:r>
      <w:r>
        <w:rPr>
          <w:rFonts w:hint="default" w:ascii="Times New Roman" w:hAnsi="Times New Roman" w:eastAsia="仿宋_GB2312" w:cs="Times New Roman"/>
          <w:kern w:val="2"/>
          <w:sz w:val="32"/>
          <w:szCs w:val="32"/>
          <w:highlight w:val="none"/>
          <w:lang w:val="en-US" w:eastAsia="zh-CN" w:bidi="ar-SA"/>
        </w:rPr>
        <w:t>级部门立项、批复，经项目单位初步验收合格后，对所建项目建设内容按财政衔接推进乡村振兴补助资金补助标准</w:t>
      </w:r>
      <w:r>
        <w:rPr>
          <w:rFonts w:hint="default" w:ascii="Times New Roman" w:hAnsi="Times New Roman" w:eastAsia="仿宋_GB2312" w:cs="Times New Roman"/>
          <w:color w:val="auto"/>
          <w:kern w:val="2"/>
          <w:sz w:val="32"/>
          <w:szCs w:val="32"/>
          <w:highlight w:val="none"/>
          <w:lang w:val="en-US" w:eastAsia="zh-CN" w:bidi="ar-SA"/>
        </w:rPr>
        <w:t>给予奖补</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应遵循以下原则：</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（一）政府引导、项目管理的原则</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以财政衔接推进乡村振兴补助资金投入为导向，以项目实施单位投入为主体，鼓励项目单位加大项目建设资金投入力度。项目单位根据项目覆盖脱贫户（含监测对象）情况和投资额度择优选项，按程序申报立项，资金跟着项目走。</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w:t>
      </w: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总额控制、分类补助的原则</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u w:color="FFFFFF" w:themeColor="background1"/>
          <w:lang w:val="en-US" w:eastAsia="zh-CN" w:bidi="ar-SA"/>
        </w:rPr>
      </w:pPr>
      <w:r>
        <w:rPr>
          <w:rFonts w:hint="default" w:ascii="Times New Roman" w:hAnsi="Times New Roman" w:eastAsia="仿宋_GB2312" w:cs="Times New Roman"/>
          <w:kern w:val="2"/>
          <w:sz w:val="32"/>
          <w:szCs w:val="32"/>
          <w:highlight w:val="none"/>
          <w:lang w:val="en-US" w:eastAsia="zh-CN" w:bidi="ar-SA"/>
        </w:rPr>
        <w:t>财政衔接推进乡村振兴项目补助资金按核定的投入额度计算</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总额度以项目实施方案为准</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不得突破；通过以奖代补、先建后补方式，支持经营主体培育单个项目补助补贴比例</w:t>
      </w:r>
      <w:r>
        <w:rPr>
          <w:rFonts w:hint="default" w:ascii="Times New Roman" w:hAnsi="Times New Roman" w:eastAsia="仿宋_GB2312" w:cs="Times New Roman"/>
          <w:kern w:val="2"/>
          <w:sz w:val="32"/>
          <w:szCs w:val="32"/>
          <w:highlight w:val="none"/>
          <w:u w:val="double" w:color="FFFFFF" w:themeColor="background1"/>
          <w:lang w:val="en-US" w:eastAsia="zh-CN" w:bidi="ar-SA"/>
        </w:rPr>
        <w:t>原则上不超过该项目投资总额的50%</w:t>
      </w:r>
      <w:r>
        <w:rPr>
          <w:rFonts w:hint="eastAsia" w:eastAsia="仿宋_GB2312" w:cs="Times New Roman"/>
          <w:kern w:val="2"/>
          <w:sz w:val="32"/>
          <w:szCs w:val="32"/>
          <w:highlight w:val="none"/>
          <w:u w:val="double" w:color="FFFFFF" w:themeColor="background1"/>
          <w:lang w:val="en-US" w:eastAsia="zh-CN" w:bidi="ar-SA"/>
        </w:rPr>
        <w:t>，最高补助金额控制在500万元以内，具体该项目的实际</w:t>
      </w:r>
      <w:bookmarkStart w:id="0" w:name="OLE_LINK1"/>
      <w:r>
        <w:rPr>
          <w:rFonts w:hint="eastAsia" w:eastAsia="仿宋_GB2312" w:cs="Times New Roman"/>
          <w:kern w:val="2"/>
          <w:sz w:val="32"/>
          <w:szCs w:val="32"/>
          <w:highlight w:val="none"/>
          <w:u w:val="double" w:color="FFFFFF" w:themeColor="background1"/>
          <w:lang w:val="en-US" w:eastAsia="zh-CN" w:bidi="ar-SA"/>
        </w:rPr>
        <w:t>补助补贴以政府下达的资金补助文件为准</w:t>
      </w:r>
      <w:bookmarkEnd w:id="0"/>
      <w:r>
        <w:rPr>
          <w:rFonts w:hint="default" w:ascii="Times New Roman" w:hAnsi="Times New Roman" w:eastAsia="仿宋_GB2312" w:cs="Times New Roman"/>
          <w:kern w:val="2"/>
          <w:sz w:val="32"/>
          <w:szCs w:val="32"/>
          <w:highlight w:val="none"/>
          <w:u w:color="FFFFFF" w:themeColor="background1"/>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三</w:t>
      </w: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明确权责、信息公开的原则</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项目要按照项目实施方案内容自行组织实施，实行全过程监督，项目主管部门组织相关部门进行竣工验收。</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项目单位要将项目立项、建设内容、投资总额、补助标准、补助金额等内容在政府门户网站和项目所在镇、村予以公示，接受社会监督。</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三、适用对象、范围和投资补助标准</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（一）适用对象</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农业产业化扶贫龙头企业、农民专业合作社、种养大户、家庭农场等新型农业经营主体作为项目实施主体实施的农业产业化种养殖项目、产业类基础设施建设项目，适用</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（二）适用范围</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项目资金主要用于可核查的实体项目建设，优先用于种养殖业项目、产业类基础设施建设项目。</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（三）投资、补助标准</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strike w:val="0"/>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的项目，以扶持龙头企业、农民专业合作社、种养大户、家庭农场等为经营主体实施。补助标准</w:t>
      </w:r>
      <w:r>
        <w:rPr>
          <w:rFonts w:hint="eastAsia" w:eastAsia="仿宋_GB2312" w:cs="Times New Roman"/>
          <w:kern w:val="2"/>
          <w:sz w:val="32"/>
          <w:szCs w:val="32"/>
          <w:highlight w:val="none"/>
          <w:lang w:val="en-US" w:eastAsia="zh-CN" w:bidi="ar-SA"/>
        </w:rPr>
        <w:t>参考</w:t>
      </w:r>
      <w:r>
        <w:rPr>
          <w:rFonts w:hint="default" w:ascii="Times New Roman" w:hAnsi="Times New Roman" w:eastAsia="仿宋_GB2312" w:cs="Times New Roman"/>
          <w:kern w:val="2"/>
          <w:sz w:val="32"/>
          <w:szCs w:val="32"/>
          <w:highlight w:val="none"/>
          <w:lang w:val="en-US" w:eastAsia="zh-CN" w:bidi="ar-SA"/>
        </w:rPr>
        <w:t>年度财政扶持资金项目补助标准</w:t>
      </w:r>
      <w:r>
        <w:rPr>
          <w:rFonts w:hint="default" w:ascii="Times New Roman" w:hAnsi="Times New Roman" w:eastAsia="仿宋_GB2312" w:cs="Times New Roman"/>
          <w:strike w:val="0"/>
          <w:dstrike w:val="0"/>
          <w:kern w:val="2"/>
          <w:sz w:val="32"/>
          <w:szCs w:val="32"/>
          <w:highlight w:val="none"/>
          <w:lang w:val="en-US" w:eastAsia="zh-CN" w:bidi="ar-SA"/>
        </w:rPr>
        <w:t>或参照相关部门补助标准执行</w:t>
      </w:r>
      <w:r>
        <w:rPr>
          <w:rFonts w:hint="default" w:ascii="Times New Roman" w:hAnsi="Times New Roman" w:eastAsia="仿宋_GB2312" w:cs="Times New Roman"/>
          <w:strike w:val="0"/>
          <w:kern w:val="2"/>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四、完工时限</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项目应在当年度9月30日前完工。</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五、项目管理</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项目按照</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自愿申报、评审立项、审核审批、自主建设、</w:t>
      </w:r>
      <w:r>
        <w:rPr>
          <w:rFonts w:hint="eastAsia" w:eastAsia="仿宋_GB2312" w:cs="Times New Roman"/>
          <w:kern w:val="2"/>
          <w:sz w:val="32"/>
          <w:szCs w:val="32"/>
          <w:highlight w:val="none"/>
          <w:u w:val="single" w:color="FFFFFF" w:themeColor="background1"/>
          <w:lang w:val="en-US" w:eastAsia="zh-CN" w:bidi="ar-SA"/>
        </w:rPr>
        <w:t>第三方评估、项目</w:t>
      </w:r>
      <w:r>
        <w:rPr>
          <w:rFonts w:hint="default" w:ascii="Times New Roman" w:hAnsi="Times New Roman" w:eastAsia="仿宋_GB2312" w:cs="Times New Roman"/>
          <w:kern w:val="2"/>
          <w:sz w:val="32"/>
          <w:szCs w:val="32"/>
          <w:highlight w:val="none"/>
          <w:u w:color="FFFFFF" w:themeColor="background1"/>
          <w:lang w:val="en-US" w:eastAsia="zh-CN" w:bidi="ar-SA"/>
        </w:rPr>
        <w:t>验</w:t>
      </w:r>
      <w:r>
        <w:rPr>
          <w:rFonts w:hint="default" w:ascii="Times New Roman" w:hAnsi="Times New Roman" w:eastAsia="仿宋_GB2312" w:cs="Times New Roman"/>
          <w:kern w:val="2"/>
          <w:sz w:val="32"/>
          <w:szCs w:val="32"/>
          <w:highlight w:val="none"/>
          <w:lang w:val="en-US" w:eastAsia="zh-CN" w:bidi="ar-SA"/>
        </w:rPr>
        <w:t>收、信息公开</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的要求管理。</w:t>
      </w:r>
      <w:r>
        <w:rPr>
          <w:rFonts w:hint="default" w:ascii="Times New Roman" w:hAnsi="Times New Roman" w:eastAsia="楷体_GB2312" w:cs="Times New Roman"/>
          <w:kern w:val="2"/>
          <w:sz w:val="32"/>
          <w:szCs w:val="32"/>
          <w:highlight w:val="none"/>
          <w:lang w:val="en-US" w:eastAsia="zh-CN" w:bidi="ar-SA"/>
        </w:rPr>
        <w:t>（一）自愿申报。</w:t>
      </w:r>
      <w:r>
        <w:rPr>
          <w:rFonts w:hint="default" w:ascii="Times New Roman" w:hAnsi="Times New Roman" w:eastAsia="仿宋_GB2312" w:cs="Times New Roman"/>
          <w:kern w:val="2"/>
          <w:sz w:val="32"/>
          <w:szCs w:val="32"/>
          <w:highlight w:val="none"/>
          <w:lang w:val="en-US" w:eastAsia="zh-CN" w:bidi="ar-SA"/>
        </w:rPr>
        <w:t>项目单位按照当年项目申报要求向项目主管部门申报项目</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申报项目时应说明</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补助模式</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项目要明确自愿投入的资金额度及保证如期完成等事项。</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（二）立项评审。</w:t>
      </w:r>
      <w:r>
        <w:rPr>
          <w:rFonts w:hint="default" w:ascii="Times New Roman" w:hAnsi="Times New Roman" w:eastAsia="仿宋_GB2312" w:cs="Times New Roman"/>
          <w:kern w:val="2"/>
          <w:sz w:val="32"/>
          <w:szCs w:val="32"/>
          <w:highlight w:val="none"/>
          <w:lang w:val="en-US" w:eastAsia="zh-CN" w:bidi="ar-SA"/>
        </w:rPr>
        <w:t>对项目申报单位的资金自筹能力和项目建设能力进行核实，并对拟建设项目进行调研，保留项目建设相关影像或图片，并按要求对项目进行评审。</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（三）审核审批。</w:t>
      </w:r>
      <w:r>
        <w:rPr>
          <w:rFonts w:hint="default" w:ascii="Times New Roman" w:hAnsi="Times New Roman" w:eastAsia="仿宋_GB2312" w:cs="Times New Roman"/>
          <w:kern w:val="2"/>
          <w:sz w:val="32"/>
          <w:szCs w:val="32"/>
          <w:highlight w:val="none"/>
          <w:lang w:val="en-US" w:eastAsia="zh-CN" w:bidi="ar-SA"/>
        </w:rPr>
        <w:t>严格按照项目流程进行立项审批，并在政府门户网站公示无异议后审定上报。</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（四）自主建设。</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项目单位必须严格按照项目实施方案自主组织实施。并建立项目台账，完整反映项目的投资情况。</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（五）第三方评估</w:t>
      </w:r>
      <w:r>
        <w:rPr>
          <w:rFonts w:hint="eastAsia" w:eastAsia="楷体_GB2312" w:cs="Times New Roman"/>
          <w:kern w:val="2"/>
          <w:sz w:val="32"/>
          <w:szCs w:val="32"/>
          <w:highlight w:val="none"/>
          <w:lang w:val="en-US" w:eastAsia="zh-CN" w:bidi="ar-SA"/>
        </w:rPr>
        <w:t>。</w:t>
      </w:r>
      <w:r>
        <w:rPr>
          <w:rFonts w:hint="eastAsia" w:eastAsia="仿宋_GB2312" w:cs="Times New Roman"/>
          <w:color w:val="auto"/>
          <w:kern w:val="2"/>
          <w:sz w:val="32"/>
          <w:szCs w:val="32"/>
          <w:highlight w:val="none"/>
          <w:shd w:val="clear" w:color="auto" w:fill="auto"/>
          <w:lang w:val="en-US" w:eastAsia="zh-CN" w:bidi="ar-SA"/>
        </w:rPr>
        <w:t>第三方评估公司由项目实施主体自主选择，</w:t>
      </w:r>
      <w:r>
        <w:rPr>
          <w:rFonts w:hint="eastAsia" w:ascii="仿宋_GB2312" w:hAnsi="仿宋_GB2312" w:eastAsia="仿宋_GB2312" w:cs="仿宋_GB2312"/>
          <w:kern w:val="2"/>
          <w:sz w:val="32"/>
          <w:szCs w:val="32"/>
          <w:highlight w:val="none"/>
          <w:lang w:val="en-US" w:eastAsia="zh-CN" w:bidi="ar-SA"/>
        </w:rPr>
        <w:t>对项目进行评估，并出具评估报告。</w:t>
      </w:r>
      <w:r>
        <w:rPr>
          <w:rFonts w:hint="eastAsia" w:eastAsia="仿宋_GB2312" w:cs="Times New Roman"/>
          <w:color w:val="auto"/>
          <w:kern w:val="2"/>
          <w:sz w:val="32"/>
          <w:szCs w:val="32"/>
          <w:highlight w:val="none"/>
          <w:shd w:val="clear" w:color="auto" w:fill="auto"/>
          <w:lang w:val="en-US" w:eastAsia="zh-CN" w:bidi="ar-SA"/>
        </w:rPr>
        <w:t>评估公司必须是有合法手续及资质的单位，评估费费用由项目实施主体支付。</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六</w:t>
      </w:r>
      <w:r>
        <w:rPr>
          <w:rFonts w:hint="eastAsia" w:eastAsia="楷体_GB2312" w:cs="Times New Roman"/>
          <w:kern w:val="2"/>
          <w:sz w:val="32"/>
          <w:szCs w:val="32"/>
          <w:highlight w:val="none"/>
          <w:lang w:val="en-US" w:eastAsia="zh-CN" w:bidi="ar-SA"/>
        </w:rPr>
        <w:t>）项目</w:t>
      </w:r>
      <w:r>
        <w:rPr>
          <w:rFonts w:hint="default" w:ascii="Times New Roman" w:hAnsi="Times New Roman" w:eastAsia="楷体_GB2312" w:cs="Times New Roman"/>
          <w:kern w:val="2"/>
          <w:sz w:val="32"/>
          <w:szCs w:val="32"/>
          <w:highlight w:val="none"/>
          <w:lang w:val="en-US" w:eastAsia="zh-CN" w:bidi="ar-SA"/>
        </w:rPr>
        <w:t>验收。</w:t>
      </w:r>
      <w:r>
        <w:rPr>
          <w:rFonts w:hint="default" w:ascii="Times New Roman" w:hAnsi="Times New Roman" w:eastAsia="仿宋_GB2312" w:cs="Times New Roman"/>
          <w:kern w:val="2"/>
          <w:sz w:val="32"/>
          <w:szCs w:val="32"/>
          <w:highlight w:val="none"/>
          <w:lang w:val="en-US" w:eastAsia="zh-CN" w:bidi="ar-SA"/>
        </w:rPr>
        <w:t>项目竣工</w:t>
      </w:r>
      <w:r>
        <w:rPr>
          <w:rFonts w:hint="eastAsia" w:eastAsia="仿宋_GB2312" w:cs="Times New Roman"/>
          <w:kern w:val="2"/>
          <w:sz w:val="32"/>
          <w:szCs w:val="32"/>
          <w:highlight w:val="none"/>
          <w:lang w:val="en-US" w:eastAsia="zh-CN" w:bidi="ar-SA"/>
        </w:rPr>
        <w:t>并取得第三方评估报告</w:t>
      </w:r>
      <w:r>
        <w:rPr>
          <w:rFonts w:hint="default" w:ascii="Times New Roman" w:hAnsi="Times New Roman" w:eastAsia="仿宋_GB2312" w:cs="Times New Roman"/>
          <w:kern w:val="2"/>
          <w:sz w:val="32"/>
          <w:szCs w:val="32"/>
          <w:highlight w:val="none"/>
          <w:lang w:val="en-US" w:eastAsia="zh-CN" w:bidi="ar-SA"/>
        </w:rPr>
        <w:t>后</w:t>
      </w:r>
      <w:r>
        <w:rPr>
          <w:rFonts w:hint="eastAsia" w:eastAsia="仿宋_GB2312" w:cs="Times New Roman"/>
          <w:kern w:val="2"/>
          <w:sz w:val="32"/>
          <w:szCs w:val="32"/>
          <w:highlight w:val="none"/>
          <w:lang w:val="en-US" w:eastAsia="zh-CN" w:bidi="ar-SA"/>
        </w:rPr>
        <w:t>及时开展</w:t>
      </w:r>
      <w:r>
        <w:rPr>
          <w:rFonts w:hint="default" w:ascii="Times New Roman" w:hAnsi="Times New Roman" w:eastAsia="仿宋_GB2312" w:cs="Times New Roman"/>
          <w:kern w:val="2"/>
          <w:sz w:val="32"/>
          <w:szCs w:val="32"/>
          <w:highlight w:val="none"/>
          <w:lang w:val="en-US" w:eastAsia="zh-CN" w:bidi="ar-SA"/>
        </w:rPr>
        <w:t>验收</w:t>
      </w:r>
      <w:r>
        <w:rPr>
          <w:rFonts w:hint="eastAsia" w:eastAsia="仿宋_GB2312" w:cs="Times New Roman"/>
          <w:kern w:val="2"/>
          <w:sz w:val="32"/>
          <w:szCs w:val="32"/>
          <w:highlight w:val="none"/>
          <w:lang w:val="en-US" w:eastAsia="zh-CN" w:bidi="ar-SA"/>
        </w:rPr>
        <w:t>，项目验收需项目所在地村级、镇级相关人员、脱贫户（监测户）及行业部门参与</w:t>
      </w:r>
      <w:r>
        <w:rPr>
          <w:rFonts w:hint="default" w:ascii="Times New Roman" w:hAnsi="Times New Roman" w:eastAsia="仿宋_GB2312" w:cs="Times New Roman"/>
          <w:kern w:val="2"/>
          <w:sz w:val="32"/>
          <w:szCs w:val="32"/>
          <w:highlight w:val="none"/>
          <w:lang w:val="en-US" w:eastAsia="zh-CN" w:bidi="ar-SA"/>
        </w:rPr>
        <w:t>。验收完成后，15个工作日内形成项目竣工验收报告书，对验收合格的项目，明确拨付资金意见；对验收不合格的项目，给予一个月的整改期限，经过整改仍验收不合格的项目，应收回已拨付的财政衔接补助资金</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项目单位应及时按照一项一档完善项目建设资料</w:t>
      </w:r>
      <w:r>
        <w:rPr>
          <w:rFonts w:hint="eastAsia" w:eastAsia="仿宋_GB2312" w:cs="Times New Roman"/>
          <w:kern w:val="2"/>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（七）以下情况为验收不合格。</w:t>
      </w:r>
      <w:r>
        <w:rPr>
          <w:rFonts w:hint="default" w:ascii="Times New Roman" w:hAnsi="Times New Roman" w:eastAsia="仿宋_GB2312" w:cs="Times New Roman"/>
          <w:kern w:val="2"/>
          <w:sz w:val="32"/>
          <w:szCs w:val="32"/>
          <w:highlight w:val="none"/>
          <w:lang w:val="en-US" w:eastAsia="zh-CN" w:bidi="ar-SA"/>
        </w:rPr>
        <w:t>项目实施规模达不到计划规模90%的；项目单位未经允许擅自调整建设内容和补助标准、不按要求组织实施的。</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（八）信息公开。</w:t>
      </w:r>
      <w:r>
        <w:rPr>
          <w:rFonts w:hint="default" w:ascii="Times New Roman" w:hAnsi="Times New Roman" w:eastAsia="仿宋_GB2312" w:cs="Times New Roman"/>
          <w:kern w:val="2"/>
          <w:sz w:val="32"/>
          <w:szCs w:val="32"/>
          <w:highlight w:val="none"/>
          <w:lang w:val="en-US" w:eastAsia="zh-CN" w:bidi="ar-SA"/>
        </w:rPr>
        <w:t>项目单位要设立公示公告牌，将项目建设情况在项目实施地点或项目所在镇、村予以公示，公示内容包括建设内容、规模、项目资金总投入、财政衔接资金补助投入等。</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九</w:t>
      </w:r>
      <w:r>
        <w:rPr>
          <w:rFonts w:hint="eastAsia"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kern w:val="2"/>
          <w:sz w:val="32"/>
          <w:szCs w:val="32"/>
          <w:highlight w:val="none"/>
          <w:lang w:val="en-US" w:eastAsia="zh-CN" w:bidi="ar-SA"/>
        </w:rPr>
        <w:t>联农带农。</w:t>
      </w:r>
      <w:r>
        <w:rPr>
          <w:rFonts w:hint="default" w:ascii="Times New Roman" w:hAnsi="Times New Roman" w:eastAsia="仿宋_GB2312" w:cs="Times New Roman"/>
          <w:kern w:val="2"/>
          <w:sz w:val="32"/>
          <w:szCs w:val="32"/>
          <w:highlight w:val="none"/>
          <w:lang w:val="en-US" w:eastAsia="zh-CN" w:bidi="ar-SA"/>
        </w:rPr>
        <w:t>项目单位在后续经营过程中落实联农带农机制，提升乡村产业发展水平、促进农民持续稳定增收。</w:t>
      </w:r>
      <w:r>
        <w:rPr>
          <w:rFonts w:hint="eastAsia" w:eastAsia="仿宋_GB2312" w:cs="Times New Roman"/>
          <w:kern w:val="2"/>
          <w:sz w:val="32"/>
          <w:szCs w:val="32"/>
          <w:highlight w:val="none"/>
          <w:lang w:val="en-US" w:eastAsia="zh-CN" w:bidi="ar-SA"/>
        </w:rPr>
        <w:t>按照</w:t>
      </w:r>
      <w:r>
        <w:rPr>
          <w:rFonts w:hint="default" w:ascii="Times New Roman" w:hAnsi="Times New Roman" w:eastAsia="仿宋_GB2312" w:cs="Times New Roman"/>
          <w:kern w:val="2"/>
          <w:sz w:val="32"/>
          <w:szCs w:val="32"/>
          <w:highlight w:val="none"/>
          <w:lang w:val="en-US" w:eastAsia="zh-CN" w:bidi="ar-SA"/>
        </w:rPr>
        <w:t>《自治区实施乡村振兴战略指挥部办公室关于印发〈关于健全完善帮扶项目联农带农机制的实施方案〉的通知》</w:t>
      </w:r>
      <w:r>
        <w:rPr>
          <w:rFonts w:hint="eastAsia" w:eastAsia="仿宋_GB2312" w:cs="Times New Roman"/>
          <w:kern w:val="2"/>
          <w:sz w:val="32"/>
          <w:szCs w:val="32"/>
          <w:highlight w:val="none"/>
          <w:lang w:val="en-US" w:eastAsia="zh-CN" w:bidi="ar-SA"/>
        </w:rPr>
        <w:t>（桂乡村指办发〔2022〕92号）文件指导，开展</w:t>
      </w:r>
      <w:r>
        <w:rPr>
          <w:rFonts w:hint="default" w:ascii="Times New Roman" w:hAnsi="Times New Roman" w:eastAsia="仿宋_GB2312" w:cs="Times New Roman"/>
          <w:kern w:val="2"/>
          <w:sz w:val="32"/>
          <w:szCs w:val="32"/>
          <w:highlight w:val="none"/>
          <w:lang w:val="en-US" w:eastAsia="zh-CN" w:bidi="ar-SA"/>
        </w:rPr>
        <w:t>不少于3种方式联农带农。推进股份合作、订单合同、服务协作、流转聘用等利益联结模式，让农民更多分享产业增值效益。</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kern w:val="2"/>
          <w:sz w:val="32"/>
          <w:szCs w:val="32"/>
          <w:highlight w:val="none"/>
          <w:lang w:val="en-US" w:eastAsia="zh-CN" w:bidi="ar-SA"/>
        </w:rPr>
        <w:t>（十）资产确权。</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资产按获取</w:t>
      </w:r>
      <w:r>
        <w:rPr>
          <w:rFonts w:hint="default" w:ascii="Times New Roman" w:hAnsi="Times New Roman" w:eastAsia="仿宋_GB2312" w:cs="Times New Roman"/>
          <w:sz w:val="32"/>
          <w:szCs w:val="32"/>
          <w:highlight w:val="none"/>
        </w:rPr>
        <w:t>补助补贴</w:t>
      </w:r>
      <w:r>
        <w:rPr>
          <w:rFonts w:hint="default" w:ascii="Times New Roman" w:hAnsi="Times New Roman" w:eastAsia="仿宋_GB2312" w:cs="Times New Roman"/>
          <w:sz w:val="32"/>
          <w:szCs w:val="32"/>
          <w:highlight w:val="none"/>
          <w:lang w:eastAsia="zh-CN"/>
        </w:rPr>
        <w:t>资金总额确权至村集体归村集体所有。</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w:t>
      </w:r>
      <w:r>
        <w:rPr>
          <w:rFonts w:hint="eastAsia" w:eastAsia="楷体_GB2312" w:cs="Times New Roman"/>
          <w:kern w:val="2"/>
          <w:sz w:val="32"/>
          <w:szCs w:val="32"/>
          <w:highlight w:val="none"/>
          <w:lang w:val="en-US" w:eastAsia="zh-CN" w:bidi="ar-SA"/>
        </w:rPr>
        <w:t>十一</w:t>
      </w:r>
      <w:r>
        <w:rPr>
          <w:rFonts w:hint="default" w:ascii="Times New Roman" w:hAnsi="Times New Roman" w:eastAsia="楷体_GB2312" w:cs="Times New Roman"/>
          <w:kern w:val="2"/>
          <w:sz w:val="32"/>
          <w:szCs w:val="32"/>
          <w:highlight w:val="none"/>
          <w:lang w:val="en-US" w:eastAsia="zh-CN" w:bidi="ar-SA"/>
        </w:rPr>
        <w:t>）后续管护。</w:t>
      </w:r>
      <w:r>
        <w:rPr>
          <w:rFonts w:hint="default" w:ascii="Times New Roman" w:hAnsi="Times New Roman" w:eastAsia="仿宋_GB2312" w:cs="Times New Roman"/>
          <w:sz w:val="32"/>
          <w:szCs w:val="32"/>
          <w:highlight w:val="none"/>
          <w:lang w:eastAsia="zh-CN"/>
        </w:rPr>
        <w:t>后续资产管护参照</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广西壮族自治区人民政府办公厅关于印发</w:t>
      </w:r>
      <w:r>
        <w:rPr>
          <w:rFonts w:hint="default" w:ascii="Times New Roman" w:hAnsi="Times New Roman" w:eastAsia="仿宋_GB2312" w:cs="Times New Roman"/>
          <w:sz w:val="32"/>
          <w:szCs w:val="32"/>
          <w:highlight w:val="none"/>
          <w:lang w:eastAsia="zh-CN"/>
        </w:rPr>
        <w:t>广西扶贫项目资产管理办法</w:t>
      </w:r>
      <w:r>
        <w:rPr>
          <w:rFonts w:hint="eastAsia" w:eastAsia="仿宋_GB2312" w:cs="Times New Roman"/>
          <w:sz w:val="32"/>
          <w:szCs w:val="32"/>
          <w:highlight w:val="none"/>
          <w:lang w:val="en-US" w:eastAsia="zh-CN"/>
        </w:rPr>
        <w:t>的通知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（桂政办发（2021）83号）</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《柳江区扶贫产业项目资产管护制度》对资产进行管护。</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六、资金管理</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先建后补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以奖代补</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资金按照先验收后拨付的要求管理</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或项目建设进度超过60%工作量后</w:t>
      </w:r>
      <w:bookmarkStart w:id="1" w:name="OLE_LINK3"/>
      <w:r>
        <w:rPr>
          <w:rFonts w:hint="eastAsia" w:eastAsia="仿宋_GB2312" w:cs="Times New Roman"/>
          <w:kern w:val="2"/>
          <w:sz w:val="32"/>
          <w:szCs w:val="32"/>
          <w:highlight w:val="none"/>
          <w:lang w:val="en-US" w:eastAsia="zh-CN" w:bidi="ar-SA"/>
        </w:rPr>
        <w:t>(项目建设进度工作量要求项目实施</w:t>
      </w:r>
      <w:bookmarkStart w:id="3" w:name="_GoBack"/>
      <w:bookmarkEnd w:id="3"/>
      <w:r>
        <w:rPr>
          <w:rFonts w:hint="eastAsia" w:eastAsia="仿宋_GB2312" w:cs="Times New Roman"/>
          <w:kern w:val="2"/>
          <w:sz w:val="32"/>
          <w:szCs w:val="32"/>
          <w:highlight w:val="none"/>
          <w:lang w:val="en-US" w:eastAsia="zh-CN" w:bidi="ar-SA"/>
        </w:rPr>
        <w:t>主体提供该项目的工程进度表、项目费用支出明细、项目费用支出凭证等能证明项目建设支付费用的佐证材料）</w:t>
      </w:r>
      <w:bookmarkEnd w:id="1"/>
      <w:r>
        <w:rPr>
          <w:rFonts w:hint="default" w:ascii="Times New Roman" w:hAnsi="Times New Roman" w:eastAsia="仿宋_GB2312" w:cs="Times New Roman"/>
          <w:kern w:val="2"/>
          <w:sz w:val="32"/>
          <w:szCs w:val="32"/>
          <w:highlight w:val="none"/>
          <w:lang w:val="en-US" w:eastAsia="zh-CN" w:bidi="ar-SA"/>
        </w:rPr>
        <w:t>，经项目申请人申请</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行业主管部门出具审核意见后，可预付部分项目补助资金，预付比例在确保资金安全的前提下，最高预付比例不超过</w:t>
      </w:r>
      <w:bookmarkStart w:id="2" w:name="OLE_LINK2"/>
      <w:r>
        <w:rPr>
          <w:rFonts w:hint="default" w:ascii="Times New Roman" w:hAnsi="Times New Roman" w:eastAsia="仿宋_GB2312" w:cs="Times New Roman"/>
          <w:kern w:val="2"/>
          <w:sz w:val="32"/>
          <w:szCs w:val="32"/>
          <w:highlight w:val="none"/>
          <w:lang w:val="en-US" w:eastAsia="zh-CN" w:bidi="ar-SA"/>
        </w:rPr>
        <w:t>总项目补助款</w:t>
      </w:r>
      <w:bookmarkEnd w:id="2"/>
      <w:r>
        <w:rPr>
          <w:rFonts w:hint="default" w:ascii="Times New Roman" w:hAnsi="Times New Roman" w:eastAsia="仿宋_GB2312" w:cs="Times New Roman"/>
          <w:kern w:val="2"/>
          <w:sz w:val="32"/>
          <w:szCs w:val="32"/>
          <w:highlight w:val="none"/>
          <w:lang w:val="en-US" w:eastAsia="zh-CN" w:bidi="ar-SA"/>
        </w:rPr>
        <w:t>的30%。</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总项目补助款</w:t>
      </w:r>
      <w:r>
        <w:rPr>
          <w:rFonts w:hint="eastAsia" w:eastAsia="仿宋_GB2312" w:cs="Times New Roman"/>
          <w:kern w:val="2"/>
          <w:sz w:val="32"/>
          <w:szCs w:val="32"/>
          <w:highlight w:val="none"/>
          <w:u w:val="double" w:color="FFFFFF" w:themeColor="background1"/>
          <w:lang w:val="en-US" w:eastAsia="zh-CN" w:bidi="ar-SA"/>
        </w:rPr>
        <w:t>以政府下达的资金补助文件为准)</w: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2JlMDY2OWVjM2I2NjEwNDVlYTI0MjQzMjJmMTcifQ=="/>
    <w:docVar w:name="KSO_WPS_MARK_KEY" w:val="5941e22e-c6ab-4fcd-b37e-0590bcc1b418"/>
  </w:docVars>
  <w:rsids>
    <w:rsidRoot w:val="2B3F4402"/>
    <w:rsid w:val="000372A7"/>
    <w:rsid w:val="0008603B"/>
    <w:rsid w:val="001152B3"/>
    <w:rsid w:val="00117FD5"/>
    <w:rsid w:val="0014072F"/>
    <w:rsid w:val="00172EC9"/>
    <w:rsid w:val="00204D90"/>
    <w:rsid w:val="00211660"/>
    <w:rsid w:val="00212D4E"/>
    <w:rsid w:val="002F4058"/>
    <w:rsid w:val="003204FD"/>
    <w:rsid w:val="00386C05"/>
    <w:rsid w:val="004350A5"/>
    <w:rsid w:val="004E60CF"/>
    <w:rsid w:val="00506266"/>
    <w:rsid w:val="00531238"/>
    <w:rsid w:val="0054747F"/>
    <w:rsid w:val="00554ED6"/>
    <w:rsid w:val="005C651C"/>
    <w:rsid w:val="00610A66"/>
    <w:rsid w:val="00627BFE"/>
    <w:rsid w:val="00665990"/>
    <w:rsid w:val="00674A56"/>
    <w:rsid w:val="006A5571"/>
    <w:rsid w:val="00757BD7"/>
    <w:rsid w:val="007B639C"/>
    <w:rsid w:val="008110EA"/>
    <w:rsid w:val="00855E0D"/>
    <w:rsid w:val="00900D0A"/>
    <w:rsid w:val="009501E0"/>
    <w:rsid w:val="00954FCB"/>
    <w:rsid w:val="00965F38"/>
    <w:rsid w:val="0097408F"/>
    <w:rsid w:val="00992796"/>
    <w:rsid w:val="00A35C45"/>
    <w:rsid w:val="00A42B9C"/>
    <w:rsid w:val="00A66CA1"/>
    <w:rsid w:val="00A83921"/>
    <w:rsid w:val="00AD02A4"/>
    <w:rsid w:val="00B501B2"/>
    <w:rsid w:val="00B72B48"/>
    <w:rsid w:val="00BB1E63"/>
    <w:rsid w:val="00C95129"/>
    <w:rsid w:val="00CA68A6"/>
    <w:rsid w:val="00CD10DB"/>
    <w:rsid w:val="00D439FD"/>
    <w:rsid w:val="00D64DFD"/>
    <w:rsid w:val="00DD058A"/>
    <w:rsid w:val="00E1696A"/>
    <w:rsid w:val="00E60637"/>
    <w:rsid w:val="00E922D1"/>
    <w:rsid w:val="00EE01BC"/>
    <w:rsid w:val="00F3043C"/>
    <w:rsid w:val="012C2133"/>
    <w:rsid w:val="014317DA"/>
    <w:rsid w:val="01662397"/>
    <w:rsid w:val="01C76450"/>
    <w:rsid w:val="05154D47"/>
    <w:rsid w:val="05A6134B"/>
    <w:rsid w:val="06B238FA"/>
    <w:rsid w:val="07C65825"/>
    <w:rsid w:val="08014D1E"/>
    <w:rsid w:val="082D6F4F"/>
    <w:rsid w:val="08D21C65"/>
    <w:rsid w:val="095A4ED0"/>
    <w:rsid w:val="09BF4013"/>
    <w:rsid w:val="0C0B03BD"/>
    <w:rsid w:val="0D7A2E7E"/>
    <w:rsid w:val="0D8E431D"/>
    <w:rsid w:val="0E3F5F15"/>
    <w:rsid w:val="0F825C16"/>
    <w:rsid w:val="10D92DE4"/>
    <w:rsid w:val="11D755AF"/>
    <w:rsid w:val="13E71D15"/>
    <w:rsid w:val="14116E7D"/>
    <w:rsid w:val="145426CA"/>
    <w:rsid w:val="146E3C2F"/>
    <w:rsid w:val="15205ED3"/>
    <w:rsid w:val="16C076AE"/>
    <w:rsid w:val="183C11E5"/>
    <w:rsid w:val="19AF6A4E"/>
    <w:rsid w:val="1B173573"/>
    <w:rsid w:val="1B2B04A0"/>
    <w:rsid w:val="1B516B94"/>
    <w:rsid w:val="1C1F6B45"/>
    <w:rsid w:val="1E4C2EB2"/>
    <w:rsid w:val="1E6311F9"/>
    <w:rsid w:val="201445CA"/>
    <w:rsid w:val="20970C89"/>
    <w:rsid w:val="20D365A1"/>
    <w:rsid w:val="21DE188A"/>
    <w:rsid w:val="220D353D"/>
    <w:rsid w:val="22967136"/>
    <w:rsid w:val="22BC2B77"/>
    <w:rsid w:val="22D50814"/>
    <w:rsid w:val="22FC49A9"/>
    <w:rsid w:val="246E6A3E"/>
    <w:rsid w:val="24953986"/>
    <w:rsid w:val="24AB6D85"/>
    <w:rsid w:val="250221C3"/>
    <w:rsid w:val="25315E12"/>
    <w:rsid w:val="25D86659"/>
    <w:rsid w:val="264113B1"/>
    <w:rsid w:val="266877EA"/>
    <w:rsid w:val="27856DA5"/>
    <w:rsid w:val="284032F7"/>
    <w:rsid w:val="289B00D8"/>
    <w:rsid w:val="2A170DBF"/>
    <w:rsid w:val="2A221A64"/>
    <w:rsid w:val="2ABA64A8"/>
    <w:rsid w:val="2AD4063D"/>
    <w:rsid w:val="2AE721E0"/>
    <w:rsid w:val="2B1423E7"/>
    <w:rsid w:val="2B3F4402"/>
    <w:rsid w:val="2B422C33"/>
    <w:rsid w:val="2B630574"/>
    <w:rsid w:val="2B7E2359"/>
    <w:rsid w:val="2C250632"/>
    <w:rsid w:val="2DB87198"/>
    <w:rsid w:val="2E033609"/>
    <w:rsid w:val="2ECF3CE9"/>
    <w:rsid w:val="3081689D"/>
    <w:rsid w:val="31B672DE"/>
    <w:rsid w:val="31F93909"/>
    <w:rsid w:val="32670DBC"/>
    <w:rsid w:val="33BE4DBC"/>
    <w:rsid w:val="35CE06F5"/>
    <w:rsid w:val="36107446"/>
    <w:rsid w:val="36CF60F3"/>
    <w:rsid w:val="37552BAC"/>
    <w:rsid w:val="3787198A"/>
    <w:rsid w:val="37FD7BEE"/>
    <w:rsid w:val="380F20AB"/>
    <w:rsid w:val="38513512"/>
    <w:rsid w:val="38A033AA"/>
    <w:rsid w:val="399A7ECF"/>
    <w:rsid w:val="3A3F608A"/>
    <w:rsid w:val="3B03007B"/>
    <w:rsid w:val="3B582732"/>
    <w:rsid w:val="3BA53844"/>
    <w:rsid w:val="3BBA6F5D"/>
    <w:rsid w:val="3CBC663B"/>
    <w:rsid w:val="3E1370FD"/>
    <w:rsid w:val="3E2660BE"/>
    <w:rsid w:val="3E633D72"/>
    <w:rsid w:val="3E834C59"/>
    <w:rsid w:val="3ECA1007"/>
    <w:rsid w:val="3F1C3916"/>
    <w:rsid w:val="3F7B0550"/>
    <w:rsid w:val="3F906685"/>
    <w:rsid w:val="3FFD2D2F"/>
    <w:rsid w:val="40E402D7"/>
    <w:rsid w:val="41132E85"/>
    <w:rsid w:val="41175D43"/>
    <w:rsid w:val="41A345CE"/>
    <w:rsid w:val="424D3328"/>
    <w:rsid w:val="43937740"/>
    <w:rsid w:val="45BD2C00"/>
    <w:rsid w:val="47AF424F"/>
    <w:rsid w:val="48B83213"/>
    <w:rsid w:val="4A6E7573"/>
    <w:rsid w:val="4BD0598E"/>
    <w:rsid w:val="4C811A73"/>
    <w:rsid w:val="4F05734C"/>
    <w:rsid w:val="4F9964CB"/>
    <w:rsid w:val="4FFF6A9D"/>
    <w:rsid w:val="50BC0ABD"/>
    <w:rsid w:val="52334092"/>
    <w:rsid w:val="525D2AEA"/>
    <w:rsid w:val="52824E7D"/>
    <w:rsid w:val="529A2BCF"/>
    <w:rsid w:val="52A01208"/>
    <w:rsid w:val="54A83EAA"/>
    <w:rsid w:val="55052DA6"/>
    <w:rsid w:val="556829A3"/>
    <w:rsid w:val="55B17EA6"/>
    <w:rsid w:val="56046511"/>
    <w:rsid w:val="56602A3F"/>
    <w:rsid w:val="56685F9F"/>
    <w:rsid w:val="569B0DA6"/>
    <w:rsid w:val="5737262D"/>
    <w:rsid w:val="57C146EF"/>
    <w:rsid w:val="581F0B04"/>
    <w:rsid w:val="583449D2"/>
    <w:rsid w:val="583F0C18"/>
    <w:rsid w:val="58892AAD"/>
    <w:rsid w:val="599900E5"/>
    <w:rsid w:val="59AA736A"/>
    <w:rsid w:val="5AB357AD"/>
    <w:rsid w:val="5B82727F"/>
    <w:rsid w:val="5D07773A"/>
    <w:rsid w:val="5DFE24F1"/>
    <w:rsid w:val="5E1C65DE"/>
    <w:rsid w:val="5E242E04"/>
    <w:rsid w:val="5EE9164A"/>
    <w:rsid w:val="5EF72E43"/>
    <w:rsid w:val="610B1C8D"/>
    <w:rsid w:val="61D65960"/>
    <w:rsid w:val="62902F81"/>
    <w:rsid w:val="62D1181F"/>
    <w:rsid w:val="63954740"/>
    <w:rsid w:val="647014C7"/>
    <w:rsid w:val="64D26578"/>
    <w:rsid w:val="652441AE"/>
    <w:rsid w:val="66186012"/>
    <w:rsid w:val="66ED4E7B"/>
    <w:rsid w:val="676257B5"/>
    <w:rsid w:val="68741716"/>
    <w:rsid w:val="6AD91293"/>
    <w:rsid w:val="6D012145"/>
    <w:rsid w:val="6D164A2C"/>
    <w:rsid w:val="6D587D5E"/>
    <w:rsid w:val="6D666164"/>
    <w:rsid w:val="6E06131B"/>
    <w:rsid w:val="6E0A5B28"/>
    <w:rsid w:val="6E916CAA"/>
    <w:rsid w:val="6FB25651"/>
    <w:rsid w:val="70030E51"/>
    <w:rsid w:val="70610024"/>
    <w:rsid w:val="74D40CBE"/>
    <w:rsid w:val="78634DFA"/>
    <w:rsid w:val="78D35055"/>
    <w:rsid w:val="78E4358A"/>
    <w:rsid w:val="792878DD"/>
    <w:rsid w:val="79B84C5B"/>
    <w:rsid w:val="7A9452D7"/>
    <w:rsid w:val="7A997DE5"/>
    <w:rsid w:val="7BB7643E"/>
    <w:rsid w:val="7BBB71AF"/>
    <w:rsid w:val="7BD43069"/>
    <w:rsid w:val="7D59349F"/>
    <w:rsid w:val="7DAA2941"/>
    <w:rsid w:val="7DB62A7C"/>
    <w:rsid w:val="7DC00DA5"/>
    <w:rsid w:val="7E227E81"/>
    <w:rsid w:val="7EB93D52"/>
    <w:rsid w:val="7F557BDF"/>
    <w:rsid w:val="7FB50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style>
  <w:style w:type="paragraph" w:styleId="3">
    <w:name w:val="Title"/>
    <w:basedOn w:val="1"/>
    <w:next w:val="1"/>
    <w:qFormat/>
    <w:uiPriority w:val="10"/>
    <w:pPr>
      <w:widowControl w:val="0"/>
      <w:spacing w:beforeLines="100" w:afterLines="100"/>
      <w:jc w:val="center"/>
      <w:outlineLvl w:val="0"/>
    </w:pPr>
    <w:rPr>
      <w:rFonts w:ascii="Arial" w:hAnsi="Arial" w:eastAsia="黑体" w:cs="Arial"/>
      <w:bCs/>
      <w:kern w:val="2"/>
      <w:sz w:val="44"/>
      <w:szCs w:val="32"/>
      <w:lang w:val="en-US" w:eastAsia="zh-CN" w:bidi="ar-SA"/>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Salutation"/>
    <w:basedOn w:val="1"/>
    <w:next w:val="1"/>
    <w:unhideWhenUsed/>
    <w:qFormat/>
    <w:uiPriority w:val="99"/>
    <w:pPr>
      <w:widowControl w:val="0"/>
      <w:suppressAutoHyphens w:val="0"/>
      <w:autoSpaceDE/>
      <w:autoSpaceDN/>
      <w:adjustRightInd/>
      <w:snapToGrid/>
      <w:spacing w:line="240" w:lineRule="auto"/>
    </w:pPr>
    <w:rPr>
      <w:rFonts w:ascii="Cambria" w:hAnsi="Cambria" w:eastAsia="宋体"/>
      <w:caps/>
      <w:color w:val="632423"/>
      <w:spacing w:val="50"/>
      <w:kern w:val="0"/>
      <w:sz w:val="44"/>
      <w:szCs w:val="44"/>
      <w:lang w:bidi="en-US"/>
    </w:rPr>
  </w:style>
  <w:style w:type="paragraph" w:styleId="6">
    <w:name w:val="footer"/>
    <w:basedOn w:val="1"/>
    <w:link w:val="16"/>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link w:val="15"/>
    <w:unhideWhenUsed/>
    <w:qFormat/>
    <w:uiPriority w:val="0"/>
    <w:pPr>
      <w:ind w:firstLine="420" w:firstLineChars="100"/>
    </w:pPr>
    <w:rPr>
      <w:rFonts w:ascii="Times New Roman" w:hAnsi="Times New Roman" w:eastAsia="宋体" w:cs="Times New Roman"/>
    </w:rPr>
  </w:style>
  <w:style w:type="character" w:styleId="11">
    <w:name w:val="Hyperlink"/>
    <w:basedOn w:val="10"/>
    <w:qFormat/>
    <w:uiPriority w:val="0"/>
    <w:rPr>
      <w:color w:val="0000FF"/>
      <w:u w:val="single"/>
    </w:rPr>
  </w:style>
  <w:style w:type="paragraph" w:customStyle="1" w:styleId="12">
    <w:name w:val="BodyText"/>
    <w:next w:val="13"/>
    <w:qFormat/>
    <w:uiPriority w:val="0"/>
    <w:pPr>
      <w:widowControl w:val="0"/>
      <w:ind w:left="102"/>
      <w:jc w:val="both"/>
      <w:textAlignment w:val="baseline"/>
    </w:pPr>
    <w:rPr>
      <w:rFonts w:ascii="宋体" w:hAnsi="宋体" w:eastAsia="宋体" w:cs="Times New Roman"/>
      <w:kern w:val="2"/>
      <w:sz w:val="29"/>
      <w:szCs w:val="24"/>
      <w:lang w:val="en-US" w:eastAsia="zh-CN" w:bidi="ar-SA"/>
    </w:rPr>
  </w:style>
  <w:style w:type="paragraph" w:customStyle="1" w:styleId="13">
    <w:name w:val="181"/>
    <w:next w:val="1"/>
    <w:qFormat/>
    <w:uiPriority w:val="0"/>
    <w:pPr>
      <w:widowControl w:val="0"/>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character" w:customStyle="1" w:styleId="14">
    <w:name w:val="正文文本 Char"/>
    <w:basedOn w:val="10"/>
    <w:link w:val="2"/>
    <w:qFormat/>
    <w:uiPriority w:val="0"/>
    <w:rPr>
      <w:kern w:val="2"/>
      <w:sz w:val="21"/>
      <w:szCs w:val="24"/>
    </w:rPr>
  </w:style>
  <w:style w:type="character" w:customStyle="1" w:styleId="15">
    <w:name w:val="正文首行缩进 Char"/>
    <w:basedOn w:val="14"/>
    <w:link w:val="8"/>
    <w:qFormat/>
    <w:uiPriority w:val="0"/>
    <w:rPr>
      <w:rFonts w:ascii="Times New Roman" w:hAnsi="Times New Roman" w:eastAsia="宋体" w:cs="Times New Roman"/>
      <w:kern w:val="2"/>
      <w:sz w:val="21"/>
      <w:szCs w:val="24"/>
    </w:rPr>
  </w:style>
  <w:style w:type="character" w:customStyle="1" w:styleId="16">
    <w:name w:val="页脚 Char"/>
    <w:basedOn w:val="10"/>
    <w:link w:val="6"/>
    <w:qFormat/>
    <w:uiPriority w:val="0"/>
    <w:rPr>
      <w:rFonts w:ascii="Times New Roman" w:hAnsi="Times New Roman" w:eastAsia="宋体" w:cs="Times New Roman"/>
      <w:kern w:val="2"/>
      <w:sz w:val="18"/>
      <w:szCs w:val="24"/>
    </w:rPr>
  </w:style>
  <w:style w:type="paragraph" w:customStyle="1" w:styleId="17">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6</Pages>
  <Words>2455</Words>
  <Characters>2485</Characters>
  <Lines>8</Lines>
  <Paragraphs>2</Paragraphs>
  <TotalTime>32</TotalTime>
  <ScaleCrop>false</ScaleCrop>
  <LinksUpToDate>false</LinksUpToDate>
  <CharactersWithSpaces>2494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2020-09-09T01:29:00Z</dcterms:created>
  <dc:creator>Administrator</dc:creator>
  <cp:lastModifiedBy>Administrator</cp:lastModifiedBy>
  <cp:lastPrinted>2024-04-07T07:32:00Z</cp:lastPrinted>
  <dcterms:modified xsi:type="dcterms:W3CDTF">2025-05-15T08:46:21Z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C70995035C64445883BEAFA56894F198</vt:lpwstr>
  </property>
</Properties>
</file>