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val="0"/>
        <w:autoSpaceDN w:val="0"/>
        <w:bidi w:val="0"/>
        <w:adjustRightInd/>
        <w:snapToGrid/>
        <w:spacing w:beforeAutospacing="0" w:after="0" w:afterAutospacing="0" w:line="520" w:lineRule="exact"/>
        <w:ind w:right="0"/>
        <w:jc w:val="both"/>
        <w:textAlignment w:val="auto"/>
        <w:rPr>
          <w:rFonts w:hint="eastAsia" w:ascii="黑体" w:hAnsi="黑体" w:eastAsia="黑体" w:cs="黑体"/>
          <w:sz w:val="32"/>
          <w:szCs w:val="32"/>
        </w:rPr>
      </w:pPr>
      <w:r>
        <w:rPr>
          <w:rFonts w:hint="eastAsia" w:ascii="黑体" w:hAnsi="黑体" w:eastAsia="黑体" w:cs="黑体"/>
          <w:b w:val="0"/>
          <w:i w:val="0"/>
          <w:color w:val="000000"/>
          <w:kern w:val="0"/>
          <w:sz w:val="32"/>
          <w:szCs w:val="32"/>
          <w:lang w:val="en-US" w:eastAsia="zh-CN" w:bidi="ar"/>
        </w:rPr>
        <w:t>附件</w:t>
      </w:r>
    </w:p>
    <w:p>
      <w:pPr>
        <w:keepNext w:val="0"/>
        <w:keepLines w:val="0"/>
        <w:pageBreakBefore w:val="0"/>
        <w:widowControl w:val="0"/>
        <w:suppressLineNumbers w:val="0"/>
        <w:kinsoku/>
        <w:wordWrap/>
        <w:overflowPunct/>
        <w:topLinePunct w:val="0"/>
        <w:autoSpaceDE w:val="0"/>
        <w:autoSpaceDN w:val="0"/>
        <w:bidi w:val="0"/>
        <w:adjustRightInd/>
        <w:snapToGrid/>
        <w:spacing w:beforeAutospacing="0" w:after="0" w:afterAutospacing="0" w:line="520" w:lineRule="exact"/>
        <w:ind w:left="0" w:right="0" w:firstLine="620"/>
        <w:jc w:val="center"/>
        <w:textAlignment w:val="auto"/>
        <w:rPr>
          <w:rFonts w:hint="default" w:ascii="等线" w:hAnsi="等线" w:eastAsia="等线" w:cs="等线"/>
          <w:sz w:val="21"/>
          <w:szCs w:val="21"/>
        </w:rPr>
      </w:pPr>
      <w:bookmarkStart w:id="0" w:name="_GoBack"/>
      <w:r>
        <w:rPr>
          <w:rFonts w:hint="eastAsia" w:ascii="方正小标宋简体" w:hAnsi="方正小标宋简体" w:eastAsia="方正小标宋简体" w:cs="方正小标宋简体"/>
          <w:kern w:val="0"/>
          <w:sz w:val="44"/>
          <w:szCs w:val="44"/>
          <w:lang w:val="en-US" w:eastAsia="zh-CN" w:bidi="ar"/>
        </w:rPr>
        <w:t>柳江区区直单位定点帮扶工作绩效考评指标</w:t>
      </w:r>
    </w:p>
    <w:bookmarkEnd w:id="0"/>
    <w:tbl>
      <w:tblPr>
        <w:tblStyle w:val="5"/>
        <w:tblpPr w:leftFromText="180" w:rightFromText="180" w:vertAnchor="text" w:horzAnchor="page" w:tblpX="538" w:tblpY="360"/>
        <w:tblOverlap w:val="never"/>
        <w:tblW w:w="15945"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Layout w:type="fixed"/>
        <w:tblCellMar>
          <w:top w:w="0" w:type="dxa"/>
          <w:left w:w="0" w:type="dxa"/>
          <w:bottom w:w="0" w:type="dxa"/>
          <w:right w:w="0" w:type="dxa"/>
        </w:tblCellMar>
      </w:tblPr>
      <w:tblGrid>
        <w:gridCol w:w="1605"/>
        <w:gridCol w:w="10800"/>
        <w:gridCol w:w="720"/>
        <w:gridCol w:w="675"/>
        <w:gridCol w:w="810"/>
        <w:gridCol w:w="133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556" w:hRule="atLeast"/>
        </w:trPr>
        <w:tc>
          <w:tcPr>
            <w:tcW w:w="1605"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80" w:lineRule="exact"/>
              <w:ind w:left="0" w:right="0"/>
              <w:jc w:val="center"/>
              <w:textAlignment w:val="auto"/>
              <w:rPr>
                <w:rFonts w:hint="eastAsia" w:ascii="楷体" w:hAnsi="楷体" w:eastAsia="楷体" w:cs="楷体"/>
                <w:b/>
                <w:bCs/>
                <w:sz w:val="21"/>
                <w:szCs w:val="21"/>
              </w:rPr>
            </w:pPr>
            <w:r>
              <w:rPr>
                <w:rFonts w:hint="eastAsia" w:ascii="楷体" w:hAnsi="楷体" w:eastAsia="楷体" w:cs="楷体"/>
                <w:b/>
                <w:bCs/>
                <w:kern w:val="0"/>
                <w:sz w:val="21"/>
                <w:szCs w:val="21"/>
                <w:lang w:val="en-US" w:eastAsia="zh-CN" w:bidi="ar"/>
              </w:rPr>
              <w:t>指标名称</w:t>
            </w:r>
          </w:p>
        </w:tc>
        <w:tc>
          <w:tcPr>
            <w:tcW w:w="1080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80" w:lineRule="exact"/>
              <w:ind w:left="0" w:right="0"/>
              <w:jc w:val="center"/>
              <w:textAlignment w:val="auto"/>
              <w:rPr>
                <w:rFonts w:hint="eastAsia" w:ascii="楷体" w:hAnsi="楷体" w:eastAsia="楷体" w:cs="楷体"/>
                <w:b/>
                <w:bCs/>
                <w:sz w:val="21"/>
                <w:szCs w:val="21"/>
              </w:rPr>
            </w:pPr>
            <w:r>
              <w:rPr>
                <w:rFonts w:hint="eastAsia" w:ascii="楷体" w:hAnsi="楷体" w:eastAsia="楷体" w:cs="楷体"/>
                <w:b/>
                <w:bCs/>
                <w:kern w:val="0"/>
                <w:sz w:val="21"/>
                <w:szCs w:val="21"/>
                <w:lang w:val="en-US" w:eastAsia="zh-CN" w:bidi="ar"/>
              </w:rPr>
              <w:t>评分细则</w:t>
            </w:r>
          </w:p>
        </w:tc>
        <w:tc>
          <w:tcPr>
            <w:tcW w:w="72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80" w:lineRule="exact"/>
              <w:ind w:left="0" w:right="0"/>
              <w:jc w:val="center"/>
              <w:textAlignment w:val="auto"/>
              <w:rPr>
                <w:rFonts w:hint="eastAsia" w:ascii="楷体" w:hAnsi="楷体" w:eastAsia="楷体" w:cs="楷体"/>
                <w:b/>
                <w:bCs/>
                <w:sz w:val="21"/>
                <w:szCs w:val="21"/>
              </w:rPr>
            </w:pPr>
            <w:r>
              <w:rPr>
                <w:rFonts w:hint="eastAsia" w:ascii="楷体" w:hAnsi="楷体" w:eastAsia="楷体" w:cs="楷体"/>
                <w:b/>
                <w:bCs/>
                <w:kern w:val="0"/>
                <w:sz w:val="21"/>
                <w:szCs w:val="21"/>
                <w:lang w:val="en-US" w:eastAsia="zh-CN" w:bidi="ar"/>
              </w:rPr>
              <w:t>分值</w:t>
            </w:r>
          </w:p>
        </w:tc>
        <w:tc>
          <w:tcPr>
            <w:tcW w:w="675"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80" w:lineRule="exact"/>
              <w:ind w:left="0" w:right="0"/>
              <w:jc w:val="center"/>
              <w:textAlignment w:val="auto"/>
              <w:rPr>
                <w:rFonts w:hint="eastAsia" w:ascii="楷体" w:hAnsi="楷体" w:eastAsia="楷体" w:cs="楷体"/>
                <w:b/>
                <w:bCs/>
                <w:sz w:val="21"/>
                <w:szCs w:val="21"/>
              </w:rPr>
            </w:pPr>
            <w:r>
              <w:rPr>
                <w:rFonts w:hint="eastAsia" w:ascii="楷体" w:hAnsi="楷体" w:eastAsia="楷体" w:cs="楷体"/>
                <w:b/>
                <w:bCs/>
                <w:kern w:val="0"/>
                <w:sz w:val="21"/>
                <w:szCs w:val="21"/>
                <w:lang w:val="en-US" w:eastAsia="zh-CN" w:bidi="ar"/>
              </w:rPr>
              <w:t>自评</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80" w:lineRule="exact"/>
              <w:ind w:left="0" w:right="0"/>
              <w:jc w:val="center"/>
              <w:textAlignment w:val="auto"/>
              <w:rPr>
                <w:rFonts w:hint="eastAsia" w:ascii="楷体" w:hAnsi="楷体" w:eastAsia="楷体" w:cs="楷体"/>
                <w:b/>
                <w:bCs/>
                <w:sz w:val="21"/>
                <w:szCs w:val="21"/>
              </w:rPr>
            </w:pPr>
            <w:r>
              <w:rPr>
                <w:rFonts w:hint="eastAsia" w:ascii="楷体" w:hAnsi="楷体" w:eastAsia="楷体" w:cs="楷体"/>
                <w:b/>
                <w:bCs/>
                <w:kern w:val="0"/>
                <w:sz w:val="21"/>
                <w:szCs w:val="21"/>
                <w:lang w:val="en-US" w:eastAsia="zh-CN" w:bidi="ar"/>
              </w:rPr>
              <w:t>分数</w:t>
            </w:r>
          </w:p>
        </w:tc>
        <w:tc>
          <w:tcPr>
            <w:tcW w:w="81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80" w:lineRule="exact"/>
              <w:ind w:left="0" w:right="0"/>
              <w:jc w:val="center"/>
              <w:textAlignment w:val="auto"/>
              <w:rPr>
                <w:rFonts w:hint="eastAsia" w:ascii="楷体" w:hAnsi="楷体" w:eastAsia="楷体" w:cs="楷体"/>
                <w:b/>
                <w:bCs/>
                <w:sz w:val="21"/>
                <w:szCs w:val="21"/>
              </w:rPr>
            </w:pPr>
            <w:r>
              <w:rPr>
                <w:rFonts w:hint="eastAsia" w:ascii="楷体" w:hAnsi="楷体" w:eastAsia="楷体" w:cs="楷体"/>
                <w:b/>
                <w:bCs/>
                <w:kern w:val="0"/>
                <w:sz w:val="21"/>
                <w:szCs w:val="21"/>
                <w:lang w:val="en-US" w:eastAsia="zh-CN" w:bidi="ar"/>
              </w:rPr>
              <w:t>佐证材</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80" w:lineRule="exact"/>
              <w:ind w:left="0" w:right="0"/>
              <w:jc w:val="center"/>
              <w:textAlignment w:val="auto"/>
              <w:rPr>
                <w:rFonts w:hint="eastAsia" w:ascii="楷体" w:hAnsi="楷体" w:eastAsia="楷体" w:cs="楷体"/>
                <w:b/>
                <w:bCs/>
                <w:sz w:val="21"/>
                <w:szCs w:val="21"/>
              </w:rPr>
            </w:pPr>
            <w:r>
              <w:rPr>
                <w:rFonts w:hint="eastAsia" w:ascii="楷体" w:hAnsi="楷体" w:eastAsia="楷体" w:cs="楷体"/>
                <w:b/>
                <w:bCs/>
                <w:kern w:val="0"/>
                <w:sz w:val="21"/>
                <w:szCs w:val="21"/>
                <w:lang w:val="en-US" w:eastAsia="zh-CN" w:bidi="ar"/>
              </w:rPr>
              <w:t>料目录</w:t>
            </w:r>
          </w:p>
        </w:tc>
        <w:tc>
          <w:tcPr>
            <w:tcW w:w="1335"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80" w:lineRule="exact"/>
              <w:ind w:left="0" w:right="0"/>
              <w:jc w:val="center"/>
              <w:textAlignment w:val="auto"/>
              <w:rPr>
                <w:rFonts w:hint="eastAsia" w:ascii="楷体" w:hAnsi="楷体" w:eastAsia="楷体" w:cs="楷体"/>
                <w:b/>
                <w:bCs/>
                <w:sz w:val="21"/>
                <w:szCs w:val="21"/>
              </w:rPr>
            </w:pPr>
            <w:r>
              <w:rPr>
                <w:rFonts w:hint="eastAsia" w:ascii="楷体" w:hAnsi="楷体" w:eastAsia="楷体" w:cs="楷体"/>
                <w:b/>
                <w:bCs/>
                <w:kern w:val="0"/>
                <w:sz w:val="21"/>
                <w:szCs w:val="21"/>
                <w:lang w:val="en-US" w:eastAsia="zh-CN" w:bidi="ar"/>
              </w:rPr>
              <w:t>备注</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80" w:lineRule="exact"/>
              <w:ind w:left="0" w:right="0"/>
              <w:jc w:val="center"/>
              <w:textAlignment w:val="auto"/>
              <w:rPr>
                <w:rFonts w:hint="eastAsia" w:ascii="楷体" w:hAnsi="楷体" w:eastAsia="楷体" w:cs="楷体"/>
                <w:b/>
                <w:bCs/>
                <w:sz w:val="21"/>
                <w:szCs w:val="21"/>
              </w:rPr>
            </w:pPr>
            <w:r>
              <w:rPr>
                <w:rFonts w:hint="eastAsia" w:ascii="楷体" w:hAnsi="楷体" w:eastAsia="楷体" w:cs="楷体"/>
                <w:b/>
                <w:bCs/>
                <w:kern w:val="0"/>
                <w:sz w:val="21"/>
                <w:szCs w:val="21"/>
                <w:lang w:val="en-US" w:eastAsia="zh-CN" w:bidi="ar"/>
              </w:rPr>
              <w:t>(核验情况)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1880" w:hRule="atLeast"/>
        </w:trPr>
        <w:tc>
          <w:tcPr>
            <w:tcW w:w="1605"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Autospacing="0" w:after="0" w:afterAutospacing="0" w:line="320" w:lineRule="exact"/>
              <w:ind w:left="0" w:right="0"/>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一、组织领导</w:t>
            </w:r>
          </w:p>
        </w:tc>
        <w:tc>
          <w:tcPr>
            <w:tcW w:w="1080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20" w:lineRule="exact"/>
              <w:ind w:left="0" w:right="0" w:firstLine="210" w:firstLineChars="10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1.选派单位为帮扶村协调解决问题(10分)。单位主要负责同志每年至少2次到帮扶村调研指导、推进工作，分管领导或班子成员每季度至少有1位负责同志到帮扶村调研、协调解决问题。每少一次扣2.5分，最高扣10分。</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20" w:lineRule="exact"/>
              <w:ind w:left="0" w:right="0" w:firstLine="210" w:firstLineChars="10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2.研究部署(10分)。将定点帮扶工作纳入重要议事内容，每年单位研究定点帮扶工作不少于2次，少一次扣5分。</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20" w:lineRule="exact"/>
              <w:ind w:left="0" w:right="0" w:firstLine="210" w:firstLineChars="10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3.落实责任(5分)。单位完善定点帮扶工作责任制，明确单位责任领导、责任科室或机构得满分，少一项扣2.5分，未落实责任的不得分。</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20" w:lineRule="exact"/>
              <w:ind w:left="0" w:right="0" w:firstLine="210" w:firstLineChars="10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4.方案实施(5分)。单位制定并实施本单位定点帮扶工作方案，未实施不得分。</w:t>
            </w:r>
          </w:p>
        </w:tc>
        <w:tc>
          <w:tcPr>
            <w:tcW w:w="72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30</w:t>
            </w:r>
          </w:p>
        </w:tc>
        <w:tc>
          <w:tcPr>
            <w:tcW w:w="675"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320" w:lineRule="exact"/>
              <w:ind w:left="0" w:right="0"/>
              <w:jc w:val="both"/>
              <w:textAlignment w:val="auto"/>
              <w:rPr>
                <w:rFonts w:hint="default" w:ascii="Times New Roman" w:hAnsi="Times New Roman" w:eastAsia="仿宋_GB2312" w:cs="Times New Roman"/>
                <w:sz w:val="21"/>
                <w:szCs w:val="21"/>
              </w:rPr>
            </w:pPr>
          </w:p>
        </w:tc>
        <w:tc>
          <w:tcPr>
            <w:tcW w:w="81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both"/>
              <w:rPr>
                <w:rFonts w:hint="default" w:ascii="等线" w:hAnsi="等线" w:eastAsia="等线" w:cs="等线"/>
                <w:sz w:val="21"/>
                <w:szCs w:val="21"/>
              </w:rPr>
            </w:pPr>
          </w:p>
        </w:tc>
        <w:tc>
          <w:tcPr>
            <w:tcW w:w="1335"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both"/>
              <w:rPr>
                <w:rFonts w:hint="default" w:ascii="等线" w:hAnsi="等线" w:eastAsia="等线" w:cs="等线"/>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2400" w:hRule="atLeast"/>
        </w:trPr>
        <w:tc>
          <w:tcPr>
            <w:tcW w:w="1605"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Autospacing="0" w:after="0" w:afterAutospacing="0" w:line="320" w:lineRule="exact"/>
              <w:ind w:left="0" w:right="0"/>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二、选派管理</w:t>
            </w:r>
          </w:p>
        </w:tc>
        <w:tc>
          <w:tcPr>
            <w:tcW w:w="1080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20" w:lineRule="exact"/>
              <w:ind w:left="0" w:right="0" w:firstLine="210" w:firstLineChars="10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1.选派管理驻村干部(10分)。按选派文件要求，按时按质按量为定点帮扶的脱贫村择优选派第一书记和驻村工作队员的得10分。第一书记或驻村工作队员因不按规定驻村、不胜任驻村工作、工作任务推进缓慢不达标、造成重大工作失误、违反廉洁规定、不服从安排推诿扯皮的情形之一，被区、市、县三级通报批评的，自治区级每次扣2分，市、县级每次扣1分(相同情况不重复扣分)，扣完为止；被召回撤换的该项不得分。</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20" w:lineRule="exact"/>
              <w:ind w:left="0" w:right="0" w:firstLine="210" w:firstLineChars="10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2.关心关爱驻村干部(10分)。根据相关文件要求，单位落实派驻的第一书记驻村专项工作经费( 1.5万元/年·人)、驻村工作队员驻村补贴待遇、差旅，对驻村工作队员每年安排一次体检，并办理驻村期间人身意外伤害保险(含不低于20万元猝死险)的得满分，每少落实一项扣2分。</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20" w:lineRule="exact"/>
              <w:ind w:left="0" w:right="0" w:firstLine="210" w:firstLineChars="10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3.因驻村工作不力，基层干部群众对单位定点帮扶工作和驻村工作队不满意或指出问题，经核查情况属实的，每1起扣4分。</w:t>
            </w:r>
          </w:p>
        </w:tc>
        <w:tc>
          <w:tcPr>
            <w:tcW w:w="72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20</w:t>
            </w:r>
          </w:p>
        </w:tc>
        <w:tc>
          <w:tcPr>
            <w:tcW w:w="675"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320" w:lineRule="exact"/>
              <w:ind w:left="0" w:right="0"/>
              <w:jc w:val="both"/>
              <w:textAlignment w:val="auto"/>
              <w:rPr>
                <w:rFonts w:hint="default" w:ascii="Times New Roman" w:hAnsi="Times New Roman" w:eastAsia="仿宋_GB2312" w:cs="Times New Roman"/>
                <w:sz w:val="21"/>
                <w:szCs w:val="21"/>
              </w:rPr>
            </w:pPr>
          </w:p>
        </w:tc>
        <w:tc>
          <w:tcPr>
            <w:tcW w:w="81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both"/>
              <w:rPr>
                <w:rFonts w:hint="default" w:ascii="等线" w:hAnsi="等线" w:eastAsia="等线" w:cs="等线"/>
                <w:sz w:val="21"/>
                <w:szCs w:val="21"/>
              </w:rPr>
            </w:pPr>
          </w:p>
        </w:tc>
        <w:tc>
          <w:tcPr>
            <w:tcW w:w="1335"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both"/>
              <w:rPr>
                <w:rFonts w:hint="default" w:ascii="等线" w:hAnsi="等线" w:eastAsia="等线" w:cs="等线"/>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120" w:hRule="atLeast"/>
        </w:trPr>
        <w:tc>
          <w:tcPr>
            <w:tcW w:w="1605"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Autospacing="0" w:after="0" w:afterAutospacing="0" w:line="320" w:lineRule="exact"/>
              <w:ind w:left="0" w:right="0"/>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三、结对帮扶</w:t>
            </w:r>
          </w:p>
        </w:tc>
        <w:tc>
          <w:tcPr>
            <w:tcW w:w="1080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20" w:lineRule="exact"/>
              <w:ind w:left="0" w:right="0" w:firstLine="210" w:firstLineChars="100"/>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1.结对数量(10分)。组织动员本单位在职在编干部开展过渡期帮扶联系工作，班子成员全部参加帮扶联系的，得5分；中层以上干部全部参加的，得8分；在职在编干部全部参加的(因工作性质不宜开展结对帮扶的特殊工作人员除外)，得满分，部分参加的按比例得分。若所帮扶村存在脱贫户和监测户没有帮扶干部或1名帮扶干部帮扶联系监测户和脱贫户合计超过10户的，每发现1户扣1分，扣完为止。在帮扶活动中，未实际参与帮扶，存在弄虚作假的，每发现一户扣1分，扣完为止。</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20" w:lineRule="exact"/>
              <w:ind w:left="0" w:right="0" w:firstLine="210" w:firstLineChars="100"/>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2.入户帮扶(10分)。参与帮扶联系的干部按规定每季度至少入户开展1次帮扶联系的得满分，每发现一名干部按要求开展的，每</w:t>
            </w:r>
            <w:r>
              <w:rPr>
                <w:rFonts w:hint="default" w:ascii="Times New Roman" w:hAnsi="Times New Roman" w:eastAsia="仿宋_GB2312" w:cs="Times New Roman"/>
                <w:spacing w:val="-6"/>
                <w:kern w:val="0"/>
                <w:sz w:val="21"/>
                <w:szCs w:val="21"/>
                <w:lang w:val="en-US" w:eastAsia="zh-CN" w:bidi="ar"/>
              </w:rPr>
              <w:t>人次扣0.5分，扣完为止。年内因帮扶工作不力，被自治区、市黑榜通报的，自治区级每次扣2分，市级每次扣1分</w:t>
            </w:r>
            <w:r>
              <w:rPr>
                <w:rFonts w:hint="default" w:ascii="Times New Roman" w:hAnsi="Times New Roman" w:eastAsia="仿宋_GB2312" w:cs="Times New Roman"/>
                <w:kern w:val="0"/>
                <w:sz w:val="21"/>
                <w:szCs w:val="21"/>
                <w:lang w:val="en-US" w:eastAsia="zh-CN" w:bidi="ar"/>
              </w:rPr>
              <w:t>。</w:t>
            </w:r>
          </w:p>
        </w:tc>
        <w:tc>
          <w:tcPr>
            <w:tcW w:w="72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20" w:lineRule="exact"/>
              <w:ind w:left="0" w:right="0"/>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20</w:t>
            </w:r>
          </w:p>
        </w:tc>
        <w:tc>
          <w:tcPr>
            <w:tcW w:w="675"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pageBreakBefore w:val="0"/>
              <w:widowControl w:val="0"/>
              <w:suppressLineNumbers w:val="0"/>
              <w:kinsoku/>
              <w:wordWrap/>
              <w:overflowPunct/>
              <w:topLinePunct w:val="0"/>
              <w:bidi w:val="0"/>
              <w:adjustRightInd/>
              <w:snapToGrid/>
              <w:spacing w:before="0" w:beforeAutospacing="0" w:after="0" w:afterAutospacing="0" w:line="320" w:lineRule="exact"/>
              <w:ind w:left="0" w:right="0"/>
              <w:jc w:val="both"/>
              <w:textAlignment w:val="auto"/>
              <w:rPr>
                <w:rFonts w:hint="default" w:ascii="Times New Roman" w:hAnsi="Times New Roman" w:eastAsia="仿宋_GB2312" w:cs="Times New Roman"/>
                <w:sz w:val="21"/>
                <w:szCs w:val="21"/>
              </w:rPr>
            </w:pPr>
          </w:p>
        </w:tc>
        <w:tc>
          <w:tcPr>
            <w:tcW w:w="81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both"/>
              <w:rPr>
                <w:rFonts w:hint="default" w:ascii="等线" w:hAnsi="等线" w:eastAsia="等线" w:cs="等线"/>
                <w:sz w:val="21"/>
                <w:szCs w:val="21"/>
              </w:rPr>
            </w:pPr>
          </w:p>
        </w:tc>
        <w:tc>
          <w:tcPr>
            <w:tcW w:w="1335"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both"/>
              <w:rPr>
                <w:rFonts w:hint="default" w:ascii="等线" w:hAnsi="等线" w:eastAsia="等线" w:cs="等线"/>
                <w:sz w:val="21"/>
                <w:szCs w:val="21"/>
              </w:rPr>
            </w:pPr>
          </w:p>
        </w:tc>
      </w:tr>
    </w:tbl>
    <w:tbl>
      <w:tblPr>
        <w:tblStyle w:val="5"/>
        <w:tblpPr w:leftFromText="180" w:rightFromText="180" w:vertAnchor="text" w:horzAnchor="page" w:tblpX="553" w:tblpY="3"/>
        <w:tblOverlap w:val="never"/>
        <w:tblW w:w="1593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Layout w:type="fixed"/>
        <w:tblCellMar>
          <w:top w:w="0" w:type="dxa"/>
          <w:left w:w="0" w:type="dxa"/>
          <w:bottom w:w="0" w:type="dxa"/>
          <w:right w:w="0" w:type="dxa"/>
        </w:tblCellMar>
      </w:tblPr>
      <w:tblGrid>
        <w:gridCol w:w="1335"/>
        <w:gridCol w:w="11070"/>
        <w:gridCol w:w="690"/>
        <w:gridCol w:w="705"/>
        <w:gridCol w:w="825"/>
        <w:gridCol w:w="130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640" w:hRule="atLeast"/>
        </w:trPr>
        <w:tc>
          <w:tcPr>
            <w:tcW w:w="1335"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80" w:lineRule="exact"/>
              <w:ind w:left="0" w:right="0"/>
              <w:jc w:val="center"/>
              <w:textAlignment w:val="auto"/>
              <w:rPr>
                <w:rFonts w:hint="eastAsia" w:ascii="楷体" w:hAnsi="楷体" w:eastAsia="楷体" w:cs="楷体"/>
                <w:b/>
                <w:bCs/>
                <w:sz w:val="21"/>
                <w:szCs w:val="21"/>
              </w:rPr>
            </w:pPr>
            <w:r>
              <w:rPr>
                <w:rFonts w:hint="eastAsia" w:ascii="楷体" w:hAnsi="楷体" w:eastAsia="楷体" w:cs="楷体"/>
                <w:b/>
                <w:bCs/>
                <w:kern w:val="0"/>
                <w:sz w:val="21"/>
                <w:szCs w:val="21"/>
                <w:lang w:val="en-US" w:eastAsia="zh-CN" w:bidi="ar"/>
              </w:rPr>
              <w:t>指标名称</w:t>
            </w:r>
          </w:p>
        </w:tc>
        <w:tc>
          <w:tcPr>
            <w:tcW w:w="1107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80" w:lineRule="exact"/>
              <w:ind w:left="0" w:right="0"/>
              <w:jc w:val="center"/>
              <w:textAlignment w:val="auto"/>
              <w:rPr>
                <w:rFonts w:hint="eastAsia" w:ascii="楷体" w:hAnsi="楷体" w:eastAsia="楷体" w:cs="楷体"/>
                <w:b/>
                <w:bCs/>
                <w:sz w:val="21"/>
                <w:szCs w:val="21"/>
              </w:rPr>
            </w:pPr>
            <w:r>
              <w:rPr>
                <w:rFonts w:hint="eastAsia" w:ascii="楷体" w:hAnsi="楷体" w:eastAsia="楷体" w:cs="楷体"/>
                <w:b/>
                <w:bCs/>
                <w:kern w:val="0"/>
                <w:sz w:val="21"/>
                <w:szCs w:val="21"/>
                <w:lang w:val="en-US" w:eastAsia="zh-CN" w:bidi="ar"/>
              </w:rPr>
              <w:t>评分细则</w:t>
            </w:r>
          </w:p>
        </w:tc>
        <w:tc>
          <w:tcPr>
            <w:tcW w:w="69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80" w:lineRule="exact"/>
              <w:ind w:left="0" w:right="0"/>
              <w:jc w:val="center"/>
              <w:textAlignment w:val="auto"/>
              <w:rPr>
                <w:rFonts w:hint="eastAsia" w:ascii="楷体" w:hAnsi="楷体" w:eastAsia="楷体" w:cs="楷体"/>
                <w:b/>
                <w:bCs/>
                <w:sz w:val="21"/>
                <w:szCs w:val="21"/>
              </w:rPr>
            </w:pPr>
            <w:r>
              <w:rPr>
                <w:rFonts w:hint="eastAsia" w:ascii="楷体" w:hAnsi="楷体" w:eastAsia="楷体" w:cs="楷体"/>
                <w:b/>
                <w:bCs/>
                <w:kern w:val="0"/>
                <w:sz w:val="21"/>
                <w:szCs w:val="21"/>
                <w:lang w:val="en-US" w:eastAsia="zh-CN" w:bidi="ar"/>
              </w:rPr>
              <w:t>分值</w:t>
            </w:r>
          </w:p>
        </w:tc>
        <w:tc>
          <w:tcPr>
            <w:tcW w:w="705"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80" w:lineRule="exact"/>
              <w:ind w:left="0" w:right="0"/>
              <w:jc w:val="center"/>
              <w:textAlignment w:val="auto"/>
              <w:rPr>
                <w:rFonts w:hint="eastAsia" w:ascii="楷体" w:hAnsi="楷体" w:eastAsia="楷体" w:cs="楷体"/>
                <w:b/>
                <w:bCs/>
                <w:sz w:val="21"/>
                <w:szCs w:val="21"/>
              </w:rPr>
            </w:pPr>
            <w:r>
              <w:rPr>
                <w:rFonts w:hint="eastAsia" w:ascii="楷体" w:hAnsi="楷体" w:eastAsia="楷体" w:cs="楷体"/>
                <w:b/>
                <w:bCs/>
                <w:kern w:val="0"/>
                <w:sz w:val="21"/>
                <w:szCs w:val="21"/>
                <w:lang w:val="en-US" w:eastAsia="zh-CN" w:bidi="ar"/>
              </w:rPr>
              <w:t>自评</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80" w:lineRule="exact"/>
              <w:ind w:left="0" w:right="0"/>
              <w:jc w:val="center"/>
              <w:textAlignment w:val="auto"/>
              <w:rPr>
                <w:rFonts w:hint="eastAsia" w:ascii="楷体" w:hAnsi="楷体" w:eastAsia="楷体" w:cs="楷体"/>
                <w:b/>
                <w:bCs/>
                <w:sz w:val="21"/>
                <w:szCs w:val="21"/>
              </w:rPr>
            </w:pPr>
            <w:r>
              <w:rPr>
                <w:rFonts w:hint="eastAsia" w:ascii="楷体" w:hAnsi="楷体" w:eastAsia="楷体" w:cs="楷体"/>
                <w:b/>
                <w:bCs/>
                <w:kern w:val="0"/>
                <w:sz w:val="21"/>
                <w:szCs w:val="21"/>
                <w:lang w:val="en-US" w:eastAsia="zh-CN" w:bidi="ar"/>
              </w:rPr>
              <w:t>分数</w:t>
            </w:r>
          </w:p>
        </w:tc>
        <w:tc>
          <w:tcPr>
            <w:tcW w:w="825"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80" w:lineRule="exact"/>
              <w:ind w:left="0" w:right="0"/>
              <w:jc w:val="center"/>
              <w:textAlignment w:val="auto"/>
              <w:rPr>
                <w:rFonts w:hint="eastAsia" w:ascii="楷体" w:hAnsi="楷体" w:eastAsia="楷体" w:cs="楷体"/>
                <w:b/>
                <w:bCs/>
                <w:sz w:val="21"/>
                <w:szCs w:val="21"/>
              </w:rPr>
            </w:pPr>
            <w:r>
              <w:rPr>
                <w:rFonts w:hint="eastAsia" w:ascii="楷体" w:hAnsi="楷体" w:eastAsia="楷体" w:cs="楷体"/>
                <w:b/>
                <w:bCs/>
                <w:kern w:val="0"/>
                <w:sz w:val="21"/>
                <w:szCs w:val="21"/>
                <w:lang w:val="en-US" w:eastAsia="zh-CN" w:bidi="ar"/>
              </w:rPr>
              <w:t>佐证材</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80" w:lineRule="exact"/>
              <w:ind w:left="0" w:right="0"/>
              <w:jc w:val="center"/>
              <w:textAlignment w:val="auto"/>
              <w:rPr>
                <w:rFonts w:hint="eastAsia" w:ascii="楷体" w:hAnsi="楷体" w:eastAsia="楷体" w:cs="楷体"/>
                <w:b/>
                <w:bCs/>
                <w:sz w:val="21"/>
                <w:szCs w:val="21"/>
              </w:rPr>
            </w:pPr>
            <w:r>
              <w:rPr>
                <w:rFonts w:hint="eastAsia" w:ascii="楷体" w:hAnsi="楷体" w:eastAsia="楷体" w:cs="楷体"/>
                <w:b/>
                <w:bCs/>
                <w:kern w:val="0"/>
                <w:sz w:val="21"/>
                <w:szCs w:val="21"/>
                <w:lang w:val="en-US" w:eastAsia="zh-CN" w:bidi="ar"/>
              </w:rPr>
              <w:t>料目录</w:t>
            </w:r>
          </w:p>
        </w:tc>
        <w:tc>
          <w:tcPr>
            <w:tcW w:w="1305"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80" w:lineRule="exact"/>
              <w:ind w:left="0" w:right="0"/>
              <w:jc w:val="center"/>
              <w:textAlignment w:val="auto"/>
              <w:rPr>
                <w:rFonts w:hint="eastAsia" w:ascii="楷体" w:hAnsi="楷体" w:eastAsia="楷体" w:cs="楷体"/>
                <w:b/>
                <w:bCs/>
                <w:sz w:val="21"/>
                <w:szCs w:val="21"/>
              </w:rPr>
            </w:pPr>
            <w:r>
              <w:rPr>
                <w:rFonts w:hint="eastAsia" w:ascii="楷体" w:hAnsi="楷体" w:eastAsia="楷体" w:cs="楷体"/>
                <w:b/>
                <w:bCs/>
                <w:kern w:val="0"/>
                <w:sz w:val="21"/>
                <w:szCs w:val="21"/>
                <w:lang w:val="en-US" w:eastAsia="zh-CN" w:bidi="ar"/>
              </w:rPr>
              <w:t>备注</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80" w:lineRule="exact"/>
              <w:ind w:left="0" w:right="0"/>
              <w:jc w:val="center"/>
              <w:textAlignment w:val="auto"/>
              <w:rPr>
                <w:rFonts w:hint="eastAsia" w:ascii="楷体" w:hAnsi="楷体" w:eastAsia="楷体" w:cs="楷体"/>
                <w:b/>
                <w:bCs/>
                <w:sz w:val="21"/>
                <w:szCs w:val="21"/>
              </w:rPr>
            </w:pPr>
            <w:r>
              <w:rPr>
                <w:rFonts w:hint="eastAsia" w:ascii="楷体" w:hAnsi="楷体" w:eastAsia="楷体" w:cs="楷体"/>
                <w:b/>
                <w:bCs/>
                <w:kern w:val="0"/>
                <w:sz w:val="21"/>
                <w:szCs w:val="21"/>
                <w:lang w:val="en-US" w:eastAsia="zh-CN" w:bidi="ar"/>
              </w:rPr>
              <w:t>(核验情况)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2381" w:hRule="atLeast"/>
        </w:trPr>
        <w:tc>
          <w:tcPr>
            <w:tcW w:w="1335"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Autospacing="0" w:after="0" w:afterAutospacing="0" w:line="320" w:lineRule="exact"/>
              <w:ind w:left="0" w:right="0"/>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四、巩固</w:t>
            </w:r>
          </w:p>
          <w:p>
            <w:pPr>
              <w:keepNext w:val="0"/>
              <w:keepLines w:val="0"/>
              <w:pageBreakBefore w:val="0"/>
              <w:widowControl w:val="0"/>
              <w:suppressLineNumbers w:val="0"/>
              <w:kinsoku/>
              <w:wordWrap/>
              <w:overflowPunct/>
              <w:topLinePunct w:val="0"/>
              <w:autoSpaceDE w:val="0"/>
              <w:autoSpaceDN w:val="0"/>
              <w:bidi w:val="0"/>
              <w:adjustRightInd/>
              <w:snapToGrid/>
              <w:spacing w:beforeAutospacing="0" w:after="0" w:afterAutospacing="0" w:line="320" w:lineRule="exact"/>
              <w:ind w:left="0" w:right="0"/>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拓展脱贫</w:t>
            </w:r>
          </w:p>
          <w:p>
            <w:pPr>
              <w:keepNext w:val="0"/>
              <w:keepLines w:val="0"/>
              <w:pageBreakBefore w:val="0"/>
              <w:widowControl w:val="0"/>
              <w:suppressLineNumbers w:val="0"/>
              <w:kinsoku/>
              <w:wordWrap/>
              <w:overflowPunct/>
              <w:topLinePunct w:val="0"/>
              <w:autoSpaceDE w:val="0"/>
              <w:autoSpaceDN w:val="0"/>
              <w:bidi w:val="0"/>
              <w:adjustRightInd/>
              <w:snapToGrid/>
              <w:spacing w:beforeAutospacing="0" w:after="0" w:afterAutospacing="0" w:line="320" w:lineRule="exact"/>
              <w:ind w:left="0" w:right="0"/>
              <w:jc w:val="center"/>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攻坚成果</w:t>
            </w:r>
          </w:p>
        </w:tc>
        <w:tc>
          <w:tcPr>
            <w:tcW w:w="1107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val="0"/>
              <w:suppressLineNumbers w:val="0"/>
              <w:autoSpaceDE w:val="0"/>
              <w:autoSpaceDN w:val="0"/>
              <w:spacing w:before="0" w:beforeAutospacing="0" w:after="0" w:afterAutospacing="0" w:line="260" w:lineRule="atLeast"/>
              <w:ind w:left="0" w:right="0" w:firstLine="210" w:firstLineChars="100"/>
              <w:jc w:val="both"/>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1.督促运行好防止返贫动态监测和帮扶机制(10分)。因工作不到位，造成所帮扶村脱贫不稳定户、边缘易致贫户和突发严重困难户存在漏纳或纳入不及时、监测对象消除风险错误的，导致帮扶村在国家、自治区相关督查检查暗访及后评估等工作中被点名批评的，经核查情况属实的，每1户扣0.5分。</w:t>
            </w:r>
          </w:p>
          <w:p>
            <w:pPr>
              <w:keepNext w:val="0"/>
              <w:keepLines w:val="0"/>
              <w:widowControl w:val="0"/>
              <w:suppressLineNumbers w:val="0"/>
              <w:autoSpaceDE w:val="0"/>
              <w:autoSpaceDN w:val="0"/>
              <w:spacing w:before="0" w:beforeAutospacing="0" w:after="0" w:afterAutospacing="0" w:line="260" w:lineRule="atLeast"/>
              <w:ind w:left="0" w:right="0" w:firstLine="210" w:firstLineChars="100"/>
              <w:jc w:val="both"/>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2.加大对定点帮扶村支持力度情况(10分)。主要查看帮扶单位坚持巩固“两不愁三保障”成果，结合自身实际给帮扶村提供支持(含资金、项目、捐款、捐物和慰问等)，没有提供支持的，该项不得分。</w:t>
            </w:r>
          </w:p>
          <w:p>
            <w:pPr>
              <w:keepNext w:val="0"/>
              <w:keepLines w:val="0"/>
              <w:widowControl w:val="0"/>
              <w:suppressLineNumbers w:val="0"/>
              <w:autoSpaceDE w:val="0"/>
              <w:autoSpaceDN w:val="0"/>
              <w:spacing w:before="0" w:beforeAutospacing="0" w:after="0" w:afterAutospacing="0" w:line="260" w:lineRule="atLeast"/>
              <w:ind w:left="0" w:right="0" w:firstLine="210" w:firstLineChars="100"/>
              <w:jc w:val="both"/>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3.做好消费帮扶工作(10分)。单位工会按要求组织干部职工到定点帮扶村开展工会活动，同等条件下优先采购脱贫地区农副产品，每年采购金额不低于本单位当年工会支持的职工福利支出的50%，每低于目标要求5个百分点扣2分。</w:t>
            </w:r>
          </w:p>
        </w:tc>
        <w:tc>
          <w:tcPr>
            <w:tcW w:w="69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val="0"/>
              <w:suppressLineNumbers w:val="0"/>
              <w:autoSpaceDE w:val="0"/>
              <w:autoSpaceDN w:val="0"/>
              <w:spacing w:before="0" w:beforeAutospacing="0" w:after="0" w:afterAutospacing="0" w:line="240" w:lineRule="atLeast"/>
              <w:ind w:left="0" w:right="0"/>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30</w:t>
            </w:r>
          </w:p>
        </w:tc>
        <w:tc>
          <w:tcPr>
            <w:tcW w:w="705"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both"/>
              <w:rPr>
                <w:rFonts w:hint="default" w:ascii="Times New Roman" w:hAnsi="Times New Roman" w:eastAsia="仿宋_GB2312" w:cs="Times New Roman"/>
                <w:sz w:val="21"/>
                <w:szCs w:val="21"/>
              </w:rPr>
            </w:pPr>
          </w:p>
        </w:tc>
        <w:tc>
          <w:tcPr>
            <w:tcW w:w="825"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both"/>
              <w:rPr>
                <w:rFonts w:hint="default" w:ascii="Times New Roman" w:hAnsi="Times New Roman" w:eastAsia="仿宋_GB2312" w:cs="Times New Roman"/>
                <w:sz w:val="21"/>
                <w:szCs w:val="21"/>
              </w:rPr>
            </w:pPr>
          </w:p>
        </w:tc>
        <w:tc>
          <w:tcPr>
            <w:tcW w:w="1305"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both"/>
              <w:rPr>
                <w:rFonts w:hint="default" w:ascii="Times New Roman" w:hAnsi="Times New Roman" w:eastAsia="仿宋_GB2312" w:cs="Times New Roman"/>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40" w:hRule="atLeast"/>
        </w:trPr>
        <w:tc>
          <w:tcPr>
            <w:tcW w:w="1335"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Autospacing="0" w:after="0" w:afterAutospacing="0" w:line="320" w:lineRule="exact"/>
              <w:ind w:left="0" w:right="0"/>
              <w:jc w:val="left"/>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五、工作创新(不超过10分)</w:t>
            </w:r>
          </w:p>
        </w:tc>
        <w:tc>
          <w:tcPr>
            <w:tcW w:w="1107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val="0"/>
              <w:suppressLineNumbers w:val="0"/>
              <w:autoSpaceDE w:val="0"/>
              <w:autoSpaceDN w:val="0"/>
              <w:spacing w:before="0" w:beforeAutospacing="0" w:after="0" w:afterAutospacing="0" w:line="260" w:lineRule="atLeast"/>
              <w:ind w:left="0" w:right="0" w:firstLine="210" w:firstLineChars="100"/>
              <w:jc w:val="both"/>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①年内单位定点帮扶工作成效突出，获得市级以上主要媒体宣传报道的，国家级每次加3分，自治区级加2分，市级加1分，最高不超3分；②年内单位在定点帮扶(巩固拓展脱贫攻坚成果同乡村振兴有效衔接)工作方面荣获先进集体、后盾单位等表彰或通报表扬的，单位干部职工(含派出驻村干部)在定点帮扶(巩固拓展脱贫攻坚成果同乡村振兴有效衔接)方面获得表彰，定点帮扶村干部、集体在帮扶、巩固拓展脱贫攻坚成果同乡村振兴有效衔接方面得表彰或通报表扬的，国家级每次加3分、自治区级每次加2分、市级每次加1分</w:t>
            </w:r>
            <w:r>
              <w:rPr>
                <w:rFonts w:hint="eastAsia" w:ascii="Times New Roman" w:hAnsi="Times New Roman" w:eastAsia="仿宋_GB2312" w:cs="Times New Roman"/>
                <w:kern w:val="0"/>
                <w:sz w:val="21"/>
                <w:szCs w:val="21"/>
                <w:lang w:val="en-US" w:eastAsia="zh-CN" w:bidi="ar"/>
              </w:rPr>
              <w:t>，区</w:t>
            </w:r>
            <w:r>
              <w:rPr>
                <w:rFonts w:hint="default" w:ascii="Times New Roman" w:hAnsi="Times New Roman" w:eastAsia="仿宋_GB2312" w:cs="Times New Roman"/>
                <w:kern w:val="0"/>
                <w:sz w:val="21"/>
                <w:szCs w:val="21"/>
                <w:lang w:val="en-US" w:eastAsia="zh-CN" w:bidi="ar"/>
              </w:rPr>
              <w:t>级每次加</w:t>
            </w:r>
            <w:r>
              <w:rPr>
                <w:rFonts w:hint="eastAsia" w:ascii="Times New Roman" w:hAnsi="Times New Roman" w:eastAsia="仿宋_GB2312" w:cs="Times New Roman"/>
                <w:kern w:val="0"/>
                <w:sz w:val="21"/>
                <w:szCs w:val="21"/>
                <w:lang w:val="en-US" w:eastAsia="zh-CN" w:bidi="ar"/>
              </w:rPr>
              <w:t>0.5</w:t>
            </w:r>
            <w:r>
              <w:rPr>
                <w:rFonts w:hint="default" w:ascii="Times New Roman" w:hAnsi="Times New Roman" w:eastAsia="仿宋_GB2312" w:cs="Times New Roman"/>
                <w:kern w:val="0"/>
                <w:sz w:val="21"/>
                <w:szCs w:val="21"/>
                <w:lang w:val="en-US" w:eastAsia="zh-CN" w:bidi="ar"/>
              </w:rPr>
              <w:t>分，，最高不超3分。③支持消费帮扶工作，每年采购金额高于本单位当年职工福利支出总额的50%，每超5%加0.25分，最高不超2分。④所帮扶村所在</w:t>
            </w:r>
            <w:r>
              <w:rPr>
                <w:rFonts w:hint="eastAsia" w:ascii="Times New Roman" w:hAnsi="Times New Roman" w:eastAsia="仿宋_GB2312" w:cs="Times New Roman"/>
                <w:kern w:val="0"/>
                <w:sz w:val="21"/>
                <w:szCs w:val="21"/>
                <w:lang w:val="en-US" w:eastAsia="zh-CN" w:bidi="ar"/>
              </w:rPr>
              <w:t>镇</w:t>
            </w:r>
            <w:r>
              <w:rPr>
                <w:rFonts w:hint="default" w:ascii="Times New Roman" w:hAnsi="Times New Roman" w:eastAsia="仿宋_GB2312" w:cs="Times New Roman"/>
                <w:kern w:val="0"/>
                <w:sz w:val="21"/>
                <w:szCs w:val="21"/>
                <w:lang w:val="en-US" w:eastAsia="zh-CN" w:bidi="ar"/>
              </w:rPr>
              <w:t>对单位定点帮扶工作给予“好”的等次评价，加2分；给予“较好”的等次评价，加1分。同时帮扶多个村的单位，取各帮扶村所在县评价等次分数的平均分。(同一事项只计算一次最高加分)上述①-③得分项目，由被考核单位主动申请加分，按要求将申请和证明材料报送</w:t>
            </w:r>
            <w:r>
              <w:rPr>
                <w:rFonts w:hint="eastAsia" w:ascii="Times New Roman" w:hAnsi="Times New Roman" w:eastAsia="仿宋_GB2312" w:cs="Times New Roman"/>
                <w:kern w:val="0"/>
                <w:sz w:val="21"/>
                <w:szCs w:val="21"/>
                <w:lang w:val="en-US" w:eastAsia="zh-CN" w:bidi="ar"/>
              </w:rPr>
              <w:t>区实施乡村振兴战略指挥部</w:t>
            </w:r>
            <w:r>
              <w:rPr>
                <w:rFonts w:hint="default" w:ascii="Times New Roman" w:hAnsi="Times New Roman" w:eastAsia="仿宋_GB2312" w:cs="Times New Roman"/>
                <w:kern w:val="0"/>
                <w:sz w:val="21"/>
                <w:szCs w:val="21"/>
                <w:lang w:val="en-US" w:eastAsia="zh-CN" w:bidi="ar"/>
              </w:rPr>
              <w:t>办公室。④得分项目，由各</w:t>
            </w:r>
            <w:r>
              <w:rPr>
                <w:rFonts w:hint="eastAsia" w:ascii="Times New Roman" w:hAnsi="Times New Roman" w:eastAsia="仿宋_GB2312" w:cs="Times New Roman"/>
                <w:kern w:val="0"/>
                <w:sz w:val="21"/>
                <w:szCs w:val="21"/>
                <w:lang w:val="en-US" w:eastAsia="zh-CN" w:bidi="ar"/>
              </w:rPr>
              <w:t>镇报区实施乡村振兴战略指挥部</w:t>
            </w:r>
            <w:r>
              <w:rPr>
                <w:rFonts w:hint="default" w:ascii="Times New Roman" w:hAnsi="Times New Roman" w:eastAsia="仿宋_GB2312" w:cs="Times New Roman"/>
                <w:kern w:val="0"/>
                <w:sz w:val="21"/>
                <w:szCs w:val="21"/>
                <w:lang w:val="en-US" w:eastAsia="zh-CN" w:bidi="ar"/>
              </w:rPr>
              <w:t>办公室。</w:t>
            </w:r>
          </w:p>
        </w:tc>
        <w:tc>
          <w:tcPr>
            <w:tcW w:w="690"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val="0"/>
              <w:suppressLineNumbers w:val="0"/>
              <w:autoSpaceDE w:val="0"/>
              <w:autoSpaceDN w:val="0"/>
              <w:spacing w:before="0" w:beforeAutospacing="0" w:after="0" w:afterAutospacing="0" w:line="240" w:lineRule="atLeast"/>
              <w:ind w:left="0" w:right="0"/>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val="en-US" w:eastAsia="zh-CN" w:bidi="ar"/>
              </w:rPr>
              <w:t>10</w:t>
            </w:r>
          </w:p>
        </w:tc>
        <w:tc>
          <w:tcPr>
            <w:tcW w:w="705"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both"/>
              <w:rPr>
                <w:rFonts w:hint="default" w:ascii="Times New Roman" w:hAnsi="Times New Roman" w:eastAsia="仿宋_GB2312" w:cs="Times New Roman"/>
                <w:sz w:val="21"/>
                <w:szCs w:val="21"/>
              </w:rPr>
            </w:pPr>
          </w:p>
        </w:tc>
        <w:tc>
          <w:tcPr>
            <w:tcW w:w="825"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both"/>
              <w:rPr>
                <w:rFonts w:hint="default" w:ascii="Times New Roman" w:hAnsi="Times New Roman" w:eastAsia="仿宋_GB2312" w:cs="Times New Roman"/>
                <w:sz w:val="21"/>
                <w:szCs w:val="21"/>
              </w:rPr>
            </w:pPr>
          </w:p>
        </w:tc>
        <w:tc>
          <w:tcPr>
            <w:tcW w:w="1305" w:type="dxa"/>
            <w:tcBorders>
              <w:top w:val="single" w:color="auto" w:sz="2" w:space="0"/>
              <w:left w:val="single" w:color="auto" w:sz="2" w:space="0"/>
              <w:bottom w:val="single" w:color="auto" w:sz="2" w:space="0"/>
              <w:right w:val="single" w:color="auto" w:sz="2" w:space="0"/>
            </w:tcBorders>
            <w:shd w:val="clear" w:color="auto" w:fill="auto"/>
            <w:vAlign w:val="center"/>
          </w:tcPr>
          <w:p>
            <w:pPr>
              <w:keepNext w:val="0"/>
              <w:keepLines w:val="0"/>
              <w:widowControl w:val="0"/>
              <w:suppressLineNumbers w:val="0"/>
              <w:spacing w:before="0" w:beforeAutospacing="0" w:after="0" w:afterAutospacing="0" w:line="240" w:lineRule="exact"/>
              <w:ind w:left="0" w:right="0"/>
              <w:jc w:val="both"/>
              <w:rPr>
                <w:rFonts w:hint="default" w:ascii="Times New Roman" w:hAnsi="Times New Roman" w:eastAsia="仿宋_GB2312" w:cs="Times New Roman"/>
                <w:sz w:val="21"/>
                <w:szCs w:val="21"/>
              </w:rPr>
            </w:pPr>
          </w:p>
        </w:tc>
      </w:tr>
    </w:tbl>
    <w:p>
      <w:pPr>
        <w:keepNext w:val="0"/>
        <w:keepLines w:val="0"/>
        <w:pageBreakBefore w:val="0"/>
        <w:widowControl w:val="0"/>
        <w:suppressLineNumbers w:val="0"/>
        <w:kinsoku/>
        <w:wordWrap/>
        <w:overflowPunct/>
        <w:topLinePunct w:val="0"/>
        <w:autoSpaceDE w:val="0"/>
        <w:autoSpaceDN w:val="0"/>
        <w:bidi w:val="0"/>
        <w:adjustRightInd/>
        <w:snapToGrid/>
        <w:spacing w:beforeAutospacing="0" w:after="0" w:afterAutospacing="0" w:line="280" w:lineRule="exact"/>
        <w:ind w:left="0" w:right="0"/>
        <w:jc w:val="both"/>
        <w:textAlignment w:val="auto"/>
        <w:rPr>
          <w:rFonts w:hint="default" w:ascii="Times New Roman" w:hAnsi="Times New Roman" w:eastAsia="仿宋_GB2312" w:cs="Times New Roman"/>
          <w:b/>
          <w:bCs/>
          <w:sz w:val="21"/>
          <w:szCs w:val="21"/>
        </w:rPr>
      </w:pPr>
      <w:r>
        <w:rPr>
          <w:rFonts w:hint="default" w:ascii="Times New Roman" w:hAnsi="Times New Roman" w:eastAsia="仿宋_GB2312" w:cs="Times New Roman"/>
          <w:b/>
          <w:bCs/>
          <w:i w:val="0"/>
          <w:color w:val="000000"/>
          <w:kern w:val="0"/>
          <w:sz w:val="21"/>
          <w:szCs w:val="21"/>
          <w:lang w:val="en-US" w:eastAsia="zh-CN" w:bidi="ar"/>
        </w:rPr>
        <w:t>注：主流媒体名单</w:t>
      </w:r>
    </w:p>
    <w:p>
      <w:pPr>
        <w:keepNext w:val="0"/>
        <w:keepLines w:val="0"/>
        <w:pageBreakBefore w:val="0"/>
        <w:widowControl w:val="0"/>
        <w:suppressLineNumbers w:val="0"/>
        <w:kinsoku/>
        <w:wordWrap/>
        <w:overflowPunct/>
        <w:topLinePunct w:val="0"/>
        <w:autoSpaceDE w:val="0"/>
        <w:autoSpaceDN w:val="0"/>
        <w:bidi w:val="0"/>
        <w:adjustRightInd/>
        <w:snapToGrid/>
        <w:spacing w:beforeAutospacing="0" w:after="0" w:afterAutospacing="0" w:line="280" w:lineRule="exact"/>
        <w:ind w:left="0" w:right="0"/>
        <w:jc w:val="both"/>
        <w:textAlignment w:val="auto"/>
        <w:rPr>
          <w:rFonts w:hint="default" w:ascii="Times New Roman" w:hAnsi="Times New Roman" w:eastAsia="仿宋_GB2312" w:cs="Times New Roman"/>
          <w:b/>
          <w:bCs/>
          <w:sz w:val="21"/>
          <w:szCs w:val="21"/>
        </w:rPr>
      </w:pPr>
      <w:r>
        <w:rPr>
          <w:rFonts w:hint="default" w:ascii="Times New Roman" w:hAnsi="Times New Roman" w:eastAsia="仿宋_GB2312" w:cs="Times New Roman"/>
          <w:b/>
          <w:bCs/>
          <w:i w:val="0"/>
          <w:color w:val="000000"/>
          <w:kern w:val="0"/>
          <w:sz w:val="21"/>
          <w:szCs w:val="21"/>
          <w:lang w:val="en-US" w:eastAsia="zh-CN" w:bidi="ar"/>
        </w:rPr>
        <w:t>(一)传统媒体</w:t>
      </w:r>
    </w:p>
    <w:p>
      <w:pPr>
        <w:keepNext w:val="0"/>
        <w:keepLines w:val="0"/>
        <w:pageBreakBefore w:val="0"/>
        <w:widowControl w:val="0"/>
        <w:suppressLineNumbers w:val="0"/>
        <w:kinsoku/>
        <w:wordWrap/>
        <w:overflowPunct/>
        <w:topLinePunct w:val="0"/>
        <w:autoSpaceDE w:val="0"/>
        <w:autoSpaceDN w:val="0"/>
        <w:bidi w:val="0"/>
        <w:adjustRightInd/>
        <w:snapToGrid/>
        <w:spacing w:beforeAutospacing="0" w:after="0" w:afterAutospacing="0" w:line="280" w:lineRule="exact"/>
        <w:ind w:left="0" w:right="0" w:firstLine="20"/>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 w:val="0"/>
          <w:i w:val="0"/>
          <w:color w:val="000000"/>
          <w:kern w:val="0"/>
          <w:sz w:val="21"/>
          <w:szCs w:val="21"/>
          <w:lang w:val="en-US" w:eastAsia="zh-CN" w:bidi="ar"/>
        </w:rPr>
        <w:t>中央级：人民日报(含海外版)、新华社(含新华社通稿、新华每日电讯、半月谈、瞭望)、光明日报、经济日报、  《求是》杂志、解放军报、科技日报</w:t>
      </w:r>
      <w:r>
        <w:rPr>
          <w:rFonts w:hint="eastAsia" w:ascii="Times New Roman" w:hAnsi="Times New Roman" w:eastAsia="仿宋_GB2312" w:cs="Times New Roman"/>
          <w:b w:val="0"/>
          <w:i w:val="0"/>
          <w:color w:val="000000"/>
          <w:kern w:val="0"/>
          <w:sz w:val="21"/>
          <w:szCs w:val="21"/>
          <w:lang w:val="en-US" w:eastAsia="zh-CN" w:bidi="ar"/>
        </w:rPr>
        <w:t>、</w:t>
      </w:r>
      <w:r>
        <w:rPr>
          <w:rFonts w:hint="default" w:ascii="Times New Roman" w:hAnsi="Times New Roman" w:eastAsia="仿宋_GB2312" w:cs="Times New Roman"/>
          <w:b w:val="0"/>
          <w:i w:val="0"/>
          <w:color w:val="000000"/>
          <w:kern w:val="0"/>
          <w:sz w:val="21"/>
          <w:szCs w:val="21"/>
          <w:lang w:val="en-US" w:eastAsia="zh-CN" w:bidi="ar"/>
        </w:rPr>
        <w:t>农民日报、中国日报、中新社、中央人民广播电台(新闻类栏目)和国家乡村振兴局主办的《国家乡村振兴简报》、  《中国乡村振兴》杂志。</w:t>
      </w:r>
    </w:p>
    <w:p>
      <w:pPr>
        <w:keepNext w:val="0"/>
        <w:keepLines w:val="0"/>
        <w:pageBreakBefore w:val="0"/>
        <w:widowControl w:val="0"/>
        <w:suppressLineNumbers w:val="0"/>
        <w:kinsoku/>
        <w:wordWrap/>
        <w:overflowPunct/>
        <w:topLinePunct w:val="0"/>
        <w:autoSpaceDE w:val="0"/>
        <w:autoSpaceDN w:val="0"/>
        <w:bidi w:val="0"/>
        <w:adjustRightInd/>
        <w:snapToGrid/>
        <w:spacing w:beforeAutospacing="0" w:after="0" w:afterAutospacing="0" w:line="280" w:lineRule="exact"/>
        <w:ind w:left="0" w:right="0"/>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 w:val="0"/>
          <w:i w:val="0"/>
          <w:color w:val="000000"/>
          <w:kern w:val="0"/>
          <w:sz w:val="21"/>
          <w:szCs w:val="21"/>
          <w:lang w:val="en-US" w:eastAsia="zh-CN" w:bidi="ar"/>
        </w:rPr>
        <w:t>自治区级：广西日报、广西广播电视台、当代广西杂志、 自治区乡村振兴局主办的《广西乡村振兴简报》。</w:t>
      </w:r>
    </w:p>
    <w:p>
      <w:pPr>
        <w:keepNext w:val="0"/>
        <w:keepLines w:val="0"/>
        <w:pageBreakBefore w:val="0"/>
        <w:widowControl w:val="0"/>
        <w:suppressLineNumbers w:val="0"/>
        <w:kinsoku/>
        <w:wordWrap/>
        <w:overflowPunct/>
        <w:topLinePunct w:val="0"/>
        <w:autoSpaceDE w:val="0"/>
        <w:autoSpaceDN w:val="0"/>
        <w:bidi w:val="0"/>
        <w:adjustRightInd/>
        <w:snapToGrid/>
        <w:spacing w:beforeAutospacing="0" w:after="0" w:afterAutospacing="0" w:line="280" w:lineRule="exact"/>
        <w:ind w:left="0" w:right="0"/>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 w:val="0"/>
          <w:i w:val="0"/>
          <w:color w:val="000000"/>
          <w:kern w:val="0"/>
          <w:sz w:val="21"/>
          <w:szCs w:val="21"/>
          <w:lang w:val="en-US" w:eastAsia="zh-CN" w:bidi="ar"/>
        </w:rPr>
        <w:t>市级：柳州日报，柳州晚报，柳州电视台，新播报，柳州电台。</w:t>
      </w:r>
    </w:p>
    <w:p>
      <w:pPr>
        <w:keepNext w:val="0"/>
        <w:keepLines w:val="0"/>
        <w:pageBreakBefore w:val="0"/>
        <w:widowControl w:val="0"/>
        <w:suppressLineNumbers w:val="0"/>
        <w:kinsoku/>
        <w:wordWrap/>
        <w:overflowPunct/>
        <w:topLinePunct w:val="0"/>
        <w:autoSpaceDE w:val="0"/>
        <w:autoSpaceDN w:val="0"/>
        <w:bidi w:val="0"/>
        <w:adjustRightInd/>
        <w:snapToGrid/>
        <w:spacing w:beforeAutospacing="0" w:after="0" w:afterAutospacing="0" w:line="280" w:lineRule="exact"/>
        <w:ind w:left="0" w:right="0"/>
        <w:jc w:val="both"/>
        <w:textAlignment w:val="auto"/>
        <w:rPr>
          <w:rFonts w:hint="default" w:ascii="Times New Roman" w:hAnsi="Times New Roman" w:eastAsia="仿宋_GB2312" w:cs="Times New Roman"/>
          <w:b/>
          <w:bCs/>
          <w:sz w:val="21"/>
          <w:szCs w:val="21"/>
        </w:rPr>
      </w:pPr>
      <w:r>
        <w:rPr>
          <w:rFonts w:hint="default" w:ascii="Times New Roman" w:hAnsi="Times New Roman" w:eastAsia="仿宋_GB2312" w:cs="Times New Roman"/>
          <w:b/>
          <w:bCs/>
          <w:i w:val="0"/>
          <w:color w:val="000000"/>
          <w:kern w:val="0"/>
          <w:sz w:val="21"/>
          <w:szCs w:val="21"/>
          <w:lang w:val="en-US" w:eastAsia="zh-CN" w:bidi="ar"/>
        </w:rPr>
        <w:t>(二) 网络媒体</w:t>
      </w:r>
    </w:p>
    <w:p>
      <w:pPr>
        <w:keepNext w:val="0"/>
        <w:keepLines w:val="0"/>
        <w:pageBreakBefore w:val="0"/>
        <w:widowControl w:val="0"/>
        <w:suppressLineNumbers w:val="0"/>
        <w:kinsoku/>
        <w:wordWrap/>
        <w:overflowPunct/>
        <w:topLinePunct w:val="0"/>
        <w:autoSpaceDE w:val="0"/>
        <w:autoSpaceDN w:val="0"/>
        <w:bidi w:val="0"/>
        <w:adjustRightInd/>
        <w:snapToGrid/>
        <w:spacing w:beforeAutospacing="0" w:after="0" w:afterAutospacing="0" w:line="280" w:lineRule="exact"/>
        <w:ind w:left="0" w:right="0"/>
        <w:jc w:val="both"/>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b w:val="0"/>
          <w:i w:val="0"/>
          <w:color w:val="000000"/>
          <w:kern w:val="0"/>
          <w:sz w:val="21"/>
          <w:szCs w:val="21"/>
          <w:lang w:val="en-US" w:eastAsia="zh-CN" w:bidi="ar"/>
        </w:rPr>
        <w:t>1.中央级、自治区级、市级媒体对应的官方网站，如人民网、新华网、光明网、广西新闻网、广西云、柳州新闻网，柳州1号APP，在柳州APP等。</w:t>
      </w:r>
    </w:p>
    <w:p>
      <w:pPr>
        <w:keepNext w:val="0"/>
        <w:keepLines w:val="0"/>
        <w:pageBreakBefore w:val="0"/>
        <w:widowControl w:val="0"/>
        <w:suppressLineNumbers w:val="0"/>
        <w:kinsoku/>
        <w:wordWrap/>
        <w:overflowPunct/>
        <w:topLinePunct w:val="0"/>
        <w:autoSpaceDE w:val="0"/>
        <w:autoSpaceDN w:val="0"/>
        <w:bidi w:val="0"/>
        <w:adjustRightInd/>
        <w:snapToGrid/>
        <w:spacing w:beforeAutospacing="0" w:after="0" w:afterAutospacing="0" w:line="280" w:lineRule="exact"/>
        <w:ind w:left="0" w:right="0"/>
        <w:jc w:val="both"/>
        <w:textAlignment w:val="auto"/>
        <w:rPr>
          <w:rFonts w:hint="default" w:ascii="Times New Roman" w:hAnsi="Times New Roman" w:eastAsia="仿宋_GB2312" w:cs="Times New Roman"/>
          <w:b w:val="0"/>
          <w:i w:val="0"/>
          <w:color w:val="000000"/>
          <w:kern w:val="0"/>
          <w:sz w:val="21"/>
          <w:szCs w:val="21"/>
          <w:lang w:val="en-US" w:eastAsia="zh-CN" w:bidi="ar"/>
        </w:rPr>
        <w:sectPr>
          <w:pgSz w:w="16838" w:h="11900" w:orient="landscape"/>
          <w:pgMar w:top="1417" w:right="1417" w:bottom="1417" w:left="1417" w:header="720" w:footer="720" w:gutter="0"/>
          <w:pgNumType w:fmt="decimal"/>
          <w:cols w:space="0" w:num="1"/>
          <w:rtlGutter w:val="0"/>
          <w:docGrid w:type="lines" w:linePitch="312" w:charSpace="0"/>
        </w:sectPr>
      </w:pPr>
      <w:r>
        <w:rPr>
          <w:rFonts w:hint="default" w:ascii="Times New Roman" w:hAnsi="Times New Roman" w:eastAsia="仿宋_GB2312" w:cs="Times New Roman"/>
          <w:b w:val="0"/>
          <w:i w:val="0"/>
          <w:color w:val="000000"/>
          <w:kern w:val="0"/>
          <w:sz w:val="21"/>
          <w:szCs w:val="21"/>
          <w:lang w:val="en-US" w:eastAsia="zh-CN" w:bidi="ar"/>
        </w:rPr>
        <w:t>2.中国政府网、国家乡村振兴局网站、广西政府网、自治区乡村振兴局网站、柳州市乡村振兴局等官方网站、微信公众号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D15BCB"/>
    <w:rsid w:val="3AD15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ind w:left="113"/>
    </w:pPr>
    <w:rPr>
      <w:rFonts w:ascii="仿宋_GB2312" w:hAnsi="仿宋_GB231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Body Text First Indent"/>
    <w:basedOn w:val="2"/>
    <w:qFormat/>
    <w:uiPriority w:val="0"/>
    <w:pPr>
      <w:spacing w:line="360" w:lineRule="auto"/>
      <w:ind w:firstLine="720" w:firstLineChars="200"/>
      <w:jc w:val="left"/>
    </w:pPr>
    <w:rPr>
      <w:rFonts w:ascii="宋体" w:hAnsi="宋体" w:cs="宋体"/>
      <w:sz w:val="28"/>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2023-12-08T12:48:00Z</dcterms:created>
  <dc:creator>西早木草心</dc:creator>
  <cp:lastModifiedBy>西早木草心</cp:lastModifiedBy>
  <dcterms:modified xsi:type="dcterms:W3CDTF">2023-12-08T12:48:32Z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A9336BC14AEA4367B3D486CBBED17C11</vt:lpwstr>
  </property>
</Properties>
</file>