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pacing w:val="0"/>
          <w:sz w:val="44"/>
          <w:szCs w:val="44"/>
          <w:lang w:eastAsia="zh-CN"/>
        </w:rPr>
      </w:pPr>
      <w:bookmarkStart w:id="0" w:name="_GoBack"/>
      <w:r>
        <w:rPr>
          <w:rFonts w:hint="eastAsia" w:ascii="方正小标宋简体" w:hAnsi="方正小标宋简体" w:eastAsia="方正小标宋简体" w:cs="方正小标宋简体"/>
          <w:b w:val="0"/>
          <w:bCs w:val="0"/>
          <w:color w:val="000000"/>
          <w:spacing w:val="0"/>
          <w:sz w:val="44"/>
          <w:szCs w:val="44"/>
          <w:lang w:val="en-US" w:eastAsia="zh-CN"/>
        </w:rPr>
        <w:t>柳江区</w:t>
      </w:r>
      <w:r>
        <w:rPr>
          <w:rFonts w:hint="eastAsia" w:ascii="方正小标宋简体" w:hAnsi="方正小标宋简体" w:eastAsia="方正小标宋简体" w:cs="方正小标宋简体"/>
          <w:b w:val="0"/>
          <w:bCs w:val="0"/>
          <w:color w:val="000000"/>
          <w:spacing w:val="0"/>
          <w:sz w:val="44"/>
          <w:szCs w:val="44"/>
          <w:lang w:eastAsia="zh-CN"/>
        </w:rPr>
        <w:t>实施乡村振兴战略指挥部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pacing w:val="0"/>
          <w:sz w:val="44"/>
          <w:szCs w:val="44"/>
          <w:lang w:eastAsia="zh-CN"/>
        </w:rPr>
      </w:pPr>
      <w:r>
        <w:rPr>
          <w:rFonts w:hint="eastAsia" w:ascii="方正小标宋简体" w:hAnsi="方正小标宋简体" w:eastAsia="方正小标宋简体" w:cs="方正小标宋简体"/>
          <w:b w:val="0"/>
          <w:bCs w:val="0"/>
          <w:color w:val="000000"/>
          <w:spacing w:val="0"/>
          <w:sz w:val="44"/>
          <w:szCs w:val="44"/>
          <w:lang w:eastAsia="zh-CN"/>
        </w:rPr>
        <w:t>工作报告和信息报送制度（修订版）</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为更好地贯彻落实</w:t>
      </w:r>
      <w:r>
        <w:rPr>
          <w:rFonts w:hint="eastAsia" w:ascii="仿宋_GB2312" w:hAnsi="仿宋_GB2312" w:eastAsia="仿宋_GB2312" w:cs="仿宋_GB2312"/>
          <w:color w:val="000000"/>
          <w:spacing w:val="0"/>
          <w:sz w:val="32"/>
          <w:szCs w:val="32"/>
          <w:lang w:val="en-US" w:eastAsia="zh-CN"/>
        </w:rPr>
        <w:t>中央、自治区、柳州市和柳江区</w:t>
      </w:r>
      <w:r>
        <w:rPr>
          <w:rFonts w:hint="eastAsia" w:ascii="仿宋_GB2312" w:hAnsi="仿宋_GB2312" w:eastAsia="仿宋_GB2312" w:cs="仿宋_GB2312"/>
          <w:b w:val="0"/>
          <w:bCs w:val="0"/>
          <w:color w:val="000000"/>
          <w:spacing w:val="0"/>
          <w:sz w:val="32"/>
          <w:szCs w:val="32"/>
          <w:lang w:eastAsia="zh-CN"/>
        </w:rPr>
        <w:t>实施乡村振兴战略决策部署，结合</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指挥部工作实际，制定本制度。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pacing w:val="0"/>
          <w:sz w:val="32"/>
          <w:szCs w:val="32"/>
          <w:lang w:eastAsia="zh-CN"/>
        </w:rPr>
      </w:pPr>
      <w:r>
        <w:rPr>
          <w:rFonts w:hint="eastAsia" w:ascii="黑体" w:hAnsi="黑体" w:eastAsia="黑体" w:cs="黑体"/>
          <w:b w:val="0"/>
          <w:bCs w:val="0"/>
          <w:color w:val="000000"/>
          <w:spacing w:val="0"/>
          <w:sz w:val="32"/>
          <w:szCs w:val="32"/>
          <w:lang w:eastAsia="zh-CN"/>
        </w:rPr>
        <w:t>一、工作报告制度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楷体" w:hAnsi="楷体" w:eastAsia="楷体" w:cs="楷体"/>
          <w:b w:val="0"/>
          <w:bCs w:val="0"/>
          <w:color w:val="000000"/>
          <w:spacing w:val="0"/>
          <w:sz w:val="32"/>
          <w:szCs w:val="32"/>
          <w:lang w:eastAsia="zh-CN"/>
        </w:rPr>
        <w:t>（一）日常工作报告。</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指挥部每季度向</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委</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政府书面报告工作。</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指挥部各专责小组每季度向</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指挥部书面报告工作。</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指挥部各专责小组成员单位每半年向</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指挥部书面报告工作。各专责小组可根据</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指挥部领导指示要求或工作需要开展专题调研，形成专题报告报</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楷体" w:hAnsi="楷体" w:eastAsia="楷体" w:cs="楷体"/>
          <w:b w:val="0"/>
          <w:bCs w:val="0"/>
          <w:color w:val="000000"/>
          <w:spacing w:val="0"/>
          <w:sz w:val="32"/>
          <w:szCs w:val="32"/>
          <w:lang w:eastAsia="zh-CN"/>
        </w:rPr>
        <w:t>（二）重要事项报告。</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实施乡村振兴战略指挥部、</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及成员单位需及时报告以下事项：国家部委、相关媒体通过“四不两直”方式到属地开展暗访、调研情况；国家部委或自治区领导对属地乡村振兴工作指出的问题和提出的要求；本地乡村振兴领域相关舆情及重大突发敏感事件；巩固拓展脱贫攻坚成果、全面推进乡村振兴领域风险隐患等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指挥部各专责小组成员单位重要事项须第一时间报告各专责小组，经组长同意后书面报至</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指挥部办公室。</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实施乡村振兴战略指挥部重要事项须第一时间逐级书面报告至市指挥部办公室。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pacing w:val="0"/>
          <w:sz w:val="32"/>
          <w:szCs w:val="32"/>
          <w:lang w:eastAsia="zh-CN"/>
        </w:rPr>
      </w:pPr>
      <w:r>
        <w:rPr>
          <w:rFonts w:hint="eastAsia" w:ascii="黑体" w:hAnsi="黑体" w:eastAsia="黑体" w:cs="黑体"/>
          <w:b w:val="0"/>
          <w:bCs w:val="0"/>
          <w:color w:val="000000"/>
          <w:spacing w:val="0"/>
          <w:sz w:val="32"/>
          <w:szCs w:val="32"/>
          <w:lang w:eastAsia="zh-CN"/>
        </w:rPr>
        <w:t>二、信息报送制度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sz w:val="32"/>
          <w:szCs w:val="32"/>
          <w:lang w:eastAsia="zh-CN"/>
        </w:rPr>
      </w:pPr>
      <w:r>
        <w:rPr>
          <w:rFonts w:hint="eastAsia" w:ascii="楷体_GB2312" w:hAnsi="楷体_GB2312" w:eastAsia="楷体_GB2312" w:cs="楷体_GB2312"/>
          <w:b w:val="0"/>
          <w:bCs w:val="0"/>
          <w:color w:val="000000"/>
          <w:spacing w:val="0"/>
          <w:sz w:val="32"/>
          <w:szCs w:val="32"/>
          <w:lang w:eastAsia="zh-CN"/>
        </w:rPr>
        <w:t>（一）报送内容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lang w:eastAsia="zh-CN"/>
        </w:rPr>
        <w:t>.在巩固拓展脱贫攻坚成果、全面推进乡村振兴，加快推动农业农村现代化、建设农业强区工作中发现的先进典型、先进经验。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2</w:t>
      </w:r>
      <w:r>
        <w:rPr>
          <w:rFonts w:hint="eastAsia" w:ascii="仿宋_GB2312" w:hAnsi="仿宋_GB2312" w:eastAsia="仿宋_GB2312" w:cs="仿宋_GB2312"/>
          <w:b w:val="0"/>
          <w:bCs w:val="0"/>
          <w:color w:val="000000"/>
          <w:spacing w:val="0"/>
          <w:sz w:val="32"/>
          <w:szCs w:val="32"/>
          <w:lang w:eastAsia="zh-CN"/>
        </w:rPr>
        <w:t>.自治区领导同志批示通报的先进典型、先进经验。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3</w:t>
      </w:r>
      <w:r>
        <w:rPr>
          <w:rFonts w:hint="eastAsia" w:ascii="仿宋_GB2312" w:hAnsi="仿宋_GB2312" w:eastAsia="仿宋_GB2312" w:cs="仿宋_GB2312"/>
          <w:b w:val="0"/>
          <w:bCs w:val="0"/>
          <w:color w:val="000000"/>
          <w:spacing w:val="0"/>
          <w:sz w:val="32"/>
          <w:szCs w:val="32"/>
          <w:lang w:eastAsia="zh-CN"/>
        </w:rPr>
        <w:t>.国家各有关部委专报、中央主要媒体等编发的乡村振兴典型经验。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4</w:t>
      </w:r>
      <w:r>
        <w:rPr>
          <w:rFonts w:hint="eastAsia" w:ascii="仿宋_GB2312" w:hAnsi="仿宋_GB2312" w:eastAsia="仿宋_GB2312" w:cs="仿宋_GB2312"/>
          <w:b w:val="0"/>
          <w:bCs w:val="0"/>
          <w:color w:val="000000"/>
          <w:spacing w:val="0"/>
          <w:sz w:val="32"/>
          <w:szCs w:val="32"/>
          <w:lang w:eastAsia="zh-CN"/>
        </w:rPr>
        <w:t>.其他需要报送的信息。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sz w:val="32"/>
          <w:szCs w:val="32"/>
          <w:lang w:eastAsia="zh-CN"/>
        </w:rPr>
      </w:pPr>
      <w:r>
        <w:rPr>
          <w:rFonts w:hint="eastAsia" w:ascii="楷体_GB2312" w:hAnsi="楷体_GB2312" w:eastAsia="楷体_GB2312" w:cs="楷体_GB2312"/>
          <w:b w:val="0"/>
          <w:bCs w:val="0"/>
          <w:color w:val="000000"/>
          <w:spacing w:val="0"/>
          <w:sz w:val="32"/>
          <w:szCs w:val="32"/>
          <w:lang w:eastAsia="zh-CN"/>
        </w:rPr>
        <w:t>（二）报送要求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典型经验类信息，</w:t>
      </w:r>
      <w:r>
        <w:rPr>
          <w:rFonts w:hint="eastAsia" w:ascii="仿宋_GB2312" w:hAnsi="仿宋_GB2312" w:eastAsia="仿宋_GB2312" w:cs="仿宋_GB2312"/>
          <w:b w:val="0"/>
          <w:bCs w:val="0"/>
          <w:color w:val="000000"/>
          <w:spacing w:val="0"/>
          <w:sz w:val="32"/>
          <w:szCs w:val="32"/>
          <w:lang w:val="en-US" w:eastAsia="zh-CN"/>
        </w:rPr>
        <w:t>区指挥部办公室</w:t>
      </w:r>
      <w:r>
        <w:rPr>
          <w:rFonts w:hint="eastAsia" w:ascii="仿宋_GB2312" w:hAnsi="仿宋_GB2312" w:eastAsia="仿宋_GB2312" w:cs="仿宋_GB2312"/>
          <w:b w:val="0"/>
          <w:bCs w:val="0"/>
          <w:color w:val="000000"/>
          <w:spacing w:val="0"/>
          <w:sz w:val="32"/>
          <w:szCs w:val="32"/>
          <w:lang w:eastAsia="zh-CN"/>
        </w:rPr>
        <w:t>每月向市指挥部办公室报送不少于</w:t>
      </w:r>
      <w:r>
        <w:rPr>
          <w:rFonts w:hint="eastAsia" w:ascii="Times New Roman" w:hAnsi="Times New Roman" w:eastAsia="仿宋_GB2312" w:cs="仿宋_GB2312"/>
          <w:b w:val="0"/>
          <w:bCs w:val="0"/>
          <w:color w:val="000000"/>
          <w:spacing w:val="0"/>
          <w:sz w:val="32"/>
          <w:szCs w:val="32"/>
          <w:lang w:eastAsia="zh-CN"/>
        </w:rPr>
        <w:t>2</w:t>
      </w:r>
      <w:r>
        <w:rPr>
          <w:rFonts w:hint="eastAsia" w:ascii="仿宋_GB2312" w:hAnsi="仿宋_GB2312" w:eastAsia="仿宋_GB2312" w:cs="仿宋_GB2312"/>
          <w:b w:val="0"/>
          <w:bCs w:val="0"/>
          <w:color w:val="000000"/>
          <w:spacing w:val="0"/>
          <w:sz w:val="32"/>
          <w:szCs w:val="32"/>
          <w:lang w:eastAsia="zh-CN"/>
        </w:rPr>
        <w:t>条，</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指挥部各专责小组每月向</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指挥部办公室报送不少于</w:t>
      </w:r>
      <w:r>
        <w:rPr>
          <w:rFonts w:hint="eastAsia" w:ascii="Times New Roman" w:hAnsi="Times New Roman"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lang w:eastAsia="zh-CN"/>
        </w:rPr>
        <w:t>条，各成员单位每季度向</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各专责小组组长单位报送不少于</w:t>
      </w:r>
      <w:r>
        <w:rPr>
          <w:rFonts w:hint="eastAsia" w:ascii="Times New Roman" w:hAnsi="Times New Roman"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lang w:eastAsia="zh-CN"/>
        </w:rPr>
        <w:t>条；问题建议类信息，</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指挥部各专责小组每月报送不少于</w:t>
      </w:r>
      <w:r>
        <w:rPr>
          <w:rFonts w:hint="eastAsia" w:ascii="Times New Roman" w:hAnsi="Times New Roman"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lang w:eastAsia="zh-CN"/>
        </w:rPr>
        <w:t>条，各成员单位每季度向</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各专责小组组长单位报送不少于</w:t>
      </w:r>
      <w:r>
        <w:rPr>
          <w:rFonts w:hint="eastAsia" w:ascii="Times New Roman" w:hAnsi="Times New Roman"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lang w:eastAsia="zh-CN"/>
        </w:rPr>
        <w:t>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color w:val="000000"/>
          <w:spacing w:val="0"/>
          <w:sz w:val="32"/>
          <w:szCs w:val="32"/>
          <w:lang w:eastAsia="zh-CN"/>
        </w:rPr>
      </w:pPr>
      <w:r>
        <w:rPr>
          <w:rFonts w:hint="eastAsia" w:ascii="楷体_GB2312" w:hAnsi="楷体_GB2312" w:eastAsia="楷体_GB2312" w:cs="楷体_GB2312"/>
          <w:b w:val="0"/>
          <w:bCs w:val="0"/>
          <w:color w:val="000000"/>
          <w:spacing w:val="0"/>
          <w:sz w:val="32"/>
          <w:szCs w:val="32"/>
          <w:lang w:eastAsia="zh-CN"/>
        </w:rPr>
        <w:t>（三）信息宣传报道方式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1</w:t>
      </w:r>
      <w:r>
        <w:rPr>
          <w:rFonts w:hint="eastAsia" w:ascii="仿宋_GB2312" w:hAnsi="仿宋_GB2312" w:eastAsia="仿宋_GB2312" w:cs="仿宋_GB2312"/>
          <w:b w:val="0"/>
          <w:bCs w:val="0"/>
          <w:color w:val="000000"/>
          <w:spacing w:val="0"/>
          <w:sz w:val="32"/>
          <w:szCs w:val="32"/>
          <w:lang w:eastAsia="zh-CN"/>
        </w:rPr>
        <w:t>.通过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柳江新闻、“微柳江”公众号、区乡村振兴局公众号</w:t>
      </w:r>
      <w:r>
        <w:rPr>
          <w:rFonts w:hint="eastAsia" w:ascii="仿宋_GB2312" w:hAnsi="仿宋_GB2312" w:eastAsia="仿宋_GB2312" w:cs="仿宋_GB2312"/>
          <w:b w:val="0"/>
          <w:bCs w:val="0"/>
          <w:color w:val="000000"/>
          <w:spacing w:val="0"/>
          <w:sz w:val="32"/>
          <w:szCs w:val="32"/>
          <w:lang w:eastAsia="zh-CN"/>
        </w:rPr>
        <w:t>进行宣传推广。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2</w:t>
      </w:r>
      <w:r>
        <w:rPr>
          <w:rFonts w:hint="eastAsia" w:ascii="仿宋_GB2312" w:hAnsi="仿宋_GB2312" w:eastAsia="仿宋_GB2312" w:cs="仿宋_GB2312"/>
          <w:b w:val="0"/>
          <w:bCs w:val="0"/>
          <w:color w:val="000000"/>
          <w:spacing w:val="0"/>
          <w:sz w:val="32"/>
          <w:szCs w:val="32"/>
          <w:lang w:eastAsia="zh-CN"/>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“微柳江”公众号、区乡村振兴局</w:t>
      </w:r>
      <w:r>
        <w:rPr>
          <w:rFonts w:hint="eastAsia" w:ascii="仿宋_GB2312" w:hAnsi="仿宋_GB2312" w:eastAsia="仿宋_GB2312" w:cs="仿宋_GB2312"/>
          <w:b w:val="0"/>
          <w:bCs w:val="0"/>
          <w:color w:val="000000"/>
          <w:spacing w:val="0"/>
          <w:sz w:val="32"/>
          <w:szCs w:val="32"/>
          <w:lang w:eastAsia="zh-CN"/>
        </w:rPr>
        <w:t>公众号开设专栏，表扬巩固拓展脱贫攻坚成果、全面推进乡村振兴，加快推动农业农村现代化工作中的先进典型。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Times New Roman" w:hAnsi="Times New Roman" w:eastAsia="仿宋_GB2312" w:cs="仿宋_GB2312"/>
          <w:b w:val="0"/>
          <w:bCs w:val="0"/>
          <w:color w:val="000000"/>
          <w:spacing w:val="0"/>
          <w:sz w:val="32"/>
          <w:szCs w:val="32"/>
          <w:lang w:eastAsia="zh-CN"/>
        </w:rPr>
        <w:t>3</w:t>
      </w:r>
      <w:r>
        <w:rPr>
          <w:rFonts w:hint="eastAsia" w:ascii="仿宋_GB2312" w:hAnsi="仿宋_GB2312" w:eastAsia="仿宋_GB2312" w:cs="仿宋_GB2312"/>
          <w:b w:val="0"/>
          <w:bCs w:val="0"/>
          <w:color w:val="000000"/>
          <w:spacing w:val="0"/>
          <w:sz w:val="32"/>
          <w:szCs w:val="32"/>
          <w:lang w:eastAsia="zh-CN"/>
        </w:rPr>
        <w:t>.积极向</w:t>
      </w:r>
      <w:r>
        <w:rPr>
          <w:rFonts w:hint="eastAsia" w:ascii="仿宋_GB2312" w:hAnsi="仿宋_GB2312" w:eastAsia="仿宋_GB2312" w:cs="仿宋_GB2312"/>
          <w:b w:val="0"/>
          <w:bCs w:val="0"/>
          <w:color w:val="000000"/>
          <w:spacing w:val="0"/>
          <w:sz w:val="32"/>
          <w:szCs w:val="32"/>
          <w:lang w:val="en-US" w:eastAsia="zh-CN"/>
        </w:rPr>
        <w:t>自治区、柳州市</w:t>
      </w:r>
      <w:r>
        <w:rPr>
          <w:rFonts w:hint="eastAsia" w:ascii="仿宋_GB2312" w:hAnsi="仿宋_GB2312" w:eastAsia="仿宋_GB2312" w:cs="仿宋_GB2312"/>
          <w:b w:val="0"/>
          <w:bCs w:val="0"/>
          <w:color w:val="000000"/>
          <w:spacing w:val="0"/>
          <w:sz w:val="32"/>
          <w:szCs w:val="32"/>
          <w:lang w:eastAsia="zh-CN"/>
        </w:rPr>
        <w:t>乡村振兴局《乡村振兴简报》上报信息，力争采纳。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color w:val="000000"/>
          <w:spacing w:val="0"/>
          <w:sz w:val="32"/>
          <w:szCs w:val="32"/>
          <w:lang w:eastAsia="zh-CN"/>
        </w:rPr>
      </w:pPr>
      <w:r>
        <w:rPr>
          <w:rFonts w:hint="eastAsia" w:ascii="仿宋_GB2312" w:hAnsi="仿宋_GB2312" w:eastAsia="仿宋_GB2312" w:cs="仿宋_GB2312"/>
          <w:b w:val="0"/>
          <w:bCs w:val="0"/>
          <w:color w:val="000000"/>
          <w:spacing w:val="0"/>
          <w:sz w:val="32"/>
          <w:szCs w:val="32"/>
          <w:lang w:eastAsia="zh-CN"/>
        </w:rPr>
        <w:t>区实施乡村振兴战略指挥部，</w:t>
      </w:r>
      <w:r>
        <w:rPr>
          <w:rFonts w:hint="eastAsia" w:ascii="仿宋_GB2312" w:hAnsi="仿宋_GB2312" w:eastAsia="仿宋_GB2312" w:cs="仿宋_GB2312"/>
          <w:b w:val="0"/>
          <w:bCs w:val="0"/>
          <w:color w:val="000000"/>
          <w:spacing w:val="0"/>
          <w:sz w:val="32"/>
          <w:szCs w:val="32"/>
          <w:lang w:val="en-US" w:eastAsia="zh-CN"/>
        </w:rPr>
        <w:t>区</w:t>
      </w:r>
      <w:r>
        <w:rPr>
          <w:rFonts w:hint="eastAsia" w:ascii="仿宋_GB2312" w:hAnsi="仿宋_GB2312" w:eastAsia="仿宋_GB2312" w:cs="仿宋_GB2312"/>
          <w:b w:val="0"/>
          <w:bCs w:val="0"/>
          <w:color w:val="000000"/>
          <w:spacing w:val="0"/>
          <w:sz w:val="32"/>
          <w:szCs w:val="32"/>
          <w:lang w:eastAsia="zh-CN"/>
        </w:rPr>
        <w:t>指挥部各专责小组要建立工作报告和信息报送工作台账，工作报告和报送信息经主要负责同志审阅后按时报送。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color w:val="000000"/>
          <w:spacing w:val="0"/>
          <w:sz w:val="32"/>
          <w:szCs w:val="32"/>
          <w:lang w:eastAsia="zh-CN"/>
        </w:rPr>
      </w:pPr>
      <w:r>
        <w:rPr>
          <w:rFonts w:hint="eastAsia" w:ascii="黑体" w:hAnsi="黑体" w:eastAsia="黑体" w:cs="黑体"/>
          <w:color w:val="000000"/>
          <w:spacing w:val="0"/>
          <w:sz w:val="32"/>
          <w:szCs w:val="32"/>
          <w:lang w:val="en-US" w:eastAsia="zh-CN"/>
        </w:rPr>
        <w:t>四、</w:t>
      </w:r>
      <w:r>
        <w:rPr>
          <w:rFonts w:hint="eastAsia" w:ascii="黑体" w:hAnsi="黑体" w:eastAsia="黑体" w:cs="黑体"/>
          <w:b w:val="0"/>
          <w:bCs w:val="0"/>
          <w:color w:val="000000"/>
          <w:spacing w:val="0"/>
          <w:sz w:val="32"/>
          <w:szCs w:val="32"/>
          <w:lang w:eastAsia="zh-CN"/>
        </w:rPr>
        <w:t>本制度自印发之日起执行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5096D"/>
    <w:rsid w:val="76D50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ind w:left="113"/>
    </w:pPr>
    <w:rPr>
      <w:rFonts w:ascii="仿宋_GB2312" w:hAnsi="仿宋_GB2312"/>
      <w:szCs w:val="32"/>
    </w:rPr>
  </w:style>
  <w:style w:type="paragraph" w:styleId="3">
    <w:name w:val="Title"/>
    <w:basedOn w:val="1"/>
    <w:next w:val="1"/>
    <w:qFormat/>
    <w:uiPriority w:val="0"/>
    <w:pPr>
      <w:spacing w:line="600" w:lineRule="exact"/>
      <w:jc w:val="center"/>
      <w:outlineLvl w:val="0"/>
    </w:pPr>
    <w:rPr>
      <w:rFonts w:ascii="Times New Roman" w:hAnsi="Times New Roman" w:eastAsia="方正小标宋简体" w:cs="Times New Roman"/>
      <w:bCs/>
      <w:sz w:val="44"/>
      <w:szCs w:val="3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2023-12-08T12:23:00Z</dcterms:created>
  <dc:creator>西早木草心</dc:creator>
  <cp:lastModifiedBy>西早木草心</cp:lastModifiedBy>
  <dcterms:modified xsi:type="dcterms:W3CDTF">2023-12-08T12:23:40Z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2740EE2C168149EB9929B62354DEF905</vt:lpwstr>
  </property>
</Properties>
</file>