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570" w:lineRule="exact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  <w:t>附件3—1</w:t>
      </w:r>
    </w:p>
    <w:p>
      <w:pPr>
        <w:autoSpaceDE/>
        <w:autoSpaceDN/>
        <w:spacing w:line="57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镇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级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工作清单</w:t>
      </w:r>
    </w:p>
    <w:p>
      <w:pPr>
        <w:pStyle w:val="7"/>
        <w:autoSpaceDE/>
        <w:autoSpaceDN/>
        <w:spacing w:line="570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Cs w:val="32"/>
        </w:rPr>
      </w:pPr>
    </w:p>
    <w:tbl>
      <w:tblPr>
        <w:tblStyle w:val="5"/>
        <w:tblW w:w="9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43"/>
        <w:gridCol w:w="2160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blHeader/>
          <w:jc w:val="center"/>
        </w:trPr>
        <w:tc>
          <w:tcPr>
            <w:tcW w:w="254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工作阶段</w:t>
            </w:r>
          </w:p>
        </w:tc>
        <w:tc>
          <w:tcPr>
            <w:tcW w:w="216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4786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543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业务培训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（10月31日前）</w:t>
            </w:r>
          </w:p>
        </w:tc>
        <w:tc>
          <w:tcPr>
            <w:tcW w:w="2160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（一）业务培训</w:t>
            </w:r>
          </w:p>
        </w:tc>
        <w:tc>
          <w:tcPr>
            <w:tcW w:w="4786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镇统筹乡村两级开展全覆盖培训。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543" w:type="dxa"/>
            <w:vMerge w:val="restart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开展信息</w:t>
            </w:r>
          </w:p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动态管理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（10月下旬—</w:t>
            </w:r>
          </w:p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12月15日）</w:t>
            </w:r>
          </w:p>
        </w:tc>
        <w:tc>
          <w:tcPr>
            <w:tcW w:w="2160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（二）工作调度</w:t>
            </w:r>
          </w:p>
        </w:tc>
        <w:tc>
          <w:tcPr>
            <w:tcW w:w="4786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定期调度所辖各行政村（含社区，以下简称村）信息动态管理工作进度和质量。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43" w:type="dxa"/>
            <w:vMerge w:val="continue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（三）解答问题</w:t>
            </w:r>
          </w:p>
        </w:tc>
        <w:tc>
          <w:tcPr>
            <w:tcW w:w="4786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收集并解答各村开展信息动态管理过程中出现的问题，不能解答的及时上报县级进行解答。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543" w:type="dxa"/>
            <w:vMerge w:val="continue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（四）数据清洗</w:t>
            </w:r>
          </w:p>
        </w:tc>
        <w:tc>
          <w:tcPr>
            <w:tcW w:w="4786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结合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级汇总下发的疑似问题清单，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组织所辖村进行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核实。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59" w:hRule="atLeast"/>
          <w:jc w:val="center"/>
        </w:trPr>
        <w:tc>
          <w:tcPr>
            <w:tcW w:w="2543" w:type="dxa"/>
            <w:vMerge w:val="continue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（五）录入全国系统</w:t>
            </w:r>
          </w:p>
        </w:tc>
        <w:tc>
          <w:tcPr>
            <w:tcW w:w="4786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11月30日前，组织防返贫监测信息员在全国系统中录入农户、采集人员和审核人员“三方签字”确认后的脱贫户和监测对象信息表有更新变化的信息以及村“两委”主要负责人、采集人员和审核人员“三方签字”确认后的脱贫村信息表有更新变化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08" w:hRule="atLeast"/>
          <w:jc w:val="center"/>
        </w:trPr>
        <w:tc>
          <w:tcPr>
            <w:tcW w:w="2543" w:type="dxa"/>
            <w:vMerge w:val="continue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）组织审核</w:t>
            </w:r>
          </w:p>
        </w:tc>
        <w:tc>
          <w:tcPr>
            <w:tcW w:w="4786" w:type="dxa"/>
            <w:vAlign w:val="center"/>
          </w:tcPr>
          <w:p>
            <w:pPr>
              <w:autoSpaceDE/>
              <w:autoSpaceDN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根据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级统一部署，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在信息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采集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更新时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组织开展实地审核。</w:t>
            </w:r>
          </w:p>
        </w:tc>
      </w:tr>
    </w:tbl>
    <w:p>
      <w:pPr>
        <w:autoSpaceDE/>
        <w:autoSpaceDN/>
        <w:spacing w:line="570" w:lineRule="exact"/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sz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  <w:br w:type="page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  <w:t>附件3—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0"/>
          <w:sz w:val="32"/>
          <w:lang w:val="en-US" w:eastAsia="zh-CN"/>
        </w:rPr>
        <w:t>2</w:t>
      </w:r>
    </w:p>
    <w:p>
      <w:pPr>
        <w:autoSpaceDE/>
        <w:autoSpaceDN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村级工作清单</w:t>
      </w:r>
    </w:p>
    <w:p>
      <w:pPr>
        <w:autoSpaceDE/>
        <w:autoSpaceDN/>
        <w:spacing w:line="570" w:lineRule="exact"/>
        <w:ind w:firstLine="640" w:firstLineChars="200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</w:rPr>
      </w:pPr>
    </w:p>
    <w:tbl>
      <w:tblPr>
        <w:tblStyle w:val="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407"/>
        <w:gridCol w:w="1806"/>
        <w:gridCol w:w="5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blHeader/>
          <w:jc w:val="center"/>
        </w:trPr>
        <w:tc>
          <w:tcPr>
            <w:tcW w:w="2407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工作阶段</w:t>
            </w:r>
          </w:p>
        </w:tc>
        <w:tc>
          <w:tcPr>
            <w:tcW w:w="1806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5045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工作部署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（10月31日前）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（一）布置工作任务</w:t>
            </w:r>
          </w:p>
        </w:tc>
        <w:tc>
          <w:tcPr>
            <w:tcW w:w="5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根据镇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级安排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开展业务培训，明确工作任务、时间要求等。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36" w:hRule="atLeast"/>
          <w:jc w:val="center"/>
        </w:trPr>
        <w:tc>
          <w:tcPr>
            <w:tcW w:w="24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开展信息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动态管理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（10月下旬—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12月15日）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（二）采集录入信息（11月30日前）</w:t>
            </w:r>
          </w:p>
        </w:tc>
        <w:tc>
          <w:tcPr>
            <w:tcW w:w="5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1.组织防止返贫监测帮扶一级网格员、二级网格员和帮扶联系人等利用广西防返贫APP“帮扶手册（信息采集）”功能模块，对每户脱贫户和监测对象入户核实更新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巩固拓展脱贫攻坚成果发生变化的信息，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经实地审核后，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由农户、采集人员和审核人员“三方签字”确认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【注：信号不好的地方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农户不会签字的，在广西信息平台导出纸质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表入户采集更新信息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eastAsia="zh-CN"/>
              </w:rPr>
              <w:t>后，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</w:rPr>
              <w:t>由农户、采集人员和审核人员“三方签字”确认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不会签字的农户则按手印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采集人员在手印下方备注说明按手印人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姓名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】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kern w:val="2"/>
                <w:sz w:val="28"/>
                <w:szCs w:val="28"/>
                <w:lang w:eastAsia="zh-CN" w:bidi="ar-SA"/>
              </w:rPr>
              <w:t>2.属于脱贫村的，组织防止返贫监测帮扶一级网格员等利用广西信息平台，根据本村实际变化情况，更新《2023年度脱贫村信息采集表》，防止返贫监测帮扶四级网格长等进行审核，并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由村“两委”主要负责人、采集人员和审核人员签字确认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spacing w:val="0"/>
                <w:kern w:val="2"/>
                <w:sz w:val="28"/>
                <w:szCs w:val="28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22" w:hRule="atLeast"/>
          <w:jc w:val="center"/>
        </w:trPr>
        <w:tc>
          <w:tcPr>
            <w:tcW w:w="24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（三）数据核实修正（11月1日—12日15日）</w:t>
            </w:r>
          </w:p>
        </w:tc>
        <w:tc>
          <w:tcPr>
            <w:tcW w:w="5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组织人员对上级下发的疑似问题清单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实地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或与农户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核实核准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报乡镇在全国系统修正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属于脱贫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、监测对象“三保障”和饮水安全及年度收入等重要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信息有误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，则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由农户、采集人员和审核人员“三方签字”确认；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若脱贫村信息有误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</w:rPr>
              <w:t>，则据实修正并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报镇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在全国系统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更正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30ADD"/>
    <w:rsid w:val="59F3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 w:cs="Times New Roman"/>
      <w:spacing w:val="6"/>
      <w:kern w:val="2"/>
      <w:sz w:val="30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qFormat/>
    <w:uiPriority w:val="0"/>
    <w:pPr>
      <w:pBdr>
        <w:bottom w:val="single" w:color="auto" w:sz="12" w:space="1"/>
      </w:pBdr>
      <w:autoSpaceDE/>
      <w:autoSpaceDN/>
      <w:snapToGrid/>
      <w:spacing w:before="240" w:after="100" w:line="240" w:lineRule="auto"/>
      <w:jc w:val="center"/>
      <w:textAlignment w:val="baseline"/>
      <w:outlineLvl w:val="0"/>
    </w:pPr>
    <w:rPr>
      <w:rFonts w:ascii="Arial" w:hAnsi="Arial" w:eastAsia="黑体" w:cs="Times New Roman"/>
      <w:color w:val="FF0000"/>
      <w:spacing w:val="0"/>
      <w:kern w:val="0"/>
      <w:sz w:val="48"/>
      <w:szCs w:val="20"/>
    </w:rPr>
  </w:style>
  <w:style w:type="paragraph" w:styleId="4">
    <w:name w:val="Salutation"/>
    <w:next w:val="1"/>
    <w:qFormat/>
    <w:uiPriority w:val="0"/>
    <w:pPr>
      <w:widowControl w:val="0"/>
      <w:suppressAutoHyphens w:val="0"/>
      <w:jc w:val="both"/>
    </w:pPr>
    <w:rPr>
      <w:rFonts w:ascii="Cambria" w:hAnsi="Cambria" w:eastAsia="宋体" w:cs="Times New Roman"/>
      <w:caps/>
      <w:color w:val="632423"/>
      <w:spacing w:val="50"/>
      <w:kern w:val="0"/>
      <w:sz w:val="44"/>
      <w:szCs w:val="44"/>
      <w:lang w:val="en-US" w:eastAsia="en-US" w:bidi="en-US"/>
    </w:rPr>
  </w:style>
  <w:style w:type="paragraph" w:customStyle="1" w:styleId="7">
    <w:name w:val="UserStyle_0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ind w:firstLine="200" w:firstLineChars="200"/>
      <w:jc w:val="both"/>
      <w:textAlignment w:val="baseline"/>
    </w:pPr>
    <w:rPr>
      <w:rFonts w:ascii="Times New Roman" w:hAnsi="Times New Roman" w:eastAsia="宋体" w:cs="Times New Roman"/>
      <w:spacing w:val="6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2023-12-08T13:02:00Z</dcterms:created>
  <dc:creator>西早木草心</dc:creator>
  <cp:lastModifiedBy>西早木草心</cp:lastModifiedBy>
  <dcterms:modified xsi:type="dcterms:W3CDTF">2023-12-08T13:02:56Z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4B89407D049547499219465C74269E98</vt:lpwstr>
  </property>
</Properties>
</file>