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 xml:space="preserve">            柳州市柳江区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国有土地上房屋征收与补偿领域基层政务公开标准目录</w:t>
      </w:r>
    </w:p>
    <w:tbl>
      <w:tblPr>
        <w:tblStyle w:val="4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柳江区人民政府及柳州市柳江区征地拆迁和房屋征收补偿服务中心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柳江区人民政府及柳州市柳江区征地拆迁和房屋征收补偿服务中心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柳江区人民政府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柳江区发展和改革局、柳江区自然资源局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柳江区人民政府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柳江区人民政府及柳州市柳江区征地拆迁和房屋征收补偿服务中心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论证结论;征求意见情况;根据公众意见修改情况。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柳江区人民政府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柳江区人民政府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柳州市柳江区征地拆迁和房屋征收补偿服务中心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柳州市柳江区征地拆迁和房屋征收补偿服务中心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柳州市柳江区征地拆迁和房屋征收补偿服务中心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柳州市柳江区征地拆迁和房屋征收补偿服务中心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柳江区人民政府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30"/>
          <w:szCs w:val="30"/>
        </w:rPr>
      </w:pPr>
    </w:p>
    <w:p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/>
      </w:rPr>
    </w:pPr>
  </w:p>
  <w:p>
    <w:pPr>
      <w:pStyle w:val="3"/>
      <w:jc w:val="center"/>
      <w:rPr>
        <w:rFonts w:hint="eastAsia"/>
      </w:rPr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158</w:t>
    </w:r>
    <w:r>
      <w:rPr>
        <w:rStyle w:val="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F11E7"/>
    <w:rsid w:val="20052755"/>
    <w:rsid w:val="33E572B4"/>
    <w:rsid w:val="3B4C03B7"/>
    <w:rsid w:val="49DD23C1"/>
    <w:rsid w:val="4D0F11E7"/>
    <w:rsid w:val="6D6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2020-11-17T10:43:00Z</dcterms:created>
  <dc:creator>洋燊</dc:creator>
  <cp:lastModifiedBy>emily</cp:lastModifiedBy>
  <cp:lastPrinted>2020-11-30T07:52:29Z</cp:lastPrinted>
  <dcterms:modified xsi:type="dcterms:W3CDTF">2020-11-30T08:11:44Z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