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ind w:right="25" w:rightChars="12"/>
        <w:jc w:val="center"/>
        <w:outlineLvl w:val="0"/>
        <w:rPr>
          <w:rFonts w:hint="eastAsia" w:ascii="Times New Roman" w:hAnsi="Times New Roman" w:eastAsia="方正小标宋_GBK" w:cs="Times New Roman"/>
          <w:sz w:val="44"/>
          <w:szCs w:val="44"/>
          <w:lang w:val="en-US" w:eastAsia="zh-CN"/>
        </w:rPr>
      </w:pPr>
      <w:bookmarkStart w:id="0" w:name="_GoBack"/>
      <w:bookmarkEnd w:id="0"/>
    </w:p>
    <w:p>
      <w:pPr>
        <w:adjustRightInd w:val="0"/>
        <w:snapToGrid w:val="0"/>
        <w:spacing w:line="600" w:lineRule="exact"/>
        <w:ind w:right="25" w:rightChars="12"/>
        <w:jc w:val="center"/>
        <w:outlineLvl w:val="0"/>
        <w:rPr>
          <w:rFonts w:hint="eastAsia"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《柳州市生态环境分区管控动态更新成果（2023年）》政策解读</w:t>
      </w:r>
    </w:p>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b w:val="0"/>
          <w:bCs w:val="0"/>
          <w:sz w:val="44"/>
          <w:szCs w:val="52"/>
          <w:highlight w:val="none"/>
          <w:lang w:val="en-US" w:eastAsia="zh-CN"/>
        </w:rPr>
      </w:pPr>
    </w:p>
    <w:p>
      <w:pPr>
        <w:pStyle w:val="6"/>
        <w:keepNext w:val="0"/>
        <w:keepLines w:val="0"/>
        <w:pageBreakBefore w:val="0"/>
        <w:widowControl/>
        <w:numPr>
          <w:ilvl w:val="0"/>
          <w:numId w:val="2"/>
        </w:numPr>
        <w:suppressLineNumbers w:val="0"/>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jc w:val="both"/>
        <w:textAlignment w:val="auto"/>
        <w:outlineLvl w:val="0"/>
        <w:rPr>
          <w:rFonts w:hint="eastAsia" w:ascii="Times New Roman" w:hAnsi="Times New Roman" w:eastAsia="黑体" w:cs="Times New Roman"/>
          <w:color w:val="000000" w:themeColor="text1"/>
          <w:sz w:val="32"/>
          <w:szCs w:val="32"/>
          <w:highlight w:val="none"/>
          <w:shd w:val="clear" w:fill="FFFFFF"/>
          <w:lang w:val="en-US" w:eastAsia="zh-CN"/>
          <w14:textFill>
            <w14:solidFill>
              <w14:schemeClr w14:val="tx1"/>
            </w14:solidFill>
          </w14:textFill>
        </w:rPr>
      </w:pPr>
      <w:r>
        <w:rPr>
          <w:rFonts w:hint="eastAsia" w:ascii="Times New Roman" w:hAnsi="Times New Roman" w:eastAsia="黑体" w:cs="Times New Roman"/>
          <w:color w:val="000000" w:themeColor="text1"/>
          <w:sz w:val="32"/>
          <w:szCs w:val="32"/>
          <w:highlight w:val="none"/>
          <w:shd w:val="clear" w:fill="FFFFFF"/>
          <w:lang w:val="en-US" w:eastAsia="zh-CN"/>
          <w14:textFill>
            <w14:solidFill>
              <w14:schemeClr w14:val="tx1"/>
            </w14:solidFill>
          </w14:textFill>
        </w:rPr>
        <w:t>政策背景</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jc w:val="both"/>
        <w:textAlignment w:val="auto"/>
        <w:outlineLvl w:val="9"/>
        <w:rPr>
          <w:rFonts w:hint="eastAsia" w:ascii="Times New Roman" w:hAnsi="Times New Roman" w:eastAsia="仿宋" w:cs="Times New Roman"/>
          <w:color w:val="000000" w:themeColor="text1"/>
          <w:kern w:val="2"/>
          <w:sz w:val="32"/>
          <w:szCs w:val="32"/>
          <w:highlight w:val="none"/>
          <w:u w:val="none"/>
          <w:lang w:val="en-US" w:eastAsia="zh-CN" w:bidi="ar"/>
          <w14:textFill>
            <w14:solidFill>
              <w14:schemeClr w14:val="tx1"/>
            </w14:solidFill>
          </w14:textFill>
        </w:rPr>
      </w:pPr>
      <w:r>
        <w:rPr>
          <w:rFonts w:hint="eastAsia" w:ascii="Times New Roman" w:hAnsi="Times New Roman" w:eastAsia="仿宋" w:cs="Times New Roman"/>
          <w:color w:val="000000" w:themeColor="text1"/>
          <w:kern w:val="2"/>
          <w:sz w:val="32"/>
          <w:szCs w:val="32"/>
          <w:highlight w:val="none"/>
          <w:u w:val="none"/>
          <w:lang w:val="en-US" w:eastAsia="zh-CN" w:bidi="ar"/>
          <w14:textFill>
            <w14:solidFill>
              <w14:schemeClr w14:val="tx1"/>
            </w14:solidFill>
          </w14:textFill>
        </w:rPr>
        <w:t>生态环境分区管控是以保障生态功能和改善环境质量为目标，实施分区域差异化精准管控的环境管理制度，在生态环境源头预防体系中具有基础性作用。</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jc w:val="both"/>
        <w:textAlignment w:val="auto"/>
        <w:outlineLvl w:val="9"/>
        <w:rPr>
          <w:rFonts w:hint="eastAsia" w:ascii="Times New Roman" w:hAnsi="Times New Roman" w:eastAsia="仿宋"/>
          <w:sz w:val="32"/>
          <w:szCs w:val="32"/>
          <w:lang w:val="en-US" w:eastAsia="zh-CN"/>
        </w:rPr>
      </w:pPr>
      <w:r>
        <w:rPr>
          <w:rFonts w:hint="eastAsia" w:ascii="Times New Roman" w:hAnsi="Times New Roman" w:eastAsia="仿宋" w:cs="Times New Roman"/>
          <w:color w:val="000000" w:themeColor="text1"/>
          <w:kern w:val="2"/>
          <w:sz w:val="32"/>
          <w:szCs w:val="32"/>
          <w:highlight w:val="none"/>
          <w:u w:val="none"/>
          <w:lang w:val="en-US" w:eastAsia="zh-CN" w:bidi="ar"/>
          <w14:textFill>
            <w14:solidFill>
              <w14:schemeClr w14:val="tx1"/>
            </w14:solidFill>
          </w14:textFill>
        </w:rPr>
        <w:t>2021年，为贯彻落实党中央、国务院有关重大决策部署，根据国家和自治区有关要求，柳州市启动了</w:t>
      </w:r>
      <w:r>
        <w:rPr>
          <w:rFonts w:hint="eastAsia" w:ascii="Times New Roman" w:hAnsi="Times New Roman" w:eastAsia="仿宋"/>
          <w:sz w:val="32"/>
          <w:szCs w:val="32"/>
        </w:rPr>
        <w:t>区域空间生态环境评价“三线一单”编制工作</w:t>
      </w:r>
      <w:r>
        <w:rPr>
          <w:rFonts w:hint="eastAsia" w:ascii="Times New Roman" w:hAnsi="Times New Roman" w:eastAsia="仿宋" w:cs="Times New Roman"/>
          <w:color w:val="000000" w:themeColor="text1"/>
          <w:kern w:val="2"/>
          <w:sz w:val="32"/>
          <w:szCs w:val="32"/>
          <w:highlight w:val="none"/>
          <w:u w:val="none"/>
          <w:lang w:val="en-US" w:eastAsia="zh-CN" w:bidi="ar"/>
          <w14:textFill>
            <w14:solidFill>
              <w14:schemeClr w14:val="tx1"/>
            </w14:solidFill>
          </w14:textFill>
        </w:rPr>
        <w:t>，以《柳州市人民政府关于实施“三线一单”生态环境分区管控的意见》（柳政规〔2021〕12号）</w:t>
      </w:r>
      <w:r>
        <w:rPr>
          <w:rFonts w:hint="eastAsia" w:ascii="Times New Roman" w:hAnsi="Times New Roman" w:eastAsia="仿宋"/>
          <w:sz w:val="32"/>
          <w:szCs w:val="32"/>
          <w:highlight w:val="none"/>
        </w:rPr>
        <w:t>《</w:t>
      </w:r>
      <w:r>
        <w:rPr>
          <w:rFonts w:hint="eastAsia" w:ascii="Times New Roman" w:hAnsi="Times New Roman" w:eastAsia="仿宋"/>
          <w:sz w:val="32"/>
          <w:szCs w:val="32"/>
          <w:lang w:val="en-US" w:eastAsia="zh-CN"/>
        </w:rPr>
        <w:t>柳州市</w:t>
      </w:r>
      <w:r>
        <w:rPr>
          <w:rFonts w:hint="eastAsia" w:ascii="Times New Roman" w:hAnsi="Times New Roman" w:eastAsia="仿宋"/>
          <w:sz w:val="32"/>
          <w:szCs w:val="32"/>
        </w:rPr>
        <w:t>环境管控单元生态环境准入及管控要求清单（试行）》（柳环规〔2021〕1号）</w:t>
      </w:r>
      <w:r>
        <w:rPr>
          <w:rFonts w:hint="eastAsia" w:ascii="Times New Roman" w:hAnsi="Times New Roman" w:eastAsia="仿宋" w:cs="Times New Roman"/>
          <w:color w:val="000000" w:themeColor="text1"/>
          <w:kern w:val="2"/>
          <w:sz w:val="32"/>
          <w:szCs w:val="32"/>
          <w:highlight w:val="none"/>
          <w:u w:val="none"/>
          <w:lang w:val="en-US" w:eastAsia="zh-CN" w:bidi="ar"/>
          <w14:textFill>
            <w14:solidFill>
              <w14:schemeClr w14:val="tx1"/>
            </w14:solidFill>
          </w14:textFill>
        </w:rPr>
        <w:t>形式发布成果。</w:t>
      </w:r>
      <w:r>
        <w:rPr>
          <w:rFonts w:hint="eastAsia" w:ascii="Times New Roman" w:hAnsi="Times New Roman" w:eastAsia="仿宋"/>
          <w:sz w:val="32"/>
          <w:szCs w:val="32"/>
          <w:lang w:val="en-US" w:eastAsia="zh-CN"/>
        </w:rPr>
        <w:t>随着各类“十四五”专项规划和国土空间规划的发布，我市生态环境质量目标和资源利用目标已经发生变化，节能减排、绿色低碳转型相关政策文件也对生态环境保护工作提出了新要求，原“三线一单”生态环境分区管控成果（生态环境管控分区和生态环境准入要求）已无法为战略环评与规划环评落地以及项目环评管理提供精准支撑。开展生态环境分区管控动态更新工作是贯彻落实党中央、国务院的重要决策部署、落实国家法律法规的需要，也是实施生态环境精细化管理的需要。</w:t>
      </w:r>
    </w:p>
    <w:p>
      <w:pPr>
        <w:pStyle w:val="6"/>
        <w:keepNext w:val="0"/>
        <w:keepLines w:val="0"/>
        <w:pageBreakBefore w:val="0"/>
        <w:widowControl/>
        <w:numPr>
          <w:ilvl w:val="0"/>
          <w:numId w:val="2"/>
        </w:numPr>
        <w:suppressLineNumbers w:val="0"/>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jc w:val="both"/>
        <w:textAlignment w:val="auto"/>
        <w:outlineLvl w:val="0"/>
        <w:rPr>
          <w:rFonts w:hint="eastAsia" w:ascii="Times New Roman" w:hAnsi="Times New Roman" w:eastAsia="黑体" w:cs="Times New Roman"/>
          <w:color w:val="000000" w:themeColor="text1"/>
          <w:sz w:val="32"/>
          <w:szCs w:val="32"/>
          <w:highlight w:val="none"/>
          <w:shd w:val="clear" w:fill="FFFFFF"/>
          <w:lang w:val="en-US" w:eastAsia="zh-CN"/>
          <w14:textFill>
            <w14:solidFill>
              <w14:schemeClr w14:val="tx1"/>
            </w14:solidFill>
          </w14:textFill>
        </w:rPr>
      </w:pPr>
      <w:r>
        <w:rPr>
          <w:rFonts w:hint="eastAsia" w:ascii="Times New Roman" w:hAnsi="Times New Roman" w:eastAsia="黑体" w:cs="Times New Roman"/>
          <w:color w:val="000000" w:themeColor="text1"/>
          <w:sz w:val="32"/>
          <w:szCs w:val="32"/>
          <w:highlight w:val="none"/>
          <w:shd w:val="clear" w:fill="FFFFFF"/>
          <w:lang w:val="en-US" w:eastAsia="zh-CN"/>
          <w14:textFill>
            <w14:solidFill>
              <w14:schemeClr w14:val="tx1"/>
            </w14:solidFill>
          </w14:textFill>
        </w:rPr>
        <w:t>主要依据</w:t>
      </w:r>
    </w:p>
    <w:p>
      <w:pPr>
        <w:pStyle w:val="6"/>
        <w:widowControl/>
        <w:numPr>
          <w:ilvl w:val="0"/>
          <w:numId w:val="0"/>
        </w:numPr>
        <w:snapToGrid w:val="0"/>
        <w:spacing w:line="600" w:lineRule="exact"/>
        <w:ind w:firstLineChars="200"/>
        <w:jc w:val="both"/>
        <w:outlineLvl w:val="9"/>
        <w:rPr>
          <w:rFonts w:hint="eastAsia" w:ascii="Times New Roman" w:hAnsi="Times New Roman" w:eastAsia="仿宋" w:cs="Times New Roman"/>
          <w:b w:val="0"/>
          <w:bCs w:val="0"/>
          <w:color w:val="000000" w:themeColor="text1"/>
          <w:kern w:val="2"/>
          <w:sz w:val="32"/>
          <w:szCs w:val="32"/>
          <w:highlight w:val="none"/>
          <w:lang w:val="en-US" w:eastAsia="zh-CN" w:bidi="ar"/>
          <w14:textFill>
            <w14:solidFill>
              <w14:schemeClr w14:val="tx1"/>
            </w14:solidFill>
          </w14:textFill>
        </w:rPr>
      </w:pPr>
      <w:r>
        <w:rPr>
          <w:rFonts w:hint="eastAsia" w:ascii="Times New Roman" w:hAnsi="Times New Roman" w:eastAsia="仿宋" w:cs="Times New Roman"/>
          <w:b w:val="0"/>
          <w:bCs w:val="0"/>
          <w:color w:val="000000" w:themeColor="text1"/>
          <w:kern w:val="2"/>
          <w:sz w:val="32"/>
          <w:szCs w:val="32"/>
          <w:highlight w:val="none"/>
          <w:lang w:val="en-US" w:eastAsia="zh-CN" w:bidi="ar"/>
          <w14:textFill>
            <w14:solidFill>
              <w14:schemeClr w14:val="tx1"/>
            </w14:solidFill>
          </w14:textFill>
        </w:rPr>
        <w:t>根据生态环境部办公厅《关于印发〈2023年生态环境分区管控成果动态更新工作方案〉的通知》（环办环评函〔2023〕81号）和自治区生态环境厅《关于开展2023年市级生态环境分区管控成果动态更新工作的通知》（桂环函〔2023〕750号）要求，市生态环境局牵头对原“三线一单”生态环境分区管控成果进行动态更新，并形成《柳州市生态环境分区管控动态更新成果（2023年）》（以下简称《更新成果》）。</w:t>
      </w:r>
    </w:p>
    <w:p>
      <w:pPr>
        <w:pStyle w:val="6"/>
        <w:keepNext w:val="0"/>
        <w:keepLines w:val="0"/>
        <w:pageBreakBefore w:val="0"/>
        <w:widowControl/>
        <w:numPr>
          <w:ilvl w:val="0"/>
          <w:numId w:val="2"/>
        </w:numPr>
        <w:suppressLineNumbers w:val="0"/>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jc w:val="both"/>
        <w:textAlignment w:val="auto"/>
        <w:outlineLvl w:val="0"/>
        <w:rPr>
          <w:rFonts w:hint="eastAsia" w:ascii="Times New Roman" w:hAnsi="Times New Roman" w:eastAsia="黑体" w:cs="Times New Roman"/>
          <w:color w:val="000000" w:themeColor="text1"/>
          <w:sz w:val="32"/>
          <w:szCs w:val="32"/>
          <w:highlight w:val="none"/>
          <w:shd w:val="clear" w:fill="FFFFFF"/>
          <w:lang w:val="en-US" w:eastAsia="zh-CN"/>
          <w14:textFill>
            <w14:solidFill>
              <w14:schemeClr w14:val="tx1"/>
            </w14:solidFill>
          </w14:textFill>
        </w:rPr>
      </w:pPr>
      <w:r>
        <w:rPr>
          <w:rFonts w:hint="eastAsia" w:ascii="Times New Roman" w:hAnsi="Times New Roman" w:eastAsia="黑体" w:cs="Times New Roman"/>
          <w:color w:val="000000" w:themeColor="text1"/>
          <w:sz w:val="32"/>
          <w:szCs w:val="32"/>
          <w:highlight w:val="none"/>
          <w:shd w:val="clear" w:fill="FFFFFF"/>
          <w:lang w:val="en-US" w:eastAsia="zh-CN"/>
          <w14:textFill>
            <w14:solidFill>
              <w14:schemeClr w14:val="tx1"/>
            </w14:solidFill>
          </w14:textFill>
        </w:rPr>
        <w:t>工作过程</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Times New Roman" w:hAnsi="Times New Roman" w:eastAsia="仿宋" w:cs="Times New Roman"/>
          <w:color w:val="auto"/>
          <w:kern w:val="2"/>
          <w:sz w:val="32"/>
          <w:szCs w:val="32"/>
          <w:highlight w:val="none"/>
          <w:u w:val="none"/>
          <w:lang w:val="en-US" w:eastAsia="zh-CN" w:bidi="ar"/>
        </w:rPr>
      </w:pPr>
      <w:r>
        <w:rPr>
          <w:rFonts w:hint="eastAsia" w:ascii="Times New Roman" w:hAnsi="Times New Roman" w:eastAsia="仿宋" w:cs="Times New Roman"/>
          <w:color w:val="auto"/>
          <w:kern w:val="2"/>
          <w:sz w:val="32"/>
          <w:szCs w:val="32"/>
          <w:highlight w:val="none"/>
          <w:u w:val="none"/>
          <w:lang w:val="en-US" w:eastAsia="zh-CN" w:bidi="ar"/>
        </w:rPr>
        <w:t>采用省级统筹、地市落地的工作模式，组建技术团队收集动态更新需求，形成动态更新初步成果，后经两次征求县（区）人民政府、市直有关部门意见，同时公开征求社会意见，形成我市动态更新成果。</w:t>
      </w:r>
    </w:p>
    <w:p>
      <w:pPr>
        <w:pStyle w:val="6"/>
        <w:keepNext w:val="0"/>
        <w:keepLines w:val="0"/>
        <w:pageBreakBefore w:val="0"/>
        <w:widowControl/>
        <w:numPr>
          <w:ilvl w:val="0"/>
          <w:numId w:val="2"/>
        </w:numPr>
        <w:suppressLineNumbers w:val="0"/>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jc w:val="both"/>
        <w:textAlignment w:val="auto"/>
        <w:outlineLvl w:val="0"/>
        <w:rPr>
          <w:rFonts w:hint="eastAsia" w:ascii="Times New Roman" w:hAnsi="Times New Roman" w:eastAsia="黑体" w:cs="Times New Roman"/>
          <w:color w:val="000000" w:themeColor="text1"/>
          <w:sz w:val="32"/>
          <w:szCs w:val="32"/>
          <w:highlight w:val="none"/>
          <w:shd w:val="clear" w:fill="FFFFFF"/>
          <w:lang w:val="en-US" w:eastAsia="zh-CN"/>
          <w14:textFill>
            <w14:solidFill>
              <w14:schemeClr w14:val="tx1"/>
            </w14:solidFill>
          </w14:textFill>
        </w:rPr>
      </w:pPr>
      <w:r>
        <w:rPr>
          <w:rFonts w:hint="eastAsia" w:ascii="Times New Roman" w:hAnsi="Times New Roman" w:eastAsia="黑体" w:cs="Times New Roman"/>
          <w:color w:val="000000" w:themeColor="text1"/>
          <w:sz w:val="32"/>
          <w:szCs w:val="32"/>
          <w:highlight w:val="none"/>
          <w:shd w:val="clear" w:fill="FFFFFF"/>
          <w:lang w:val="en-US" w:eastAsia="zh-CN"/>
          <w14:textFill>
            <w14:solidFill>
              <w14:schemeClr w14:val="tx1"/>
            </w14:solidFill>
          </w14:textFill>
        </w:rPr>
        <w:t>主要内容</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Times New Roman" w:hAnsi="Times New Roman" w:eastAsia="仿宋" w:cs="Times New Roman"/>
          <w:color w:val="auto"/>
          <w:kern w:val="2"/>
          <w:sz w:val="32"/>
          <w:szCs w:val="32"/>
          <w:highlight w:val="none"/>
          <w:u w:val="none"/>
          <w:lang w:val="en-US" w:eastAsia="zh-CN" w:bidi="ar"/>
        </w:rPr>
      </w:pPr>
      <w:r>
        <w:rPr>
          <w:rFonts w:hint="eastAsia" w:ascii="Times New Roman" w:hAnsi="Times New Roman" w:eastAsia="仿宋" w:cs="Times New Roman"/>
          <w:color w:val="auto"/>
          <w:kern w:val="2"/>
          <w:sz w:val="32"/>
          <w:szCs w:val="32"/>
          <w:highlight w:val="none"/>
          <w:u w:val="none"/>
          <w:lang w:val="en-US" w:eastAsia="zh-CN" w:bidi="ar"/>
        </w:rPr>
        <w:t>（一）环境管控单元更新情况</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Times New Roman" w:hAnsi="Times New Roman" w:eastAsia="仿宋" w:cs="Times New Roman"/>
          <w:color w:val="auto"/>
          <w:kern w:val="2"/>
          <w:sz w:val="32"/>
          <w:szCs w:val="32"/>
          <w:highlight w:val="none"/>
          <w:u w:val="none"/>
          <w:lang w:val="en-US" w:eastAsia="zh-CN" w:bidi="ar"/>
        </w:rPr>
      </w:pPr>
      <w:r>
        <w:rPr>
          <w:rFonts w:hint="eastAsia" w:ascii="Times New Roman" w:hAnsi="Times New Roman" w:eastAsia="仿宋" w:cs="Times New Roman"/>
          <w:color w:val="auto"/>
          <w:kern w:val="2"/>
          <w:sz w:val="32"/>
          <w:szCs w:val="32"/>
          <w:highlight w:val="none"/>
          <w:u w:val="none"/>
          <w:lang w:val="en-US" w:eastAsia="zh-CN" w:bidi="ar"/>
        </w:rPr>
        <w:t>更新后，全市共划定101个环境管控单元：优先保护单元个数为50个，占全市陆域国土总面积的48.53%；重点管控单元个数为41个，占全市土地陆域国土总面积的17.29%；一般管控单元个数为10个，占全市陆域国土总面积的34.18%。</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Times New Roman" w:hAnsi="Times New Roman" w:eastAsia="仿宋" w:cs="Times New Roman"/>
          <w:color w:val="auto"/>
          <w:kern w:val="2"/>
          <w:sz w:val="32"/>
          <w:szCs w:val="32"/>
          <w:highlight w:val="none"/>
          <w:u w:val="none"/>
          <w:lang w:val="en-US" w:eastAsia="zh-CN" w:bidi="ar"/>
        </w:rPr>
      </w:pPr>
      <w:r>
        <w:rPr>
          <w:rFonts w:hint="eastAsia" w:ascii="Times New Roman" w:hAnsi="Times New Roman" w:eastAsia="仿宋" w:cs="Times New Roman"/>
          <w:color w:val="auto"/>
          <w:kern w:val="2"/>
          <w:sz w:val="32"/>
          <w:szCs w:val="32"/>
          <w:highlight w:val="none"/>
          <w:u w:val="none"/>
          <w:lang w:val="en-US" w:eastAsia="zh-CN" w:bidi="ar"/>
        </w:rPr>
        <w:t>（二）生态环境准入清单</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Times New Roman" w:hAnsi="Times New Roman" w:eastAsia="仿宋" w:cs="Times New Roman"/>
          <w:color w:val="auto"/>
          <w:kern w:val="2"/>
          <w:sz w:val="32"/>
          <w:szCs w:val="32"/>
          <w:highlight w:val="none"/>
          <w:u w:val="none"/>
          <w:lang w:val="en-US" w:eastAsia="zh-CN" w:bidi="ar"/>
        </w:rPr>
      </w:pPr>
      <w:r>
        <w:rPr>
          <w:rFonts w:hint="eastAsia" w:ascii="Times New Roman" w:hAnsi="Times New Roman" w:eastAsia="仿宋" w:cs="Times New Roman"/>
          <w:color w:val="auto"/>
          <w:kern w:val="2"/>
          <w:sz w:val="32"/>
          <w:szCs w:val="32"/>
          <w:highlight w:val="none"/>
          <w:u w:val="none"/>
          <w:lang w:val="en-US" w:eastAsia="zh-CN" w:bidi="ar"/>
        </w:rPr>
        <w:t>生态环境准入清单依据最新法律法规、政策文件、管理要求，在保证原有管控要求总体不放宽原则上，对原清单条款进行了联动更新。同时，结合生态环境准入清单实施中发现的问题、区域环境特征、国土空间规划、产业发展情况等，制定了更为完善和准确的管控要求。</w:t>
      </w:r>
    </w:p>
    <w:p>
      <w:pPr>
        <w:pStyle w:val="6"/>
        <w:keepNext w:val="0"/>
        <w:keepLines w:val="0"/>
        <w:pageBreakBefore w:val="0"/>
        <w:widowControl/>
        <w:numPr>
          <w:ilvl w:val="0"/>
          <w:numId w:val="2"/>
        </w:numPr>
        <w:suppressLineNumbers w:val="0"/>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jc w:val="both"/>
        <w:textAlignment w:val="auto"/>
        <w:outlineLvl w:val="0"/>
        <w:rPr>
          <w:rFonts w:hint="eastAsia" w:ascii="Times New Roman" w:hAnsi="Times New Roman" w:eastAsia="黑体" w:cs="Times New Roman"/>
          <w:color w:val="000000" w:themeColor="text1"/>
          <w:sz w:val="32"/>
          <w:szCs w:val="32"/>
          <w:highlight w:val="none"/>
          <w:shd w:val="clear" w:fill="FFFFFF"/>
          <w:lang w:val="en-US" w:eastAsia="zh-CN"/>
          <w14:textFill>
            <w14:solidFill>
              <w14:schemeClr w14:val="tx1"/>
            </w14:solidFill>
          </w14:textFill>
        </w:rPr>
      </w:pPr>
      <w:r>
        <w:rPr>
          <w:rFonts w:hint="eastAsia" w:ascii="Times New Roman" w:hAnsi="Times New Roman" w:eastAsia="黑体" w:cs="Times New Roman"/>
          <w:color w:val="000000" w:themeColor="text1"/>
          <w:sz w:val="32"/>
          <w:szCs w:val="32"/>
          <w:highlight w:val="none"/>
          <w:shd w:val="clear" w:fill="FFFFFF"/>
          <w:lang w:val="en-US" w:eastAsia="zh-CN"/>
          <w14:textFill>
            <w14:solidFill>
              <w14:schemeClr w14:val="tx1"/>
            </w14:solidFill>
          </w14:textFill>
        </w:rPr>
        <w:t>实施时间</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600" w:lineRule="exact"/>
        <w:ind w:right="0" w:rightChars="0" w:firstLine="640" w:firstLineChars="200"/>
        <w:jc w:val="both"/>
        <w:textAlignment w:val="auto"/>
        <w:rPr>
          <w:rFonts w:hint="default" w:ascii="Times New Roman" w:hAnsi="Times New Roman" w:eastAsia="仿宋" w:cs="Times New Roman"/>
          <w:color w:val="auto"/>
          <w:sz w:val="32"/>
          <w:szCs w:val="32"/>
          <w:highlight w:val="none"/>
          <w:u w:val="none"/>
          <w:shd w:val="clear" w:color="auto" w:fill="auto"/>
          <w:lang w:val="en-US" w:eastAsia="zh-CN"/>
        </w:rPr>
      </w:pPr>
      <w:r>
        <w:rPr>
          <w:rFonts w:hint="default" w:ascii="Times New Roman" w:hAnsi="Times New Roman" w:eastAsia="仿宋" w:cs="Times New Roman"/>
          <w:color w:val="auto"/>
          <w:sz w:val="32"/>
          <w:szCs w:val="32"/>
          <w:highlight w:val="none"/>
          <w:u w:val="none"/>
          <w:shd w:val="clear" w:color="auto" w:fill="auto"/>
          <w:lang w:val="en-US" w:eastAsia="zh-CN"/>
        </w:rPr>
        <w:t>《更新成果》自</w:t>
      </w:r>
      <w:r>
        <w:rPr>
          <w:rFonts w:hint="eastAsia" w:ascii="Times New Roman" w:hAnsi="Times New Roman" w:eastAsia="仿宋" w:cs="Times New Roman"/>
          <w:color w:val="auto"/>
          <w:sz w:val="32"/>
          <w:szCs w:val="32"/>
          <w:highlight w:val="none"/>
          <w:u w:val="none"/>
          <w:shd w:val="clear" w:color="auto" w:fill="auto"/>
          <w:lang w:val="en-US" w:eastAsia="zh-CN"/>
        </w:rPr>
        <w:t>2024年12月16日起正式</w:t>
      </w:r>
      <w:r>
        <w:rPr>
          <w:rFonts w:hint="default" w:ascii="Times New Roman" w:hAnsi="Times New Roman" w:eastAsia="仿宋" w:cs="Times New Roman"/>
          <w:color w:val="auto"/>
          <w:sz w:val="32"/>
          <w:szCs w:val="32"/>
          <w:highlight w:val="none"/>
          <w:u w:val="none"/>
          <w:shd w:val="clear" w:color="auto" w:fill="auto"/>
          <w:lang w:val="en-US" w:eastAsia="zh-CN"/>
        </w:rPr>
        <w:t>实施</w:t>
      </w:r>
      <w:r>
        <w:rPr>
          <w:rFonts w:hint="eastAsia" w:ascii="Times New Roman" w:hAnsi="Times New Roman" w:eastAsia="仿宋" w:cs="Times New Roman"/>
          <w:color w:val="auto"/>
          <w:sz w:val="32"/>
          <w:szCs w:val="32"/>
          <w:highlight w:val="none"/>
          <w:u w:val="none"/>
          <w:shd w:val="clear" w:color="auto" w:fill="auto"/>
          <w:lang w:val="en-US" w:eastAsia="zh-CN"/>
        </w:rPr>
        <w:t>，《柳州市环境管控单元生态环境准入及管控要求清单（试行）》</w:t>
      </w:r>
      <w:r>
        <w:rPr>
          <w:rFonts w:hint="default" w:ascii="Times New Roman" w:hAnsi="Times New Roman" w:eastAsia="仿宋" w:cs="Times New Roman"/>
          <w:color w:val="auto"/>
          <w:sz w:val="32"/>
          <w:szCs w:val="32"/>
          <w:highlight w:val="none"/>
          <w:u w:val="none"/>
          <w:shd w:val="clear" w:color="auto" w:fill="auto"/>
          <w:lang w:val="en-US" w:eastAsia="zh-CN"/>
        </w:rPr>
        <w:t>同时废止。</w:t>
      </w:r>
    </w:p>
    <w:p>
      <w:pPr>
        <w:pStyle w:val="6"/>
        <w:keepNext w:val="0"/>
        <w:keepLines w:val="0"/>
        <w:pageBreakBefore w:val="0"/>
        <w:widowControl/>
        <w:numPr>
          <w:ilvl w:val="0"/>
          <w:numId w:val="2"/>
        </w:numPr>
        <w:suppressLineNumbers w:val="0"/>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jc w:val="both"/>
        <w:textAlignment w:val="auto"/>
        <w:outlineLvl w:val="0"/>
        <w:rPr>
          <w:rFonts w:hint="eastAsia" w:ascii="Times New Roman" w:hAnsi="Times New Roman" w:eastAsia="黑体" w:cs="Times New Roman"/>
          <w:color w:val="000000" w:themeColor="text1"/>
          <w:sz w:val="32"/>
          <w:szCs w:val="32"/>
          <w:highlight w:val="none"/>
          <w:shd w:val="clear" w:fill="FFFFFF"/>
          <w:lang w:val="en-US" w:eastAsia="zh-CN"/>
          <w14:textFill>
            <w14:solidFill>
              <w14:schemeClr w14:val="tx1"/>
            </w14:solidFill>
          </w14:textFill>
        </w:rPr>
      </w:pPr>
      <w:r>
        <w:rPr>
          <w:rFonts w:hint="eastAsia" w:ascii="Times New Roman" w:hAnsi="Times New Roman" w:eastAsia="黑体" w:cs="Times New Roman"/>
          <w:color w:val="000000" w:themeColor="text1"/>
          <w:sz w:val="32"/>
          <w:szCs w:val="32"/>
          <w:highlight w:val="none"/>
          <w:shd w:val="clear" w:fill="FFFFFF"/>
          <w:lang w:val="en-US" w:eastAsia="zh-CN"/>
          <w14:textFill>
            <w14:solidFill>
              <w14:schemeClr w14:val="tx1"/>
            </w14:solidFill>
          </w14:textFill>
        </w:rPr>
        <w:t>解读人和联系方式</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600" w:lineRule="exact"/>
        <w:ind w:right="0" w:rightChars="0" w:firstLine="640" w:firstLineChars="200"/>
        <w:jc w:val="both"/>
        <w:textAlignment w:val="auto"/>
        <w:rPr>
          <w:rFonts w:hint="eastAsia" w:ascii="Times New Roman" w:hAnsi="Times New Roman" w:eastAsia="仿宋" w:cs="Times New Roman"/>
          <w:color w:val="auto"/>
          <w:sz w:val="32"/>
          <w:szCs w:val="32"/>
          <w:highlight w:val="none"/>
          <w:u w:val="none"/>
          <w:shd w:val="clear" w:color="auto" w:fill="auto"/>
          <w:lang w:val="en-US" w:eastAsia="zh-CN"/>
        </w:rPr>
      </w:pPr>
      <w:r>
        <w:rPr>
          <w:rFonts w:hint="eastAsia" w:ascii="Times New Roman" w:hAnsi="Times New Roman" w:eastAsia="仿宋" w:cs="Times New Roman"/>
          <w:color w:val="auto"/>
          <w:sz w:val="32"/>
          <w:szCs w:val="32"/>
          <w:highlight w:val="none"/>
          <w:u w:val="none"/>
          <w:shd w:val="clear" w:color="auto" w:fill="auto"/>
          <w:lang w:val="en-US" w:eastAsia="zh-CN"/>
        </w:rPr>
        <w:t>解读人：柳州市生态环境局综合科</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600" w:lineRule="exact"/>
        <w:ind w:right="0" w:rightChars="0" w:firstLine="640" w:firstLineChars="200"/>
        <w:jc w:val="both"/>
        <w:textAlignment w:val="auto"/>
        <w:rPr>
          <w:rFonts w:hint="eastAsia" w:ascii="Times New Roman" w:hAnsi="Times New Roman" w:eastAsia="仿宋" w:cs="Times New Roman"/>
          <w:color w:val="auto"/>
          <w:sz w:val="32"/>
          <w:szCs w:val="32"/>
          <w:highlight w:val="none"/>
          <w:u w:val="none"/>
          <w:shd w:val="clear" w:color="auto" w:fill="auto"/>
          <w:lang w:val="en-US" w:eastAsia="zh-CN"/>
        </w:rPr>
      </w:pPr>
      <w:r>
        <w:rPr>
          <w:rFonts w:hint="eastAsia" w:ascii="Times New Roman" w:hAnsi="Times New Roman" w:eastAsia="仿宋" w:cs="Times New Roman"/>
          <w:color w:val="auto"/>
          <w:sz w:val="32"/>
          <w:szCs w:val="32"/>
          <w:highlight w:val="none"/>
          <w:u w:val="none"/>
          <w:shd w:val="clear" w:color="auto" w:fill="auto"/>
          <w:lang w:val="en-US" w:eastAsia="zh-CN"/>
        </w:rPr>
        <w:t>联系电话：0772-2630137</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600" w:lineRule="exact"/>
        <w:ind w:right="0" w:rightChars="0" w:firstLine="640" w:firstLineChars="200"/>
        <w:jc w:val="both"/>
        <w:textAlignment w:val="auto"/>
        <w:rPr>
          <w:rFonts w:hint="eastAsia" w:ascii="Times New Roman" w:hAnsi="Times New Roman" w:eastAsia="仿宋" w:cs="Times New Roman"/>
          <w:color w:val="auto"/>
          <w:sz w:val="32"/>
          <w:szCs w:val="32"/>
          <w:highlight w:val="none"/>
          <w:u w:val="none"/>
          <w:shd w:val="clear" w:color="auto" w:fill="auto"/>
          <w:lang w:val="en-US" w:eastAsia="zh-CN"/>
        </w:rPr>
      </w:pPr>
      <w:r>
        <w:rPr>
          <w:rFonts w:hint="eastAsia" w:ascii="Times New Roman" w:hAnsi="Times New Roman" w:eastAsia="仿宋" w:cs="Times New Roman"/>
          <w:color w:val="auto"/>
          <w:sz w:val="32"/>
          <w:szCs w:val="32"/>
          <w:highlight w:val="none"/>
          <w:u w:val="none"/>
          <w:shd w:val="clear" w:color="auto" w:fill="auto"/>
          <w:lang w:val="en-US" w:eastAsia="zh-CN"/>
        </w:rPr>
        <w:t>法规文件：柳州市生态环境局</w:t>
      </w:r>
      <w:r>
        <w:rPr>
          <w:rFonts w:hint="eastAsia" w:ascii="Times New Roman" w:hAnsi="Times New Roman" w:eastAsia="仿宋" w:cs="Times New Roman"/>
          <w:color w:val="auto"/>
          <w:sz w:val="32"/>
          <w:szCs w:val="32"/>
          <w:highlight w:val="none"/>
          <w:u w:val="none"/>
          <w:shd w:val="clear" w:color="auto" w:fill="auto"/>
          <w:lang w:val="en-US" w:eastAsia="zh-CN"/>
        </w:rPr>
        <w:fldChar w:fldCharType="begin"/>
      </w:r>
      <w:r>
        <w:rPr>
          <w:rFonts w:hint="eastAsia" w:ascii="Times New Roman" w:hAnsi="Times New Roman" w:eastAsia="仿宋" w:cs="Times New Roman"/>
          <w:color w:val="auto"/>
          <w:sz w:val="32"/>
          <w:szCs w:val="32"/>
          <w:highlight w:val="none"/>
          <w:u w:val="none"/>
          <w:shd w:val="clear" w:color="auto" w:fill="auto"/>
          <w:lang w:val="en-US" w:eastAsia="zh-CN"/>
        </w:rPr>
        <w:instrText xml:space="preserve"> HYPERLINK "http://sthjj.ningbo.gov.cn/art/2024/7/30/art_1229062512_1790091.html" \o "宁波市生态环境局关于印发宁波市生态环境分区管控动态更新方案的通知" \t "http://sthjj.ningbo.gov.cn/art/2024/7/30/_blank" </w:instrText>
      </w:r>
      <w:r>
        <w:rPr>
          <w:rFonts w:hint="eastAsia" w:ascii="Times New Roman" w:hAnsi="Times New Roman" w:eastAsia="仿宋" w:cs="Times New Roman"/>
          <w:color w:val="auto"/>
          <w:sz w:val="32"/>
          <w:szCs w:val="32"/>
          <w:highlight w:val="none"/>
          <w:u w:val="none"/>
          <w:shd w:val="clear" w:color="auto" w:fill="auto"/>
          <w:lang w:val="en-US" w:eastAsia="zh-CN"/>
        </w:rPr>
        <w:fldChar w:fldCharType="separate"/>
      </w:r>
      <w:r>
        <w:rPr>
          <w:rFonts w:hint="eastAsia" w:ascii="Times New Roman" w:hAnsi="Times New Roman" w:eastAsia="仿宋" w:cs="Times New Roman"/>
          <w:color w:val="auto"/>
          <w:sz w:val="32"/>
          <w:szCs w:val="32"/>
          <w:highlight w:val="none"/>
          <w:u w:val="none"/>
          <w:shd w:val="clear" w:color="auto" w:fill="auto"/>
          <w:lang w:val="en-US" w:eastAsia="zh-CN"/>
        </w:rPr>
        <w:t>关于印发实施《柳州市生态环境分区管控动态更新成果（2023年）》的通知</w:t>
      </w:r>
      <w:r>
        <w:rPr>
          <w:rFonts w:hint="eastAsia" w:ascii="Times New Roman" w:hAnsi="Times New Roman" w:eastAsia="仿宋" w:cs="Times New Roman"/>
          <w:color w:val="auto"/>
          <w:sz w:val="32"/>
          <w:szCs w:val="32"/>
          <w:highlight w:val="none"/>
          <w:u w:val="none"/>
          <w:shd w:val="clear" w:color="auto" w:fill="auto"/>
          <w:lang w:val="en-US" w:eastAsia="zh-CN"/>
        </w:rPr>
        <w:fldChar w:fldCharType="end"/>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600" w:lineRule="exact"/>
        <w:ind w:right="0" w:rightChars="0" w:firstLine="640" w:firstLineChars="200"/>
        <w:jc w:val="both"/>
        <w:textAlignment w:val="auto"/>
        <w:rPr>
          <w:rFonts w:hint="eastAsia" w:ascii="Times New Roman" w:hAnsi="Times New Roman" w:eastAsia="黑体" w:cs="Times New Roman"/>
          <w:color w:val="auto"/>
          <w:sz w:val="32"/>
          <w:szCs w:val="32"/>
          <w:highlight w:val="none"/>
          <w:shd w:val="clear" w:fill="FFFFFF"/>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BdxysBMCAAATBAAADgAAAAAAAAABACAAAAA1AQAAZHJzL2Uyb0RvYy54bWxQSwUGAAAAAAYABgBZ&#10;AQAAugU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2B4295"/>
    <w:multiLevelType w:val="multilevel"/>
    <w:tmpl w:val="092B4295"/>
    <w:lvl w:ilvl="0" w:tentative="0">
      <w:start w:val="1"/>
      <w:numFmt w:val="decimal"/>
      <w:pStyle w:val="15"/>
      <w:suff w:val="nothing"/>
      <w:lvlText w:val="%1　"/>
      <w:lvlJc w:val="left"/>
      <w:rPr>
        <w:rFonts w:hint="eastAsia" w:ascii="黑体" w:hAnsi="Times New Roman" w:eastAsia="黑体" w:cs="Times New Roman"/>
        <w:b w:val="0"/>
        <w:i w:val="0"/>
        <w:sz w:val="21"/>
        <w:szCs w:val="21"/>
      </w:rPr>
    </w:lvl>
    <w:lvl w:ilvl="1" w:tentative="0">
      <w:start w:val="1"/>
      <w:numFmt w:val="decimal"/>
      <w:pStyle w:val="16"/>
      <w:suff w:val="nothing"/>
      <w:lvlText w:val="%1.%2　"/>
      <w:lvlJc w:val="left"/>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14"/>
      <w:suff w:val="nothing"/>
      <w:lvlText w:val="%1.%2.%3"/>
      <w:lvlJc w:val="left"/>
      <w:pPr>
        <w:tabs>
          <w:tab w:val="left" w:pos="0"/>
        </w:tabs>
      </w:pPr>
      <w:rPr>
        <w:rFonts w:hint="default" w:ascii="宋体" w:hAnsi="宋体" w:eastAsia="黑体" w:cs="宋体"/>
        <w:b w:val="0"/>
        <w:i w:val="0"/>
        <w:sz w:val="21"/>
      </w:rPr>
    </w:lvl>
    <w:lvl w:ilvl="3" w:tentative="0">
      <w:start w:val="1"/>
      <w:numFmt w:val="decimal"/>
      <w:suff w:val="nothing"/>
      <w:lvlText w:val="%1.%2.%3.%4　"/>
      <w:lvlJc w:val="left"/>
      <w:rPr>
        <w:rFonts w:hint="default" w:ascii="宋体" w:hAnsi="宋体" w:eastAsia="宋体" w:cs="宋体"/>
        <w:b w:val="0"/>
        <w:i w:val="0"/>
        <w:sz w:val="21"/>
      </w:rPr>
    </w:lvl>
    <w:lvl w:ilvl="4" w:tentative="0">
      <w:start w:val="1"/>
      <w:numFmt w:val="decimal"/>
      <w:suff w:val="nothing"/>
      <w:lvlText w:val="%1.%2.%3.%4.%5　"/>
      <w:lvlJc w:val="left"/>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1">
    <w:nsid w:val="0B047D89"/>
    <w:multiLevelType w:val="singleLevel"/>
    <w:tmpl w:val="0B047D89"/>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837BC"/>
    <w:rsid w:val="008753A6"/>
    <w:rsid w:val="015260FC"/>
    <w:rsid w:val="01696F2F"/>
    <w:rsid w:val="023D6534"/>
    <w:rsid w:val="033E1FCD"/>
    <w:rsid w:val="04131BCC"/>
    <w:rsid w:val="064F6393"/>
    <w:rsid w:val="065E67F1"/>
    <w:rsid w:val="076C44C5"/>
    <w:rsid w:val="07755597"/>
    <w:rsid w:val="08265595"/>
    <w:rsid w:val="0B59312A"/>
    <w:rsid w:val="0C0E3501"/>
    <w:rsid w:val="0C3D0706"/>
    <w:rsid w:val="0CC76392"/>
    <w:rsid w:val="0CD1344D"/>
    <w:rsid w:val="0D9B5A9B"/>
    <w:rsid w:val="0DBE5B6F"/>
    <w:rsid w:val="0FB01E37"/>
    <w:rsid w:val="0FB85B4A"/>
    <w:rsid w:val="0FDF0316"/>
    <w:rsid w:val="107B5C8C"/>
    <w:rsid w:val="116725CC"/>
    <w:rsid w:val="1242418B"/>
    <w:rsid w:val="14550029"/>
    <w:rsid w:val="152C146D"/>
    <w:rsid w:val="15804135"/>
    <w:rsid w:val="172F2F6E"/>
    <w:rsid w:val="1A081D48"/>
    <w:rsid w:val="1AE3145D"/>
    <w:rsid w:val="1C3C1CB3"/>
    <w:rsid w:val="1EDD6D01"/>
    <w:rsid w:val="1EEB139B"/>
    <w:rsid w:val="20AC1CE3"/>
    <w:rsid w:val="2140168C"/>
    <w:rsid w:val="218C4472"/>
    <w:rsid w:val="26107096"/>
    <w:rsid w:val="263E03EC"/>
    <w:rsid w:val="26DA2DBA"/>
    <w:rsid w:val="28773AE3"/>
    <w:rsid w:val="29384C1B"/>
    <w:rsid w:val="29E66C8E"/>
    <w:rsid w:val="2B0A0E01"/>
    <w:rsid w:val="2BE50108"/>
    <w:rsid w:val="2BF90521"/>
    <w:rsid w:val="2F460024"/>
    <w:rsid w:val="2F82374C"/>
    <w:rsid w:val="2FDFAEDB"/>
    <w:rsid w:val="319314A9"/>
    <w:rsid w:val="32EB6941"/>
    <w:rsid w:val="33DD474F"/>
    <w:rsid w:val="34C879EF"/>
    <w:rsid w:val="35712E68"/>
    <w:rsid w:val="36716DAA"/>
    <w:rsid w:val="372D53D6"/>
    <w:rsid w:val="37D068D4"/>
    <w:rsid w:val="39913018"/>
    <w:rsid w:val="3B432485"/>
    <w:rsid w:val="3B793606"/>
    <w:rsid w:val="3D031020"/>
    <w:rsid w:val="3D8B1703"/>
    <w:rsid w:val="3DFF9B01"/>
    <w:rsid w:val="3F6F51C7"/>
    <w:rsid w:val="3F9E1FED"/>
    <w:rsid w:val="3FBD68FA"/>
    <w:rsid w:val="40557F7C"/>
    <w:rsid w:val="40876BDE"/>
    <w:rsid w:val="40B34E52"/>
    <w:rsid w:val="41F86784"/>
    <w:rsid w:val="433B7B2D"/>
    <w:rsid w:val="43D1436B"/>
    <w:rsid w:val="46613DF6"/>
    <w:rsid w:val="46C73545"/>
    <w:rsid w:val="483A491C"/>
    <w:rsid w:val="48D44242"/>
    <w:rsid w:val="4BB00403"/>
    <w:rsid w:val="4EA34AF9"/>
    <w:rsid w:val="4EF548D3"/>
    <w:rsid w:val="4F3A0733"/>
    <w:rsid w:val="4FA1347A"/>
    <w:rsid w:val="510B76BD"/>
    <w:rsid w:val="517252D9"/>
    <w:rsid w:val="52666452"/>
    <w:rsid w:val="53366AF9"/>
    <w:rsid w:val="536A6278"/>
    <w:rsid w:val="53931C9C"/>
    <w:rsid w:val="56DC46CC"/>
    <w:rsid w:val="57666C42"/>
    <w:rsid w:val="5B3C2915"/>
    <w:rsid w:val="5D70359D"/>
    <w:rsid w:val="5F2E534C"/>
    <w:rsid w:val="6208442A"/>
    <w:rsid w:val="62C31F1F"/>
    <w:rsid w:val="663A06F1"/>
    <w:rsid w:val="667B89D4"/>
    <w:rsid w:val="66E248D0"/>
    <w:rsid w:val="672636B1"/>
    <w:rsid w:val="687247C6"/>
    <w:rsid w:val="693858AF"/>
    <w:rsid w:val="69C0530A"/>
    <w:rsid w:val="69FB2A9C"/>
    <w:rsid w:val="6B965708"/>
    <w:rsid w:val="6D8C3B86"/>
    <w:rsid w:val="6E1B1EB9"/>
    <w:rsid w:val="6FCC10FD"/>
    <w:rsid w:val="72BE7A11"/>
    <w:rsid w:val="72F9637C"/>
    <w:rsid w:val="76D7457E"/>
    <w:rsid w:val="77BFA768"/>
    <w:rsid w:val="784E519A"/>
    <w:rsid w:val="78D96D20"/>
    <w:rsid w:val="79D51E97"/>
    <w:rsid w:val="7CFF5595"/>
    <w:rsid w:val="7D0535B2"/>
    <w:rsid w:val="7E07764E"/>
    <w:rsid w:val="7E1C0373"/>
    <w:rsid w:val="7EBB0883"/>
    <w:rsid w:val="7F978C4D"/>
    <w:rsid w:val="B3FF2118"/>
    <w:rsid w:val="BBB3F7F8"/>
    <w:rsid w:val="BDB88939"/>
    <w:rsid w:val="BEEF222A"/>
    <w:rsid w:val="DFE59584"/>
    <w:rsid w:val="E6AF00F6"/>
    <w:rsid w:val="EAF770DE"/>
    <w:rsid w:val="EF61F5D6"/>
    <w:rsid w:val="EF6F2424"/>
    <w:rsid w:val="F97847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index 6"/>
    <w:basedOn w:val="1"/>
    <w:next w:val="1"/>
    <w:qFormat/>
    <w:uiPriority w:val="0"/>
    <w:pPr>
      <w:ind w:left="2100"/>
    </w:pPr>
    <w:rPr>
      <w:rFonts w:ascii="Times New Roman" w:hAnsi="Times New Roman" w:eastAsia="宋体"/>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qFormat/>
    <w:uiPriority w:val="0"/>
    <w:rPr>
      <w:color w:val="0000FF"/>
      <w:u w:val="single"/>
    </w:rPr>
  </w:style>
  <w:style w:type="paragraph" w:customStyle="1" w:styleId="12">
    <w:name w:val="Default"/>
    <w:basedOn w:val="13"/>
    <w:next w:val="3"/>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3">
    <w:name w:val="纯文本1"/>
    <w:basedOn w:val="1"/>
    <w:qFormat/>
    <w:uiPriority w:val="0"/>
    <w:pPr>
      <w:textAlignment w:val="baseline"/>
    </w:pPr>
    <w:rPr>
      <w:rFonts w:ascii="宋体" w:hAnsi="Courier New"/>
    </w:rPr>
  </w:style>
  <w:style w:type="paragraph" w:customStyle="1" w:styleId="14">
    <w:name w:val="三级条标题"/>
    <w:basedOn w:val="1"/>
    <w:qFormat/>
    <w:uiPriority w:val="0"/>
    <w:pPr>
      <w:numPr>
        <w:ilvl w:val="2"/>
        <w:numId w:val="1"/>
      </w:numPr>
    </w:pPr>
    <w:rPr>
      <w:rFonts w:ascii="黑体" w:hAnsi="黑体" w:eastAsia="黑体" w:cs="Times New Roman"/>
      <w:kern w:val="0"/>
      <w:szCs w:val="21"/>
    </w:rPr>
  </w:style>
  <w:style w:type="paragraph" w:customStyle="1" w:styleId="15">
    <w:name w:val="章标题"/>
    <w:basedOn w:val="1"/>
    <w:qFormat/>
    <w:uiPriority w:val="0"/>
    <w:pPr>
      <w:numPr>
        <w:ilvl w:val="0"/>
        <w:numId w:val="1"/>
      </w:numPr>
    </w:pPr>
  </w:style>
  <w:style w:type="paragraph" w:customStyle="1" w:styleId="16">
    <w:name w:val="一级条标题"/>
    <w:basedOn w:val="1"/>
    <w:qFormat/>
    <w:uiPriority w:val="0"/>
    <w:pPr>
      <w:numPr>
        <w:ilvl w:val="1"/>
        <w:numId w:val="1"/>
      </w:numPr>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广西环科院</Company>
  <Pages>1</Pages>
  <Words>0</Words>
  <Characters>0</Characters>
  <Lines>0</Lines>
  <Paragraphs>0</Paragraphs>
  <TotalTime>52</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2021-04-11T19:02:00Z</dcterms:created>
  <dc:creator>田园园</dc:creator>
  <cp:lastModifiedBy>gxxc</cp:lastModifiedBy>
  <dcterms:modified xsi:type="dcterms:W3CDTF">2024-12-16T15:43:10Z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F19AE01360344962B028BCF12FF50DBF</vt:lpwstr>
  </property>
</Properties>
</file>