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t>柳州市</w:t>
      </w:r>
      <w:r>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t>中小微企业职业健康帮扶行动</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t>（2024-2025年）工作方案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中小微企业在经济社会发展中发挥着重要作用，对于推动高质量发展、促进就业等方面具有重要意义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。为</w:t>
      </w:r>
      <w:r>
        <w:rPr>
          <w:rFonts w:ascii="仿宋_GB2312" w:hAnsi="仿宋_GB2312" w:eastAsia="仿宋_GB2312" w:cs="仿宋_GB2312"/>
          <w:color w:val="000000" w:themeColor="text1"/>
          <w:sz w:val="32"/>
          <w:szCs w:val="32"/>
          <w:highlight w:val="none"/>
          <w:u w:val="none"/>
          <w14:textFill>
            <w14:solidFill>
              <w14:schemeClr w14:val="tx1"/>
            </w14:solidFill>
          </w14:textFill>
        </w:rPr>
        <w:t>贯彻落实《职业病防治法》和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自治区及柳州市</w:t>
      </w:r>
      <w:r>
        <w:rPr>
          <w:rFonts w:ascii="仿宋_GB2312" w:hAnsi="仿宋_GB2312" w:eastAsia="仿宋_GB2312" w:cs="仿宋_GB2312"/>
          <w:color w:val="000000" w:themeColor="text1"/>
          <w:sz w:val="32"/>
          <w:szCs w:val="32"/>
          <w:highlight w:val="none"/>
          <w:u w:val="none"/>
          <w14:textFill>
            <w14:solidFill>
              <w14:schemeClr w14:val="tx1"/>
            </w14:solidFill>
          </w14:textFill>
        </w:rPr>
        <w:t>职业病防治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“十四五”</w:t>
      </w:r>
      <w:r>
        <w:rPr>
          <w:rFonts w:ascii="仿宋_GB2312" w:hAnsi="仿宋_GB2312" w:eastAsia="仿宋_GB2312" w:cs="仿宋_GB2312"/>
          <w:color w:val="000000" w:themeColor="text1"/>
          <w:sz w:val="32"/>
          <w:szCs w:val="32"/>
          <w:highlight w:val="none"/>
          <w:u w:val="none"/>
          <w14:textFill>
            <w14:solidFill>
              <w14:schemeClr w14:val="tx1"/>
            </w14:solidFill>
          </w14:textFill>
        </w:rPr>
        <w:t>规划，</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推动中小微企业规范职业健康管理，提高中小微企业职业病防治水平，</w:t>
      </w:r>
      <w:r>
        <w:rPr>
          <w:rFonts w:ascii="仿宋_GB2312" w:hAnsi="仿宋_GB2312" w:eastAsia="仿宋_GB2312" w:cs="仿宋_GB2312"/>
          <w:color w:val="000000" w:themeColor="text1"/>
          <w:sz w:val="32"/>
          <w:szCs w:val="32"/>
          <w:highlight w:val="none"/>
          <w:u w:val="none"/>
          <w14:textFill>
            <w14:solidFill>
              <w14:schemeClr w14:val="tx1"/>
            </w14:solidFill>
          </w14:textFill>
        </w:rPr>
        <w:t>依法履行职业病防治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主体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责任，保障劳动者职业健康权益，特制定本</w:t>
      </w:r>
      <w:r>
        <w:rPr>
          <w:rFonts w:ascii="仿宋_GB2312" w:hAnsi="仿宋_GB2312" w:eastAsia="仿宋_GB2312" w:cs="仿宋_GB2312"/>
          <w:color w:val="000000" w:themeColor="text1"/>
          <w:sz w:val="32"/>
          <w:szCs w:val="32"/>
          <w:highlight w:val="none"/>
          <w:u w:val="none"/>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方案。</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olor w:val="000000" w:themeColor="text1"/>
          <w:kern w:val="0"/>
          <w:sz w:val="32"/>
          <w:szCs w:val="32"/>
          <w:highlight w:val="none"/>
          <w:u w:val="none"/>
          <w14:textFill>
            <w14:solidFill>
              <w14:schemeClr w14:val="tx1"/>
            </w14:solidFill>
          </w14:textFill>
        </w:rPr>
      </w:pPr>
      <w:r>
        <w:rPr>
          <w:rFonts w:hint="eastAsia" w:ascii="黑体" w:hAnsi="黑体" w:eastAsia="黑体"/>
          <w:color w:val="000000" w:themeColor="text1"/>
          <w:kern w:val="0"/>
          <w:sz w:val="32"/>
          <w:szCs w:val="32"/>
          <w:highlight w:val="none"/>
          <w:u w:val="none"/>
          <w14:textFill>
            <w14:solidFill>
              <w14:schemeClr w14:val="tx1"/>
            </w14:solidFill>
          </w14:textFill>
        </w:rPr>
        <w:t>一、工作目标</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开展中小微企业职业健康帮扶</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推动中小微企业规范职业健康管理，提升劳动者的职业健康</w:t>
      </w:r>
      <w:r>
        <w:rPr>
          <w:rFonts w:ascii="仿宋_GB2312" w:hAnsi="仿宋_GB2312" w:eastAsia="仿宋_GB2312" w:cs="仿宋_GB2312"/>
          <w:color w:val="000000" w:themeColor="text1"/>
          <w:sz w:val="32"/>
          <w:szCs w:val="32"/>
          <w:highlight w:val="none"/>
          <w:u w:val="none"/>
          <w14:textFill>
            <w14:solidFill>
              <w14:schemeClr w14:val="tx1"/>
            </w14:solidFill>
          </w14:textFill>
        </w:rPr>
        <w:t>保护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水平。</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2024年和2025年，每年每</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个县区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中小微企业帮扶数量不少于20家</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2022年或2023年列入市级中小微企业托管试点县区已完成托管目标的企业不算入帮扶总数）</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。2025年底，帮扶企业职业病危害项目申报率、工作场所职业病危害因素定期检测率、职业健康检查开展率、职业健康培训率均达到100%。</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ascii="黑体" w:hAnsi="黑体" w:eastAsia="黑体"/>
          <w:color w:val="000000" w:themeColor="text1"/>
          <w:kern w:val="0"/>
          <w:sz w:val="32"/>
          <w:szCs w:val="32"/>
          <w:highlight w:val="none"/>
          <w:u w:val="none"/>
          <w14:textFill>
            <w14:solidFill>
              <w14:schemeClr w14:val="tx1"/>
            </w14:solidFill>
          </w14:textFill>
        </w:rPr>
      </w:pPr>
      <w:r>
        <w:rPr>
          <w:rFonts w:hint="eastAsia" w:ascii="黑体" w:hAnsi="黑体" w:eastAsia="黑体"/>
          <w:color w:val="000000" w:themeColor="text1"/>
          <w:kern w:val="0"/>
          <w:sz w:val="32"/>
          <w:szCs w:val="32"/>
          <w:highlight w:val="none"/>
          <w:u w:val="none"/>
          <w14:textFill>
            <w14:solidFill>
              <w14:schemeClr w14:val="tx1"/>
            </w14:solidFill>
          </w14:textFill>
        </w:rPr>
        <w:t>二、</w:t>
      </w:r>
      <w:r>
        <w:rPr>
          <w:rFonts w:ascii="黑体" w:hAnsi="黑体" w:eastAsia="黑体"/>
          <w:color w:val="000000" w:themeColor="text1"/>
          <w:kern w:val="0"/>
          <w:sz w:val="32"/>
          <w:szCs w:val="32"/>
          <w:highlight w:val="none"/>
          <w:u w:val="none"/>
          <w14:textFill>
            <w14:solidFill>
              <w14:schemeClr w14:val="tx1"/>
            </w14:solidFill>
          </w14:textFill>
        </w:rPr>
        <w:t>工作任务</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（一）</w:t>
      </w:r>
      <w:r>
        <w:rPr>
          <w:rFonts w:ascii="楷体_GB2312" w:hAnsi="Times New Roman" w:eastAsia="楷体_GB2312"/>
          <w:color w:val="000000" w:themeColor="text1"/>
          <w:kern w:val="0"/>
          <w:sz w:val="32"/>
          <w:szCs w:val="32"/>
          <w:highlight w:val="none"/>
          <w:u w:val="none"/>
          <w14:textFill>
            <w14:solidFill>
              <w14:schemeClr w14:val="tx1"/>
            </w14:solidFill>
          </w14:textFill>
        </w:rPr>
        <w:t>确定</w:t>
      </w: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帮扶对象</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矿山、建材、冶金、化工等行业领域中小微企业以及职业病危害严重、有职业病或疑似职业病病例、纳入职业病危害专项治理的中小微企业</w:t>
      </w:r>
      <w:r>
        <w:rPr>
          <w:rFonts w:ascii="仿宋_GB2312" w:hAnsi="仿宋_GB2312" w:eastAsia="仿宋_GB2312" w:cs="仿宋_GB2312"/>
          <w:color w:val="000000" w:themeColor="text1"/>
          <w:sz w:val="32"/>
          <w:szCs w:val="32"/>
          <w:highlight w:val="none"/>
          <w:u w:val="none"/>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重点帮扶</w:t>
      </w:r>
      <w:r>
        <w:rPr>
          <w:rFonts w:ascii="仿宋_GB2312" w:hAnsi="仿宋_GB2312" w:eastAsia="仿宋_GB2312" w:cs="仿宋_GB2312"/>
          <w:color w:val="000000" w:themeColor="text1"/>
          <w:sz w:val="32"/>
          <w:szCs w:val="32"/>
          <w:highlight w:val="none"/>
          <w:u w:val="none"/>
          <w14:textFill>
            <w14:solidFill>
              <w14:schemeClr w14:val="tx1"/>
            </w14:solidFill>
          </w14:textFill>
        </w:rPr>
        <w:t>对象，各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可根据</w:t>
      </w:r>
      <w:r>
        <w:rPr>
          <w:rFonts w:ascii="仿宋_GB2312" w:hAnsi="仿宋_GB2312" w:eastAsia="仿宋_GB2312" w:cs="仿宋_GB2312"/>
          <w:color w:val="000000" w:themeColor="text1"/>
          <w:sz w:val="32"/>
          <w:szCs w:val="32"/>
          <w:highlight w:val="none"/>
          <w:u w:val="none"/>
          <w14:textFill>
            <w14:solidFill>
              <w14:schemeClr w14:val="tx1"/>
            </w14:solidFill>
          </w14:textFill>
        </w:rPr>
        <w:t>实际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情况扩大帮扶对象范围</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建立中小微企业职业健康帮扶名单</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中小微企业根据国家统计局印发的</w:t>
      </w:r>
      <w:r>
        <w:rPr>
          <w:rFonts w:ascii="仿宋_GB2312" w:hAnsi="仿宋_GB2312" w:eastAsia="仿宋_GB2312" w:cs="仿宋_GB2312"/>
          <w:color w:val="000000" w:themeColor="text1"/>
          <w:sz w:val="32"/>
          <w:szCs w:val="32"/>
          <w:highlight w:val="none"/>
          <w:u w:val="none"/>
          <w:lang w:bidi="ar"/>
          <w14:textFill>
            <w14:solidFill>
              <w14:schemeClr w14:val="tx1"/>
            </w14:solidFill>
          </w14:textFill>
        </w:rPr>
        <w:t>《统计上大中小微型企业划分办法</w:t>
      </w:r>
      <w:r>
        <w:rPr>
          <w:rFonts w:hint="default" w:ascii="Times New Roman" w:hAnsi="Times New Roman" w:eastAsia="仿宋_GB2312" w:cs="Times New Roman"/>
          <w:color w:val="000000" w:themeColor="text1"/>
          <w:sz w:val="32"/>
          <w:szCs w:val="32"/>
          <w:highlight w:val="none"/>
          <w:u w:val="none"/>
          <w:lang w:bidi="ar"/>
          <w14:textFill>
            <w14:solidFill>
              <w14:schemeClr w14:val="tx1"/>
            </w14:solidFill>
          </w14:textFill>
        </w:rPr>
        <w:t>（2017）</w:t>
      </w:r>
      <w:r>
        <w:rPr>
          <w:rFonts w:ascii="仿宋_GB2312" w:hAnsi="仿宋_GB2312" w:eastAsia="仿宋_GB2312" w:cs="仿宋_GB2312"/>
          <w:color w:val="000000" w:themeColor="text1"/>
          <w:sz w:val="32"/>
          <w:szCs w:val="32"/>
          <w:highlight w:val="none"/>
          <w:u w:val="none"/>
          <w:lang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bidi="ar"/>
          <w14:textFill>
            <w14:solidFill>
              <w14:schemeClr w14:val="tx1"/>
            </w14:solidFill>
          </w14:textFill>
        </w:rPr>
        <w:t>确定。</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14:textFill>
            <w14:solidFill>
              <w14:schemeClr w14:val="tx1"/>
            </w14:solidFill>
          </w14:textFill>
        </w:rPr>
        <w:t>（二）建立帮扶团队</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卫生健康行政部门要以疾控中心、职防院</w:t>
      </w:r>
      <w:r>
        <w:rPr>
          <w:rFonts w:ascii="仿宋_GB2312" w:hAnsi="仿宋_GB2312" w:eastAsia="仿宋_GB2312" w:cs="仿宋_GB2312"/>
          <w:color w:val="000000" w:themeColor="text1"/>
          <w:sz w:val="32"/>
          <w:szCs w:val="32"/>
          <w:highlight w:val="none"/>
          <w:u w:val="none"/>
          <w14:textFill>
            <w14:solidFill>
              <w14:schemeClr w14:val="tx1"/>
            </w14:solidFill>
          </w14:textFill>
        </w:rPr>
        <w:t>、卫生监督机构为主</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，组建帮扶专家团队，鼓励第三方职业</w:t>
      </w:r>
      <w:r>
        <w:rPr>
          <w:rFonts w:ascii="仿宋_GB2312" w:hAnsi="仿宋_GB2312" w:eastAsia="仿宋_GB2312" w:cs="仿宋_GB2312"/>
          <w:color w:val="000000" w:themeColor="text1"/>
          <w:sz w:val="32"/>
          <w:szCs w:val="32"/>
          <w:highlight w:val="none"/>
          <w:u w:val="none"/>
          <w14:textFill>
            <w14:solidFill>
              <w14:schemeClr w14:val="tx1"/>
            </w14:solidFill>
          </w14:textFill>
        </w:rPr>
        <w:t>卫生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技术服务机构积极参与，强化中小微企业职业健康帮扶技术支持力量。</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帮扶团队开展帮扶企业职业病危害现状摸底</w:t>
      </w:r>
      <w:r>
        <w:rPr>
          <w:rFonts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因企施策，提供专业、科学、具体、有效的帮扶指导。</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000000" w:themeColor="text1"/>
          <w:kern w:val="0"/>
          <w:sz w:val="32"/>
          <w:szCs w:val="32"/>
          <w:highlight w:val="none"/>
          <w:u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u w:val="none"/>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u w:val="none"/>
          <w14:textFill>
            <w14:solidFill>
              <w14:schemeClr w14:val="tx1"/>
            </w14:solidFill>
          </w14:textFill>
        </w:rPr>
        <w:t>重点开展“五个一”</w:t>
      </w:r>
      <w:r>
        <w:rPr>
          <w:rFonts w:hint="eastAsia" w:ascii="楷体_GB2312" w:hAnsi="楷体_GB2312" w:eastAsia="楷体_GB2312" w:cs="楷体_GB2312"/>
          <w:color w:val="000000" w:themeColor="text1"/>
          <w:kern w:val="0"/>
          <w:sz w:val="32"/>
          <w:szCs w:val="32"/>
          <w:highlight w:val="none"/>
          <w:u w:val="none"/>
          <w14:textFill>
            <w14:solidFill>
              <w14:schemeClr w14:val="tx1"/>
            </w14:solidFill>
          </w14:textFill>
        </w:rPr>
        <w:t>帮扶工作</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1.开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展一次职业病危害因素辨识。</w:t>
      </w:r>
      <w:r>
        <w:rPr>
          <w:rFonts w:ascii="仿宋_GB2312" w:hAnsi="仿宋_GB2312" w:eastAsia="仿宋_GB2312" w:cs="仿宋_GB2312"/>
          <w:color w:val="000000" w:themeColor="text1"/>
          <w:sz w:val="32"/>
          <w:szCs w:val="32"/>
          <w:highlight w:val="none"/>
          <w:u w:val="none"/>
          <w14:textFill>
            <w14:solidFill>
              <w14:schemeClr w14:val="tx1"/>
            </w14:solidFill>
          </w14:textFill>
        </w:rPr>
        <w:t>指导企业对所有工作场所进行职业病危害因素辨识。根据辨识结果和企业需求，指导企业开展职业病危害项目申报、职业健康监护、职业病防护用品配发、职业病防护设施及职业卫生档案管理等工作。</w:t>
      </w:r>
    </w:p>
    <w:p>
      <w:pPr>
        <w:pStyle w:val="3"/>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仿宋_GB2312" w:cs="仿宋_GB2312"/>
          <w:color w:val="000000" w:themeColor="text1"/>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2.建</w:t>
      </w:r>
      <w:r>
        <w:rPr>
          <w:rFonts w:hint="eastAsia" w:ascii="仿宋_GB2312" w:hAnsi="仿宋_GB2312" w:cs="仿宋_GB2312"/>
          <w:color w:val="000000" w:themeColor="text1"/>
          <w:szCs w:val="32"/>
          <w:highlight w:val="none"/>
          <w:u w:val="none"/>
          <w14:textFill>
            <w14:solidFill>
              <w14:schemeClr w14:val="tx1"/>
            </w14:solidFill>
          </w14:textFill>
        </w:rPr>
        <w:t>立一套实用的职业健康</w:t>
      </w:r>
      <w:r>
        <w:rPr>
          <w:rFonts w:ascii="仿宋_GB2312" w:hAnsi="仿宋_GB2312" w:cs="仿宋_GB2312"/>
          <w:color w:val="000000" w:themeColor="text1"/>
          <w:szCs w:val="32"/>
          <w:highlight w:val="none"/>
          <w:u w:val="none"/>
          <w14:textFill>
            <w14:solidFill>
              <w14:schemeClr w14:val="tx1"/>
            </w14:solidFill>
          </w14:textFill>
        </w:rPr>
        <w:t>管理</w:t>
      </w:r>
      <w:r>
        <w:rPr>
          <w:rFonts w:hint="eastAsia" w:ascii="仿宋_GB2312" w:hAnsi="仿宋_GB2312" w:cs="仿宋_GB2312"/>
          <w:color w:val="000000" w:themeColor="text1"/>
          <w:szCs w:val="32"/>
          <w:highlight w:val="none"/>
          <w:u w:val="none"/>
          <w14:textFill>
            <w14:solidFill>
              <w14:schemeClr w14:val="tx1"/>
            </w14:solidFill>
          </w14:textFill>
        </w:rPr>
        <w:t>制度。帮助企业梳理现有职业健康法律、法规、规章、标准等信息</w:t>
      </w:r>
      <w:r>
        <w:rPr>
          <w:rFonts w:ascii="仿宋_GB2312" w:hAnsi="仿宋_GB2312" w:cs="仿宋_GB2312"/>
          <w:color w:val="000000" w:themeColor="text1"/>
          <w:szCs w:val="32"/>
          <w:highlight w:val="none"/>
          <w:u w:val="none"/>
          <w14:textFill>
            <w14:solidFill>
              <w14:schemeClr w14:val="tx1"/>
            </w14:solidFill>
          </w14:textFill>
        </w:rPr>
        <w:t>，</w:t>
      </w:r>
      <w:r>
        <w:rPr>
          <w:rFonts w:hint="eastAsia" w:ascii="仿宋_GB2312" w:hAnsi="仿宋_GB2312" w:cs="仿宋_GB2312"/>
          <w:color w:val="000000" w:themeColor="text1"/>
          <w:szCs w:val="32"/>
          <w:highlight w:val="none"/>
          <w:u w:val="none"/>
          <w14:textFill>
            <w14:solidFill>
              <w14:schemeClr w14:val="tx1"/>
            </w14:solidFill>
          </w14:textFill>
        </w:rPr>
        <w:t>根据企业现状，建立一套符合法律法规要求和企业实际</w:t>
      </w:r>
      <w:r>
        <w:rPr>
          <w:rFonts w:ascii="仿宋_GB2312" w:hAnsi="仿宋_GB2312" w:cs="仿宋_GB2312"/>
          <w:color w:val="000000" w:themeColor="text1"/>
          <w:szCs w:val="32"/>
          <w:highlight w:val="none"/>
          <w:u w:val="none"/>
          <w14:textFill>
            <w14:solidFill>
              <w14:schemeClr w14:val="tx1"/>
            </w14:solidFill>
          </w14:textFill>
        </w:rPr>
        <w:t>需求、</w:t>
      </w:r>
      <w:r>
        <w:rPr>
          <w:rFonts w:hint="eastAsia" w:ascii="仿宋_GB2312" w:hAnsi="仿宋_GB2312" w:cs="仿宋_GB2312"/>
          <w:color w:val="000000" w:themeColor="text1"/>
          <w:szCs w:val="32"/>
          <w:highlight w:val="none"/>
          <w:u w:val="none"/>
          <w14:textFill>
            <w14:solidFill>
              <w14:schemeClr w14:val="tx1"/>
            </w14:solidFill>
          </w14:textFill>
        </w:rPr>
        <w:t>可操作的职业健康管理制度和应急预案，指导企业</w:t>
      </w:r>
      <w:r>
        <w:rPr>
          <w:rFonts w:ascii="仿宋_GB2312" w:hAnsi="仿宋_GB2312" w:cs="仿宋_GB2312"/>
          <w:color w:val="000000" w:themeColor="text1"/>
          <w:szCs w:val="32"/>
          <w:highlight w:val="none"/>
          <w:u w:val="none"/>
          <w14:textFill>
            <w14:solidFill>
              <w14:schemeClr w14:val="tx1"/>
            </w14:solidFill>
          </w14:textFill>
        </w:rPr>
        <w:t>开展职业卫生管理自查，依法</w:t>
      </w:r>
      <w:r>
        <w:rPr>
          <w:rFonts w:hint="eastAsia" w:ascii="仿宋_GB2312" w:hAnsi="仿宋_GB2312" w:cs="仿宋_GB2312"/>
          <w:color w:val="000000" w:themeColor="text1"/>
          <w:szCs w:val="32"/>
          <w:highlight w:val="none"/>
          <w:u w:val="none"/>
          <w14:textFill>
            <w14:solidFill>
              <w14:schemeClr w14:val="tx1"/>
            </w14:solidFill>
          </w14:textFill>
        </w:rPr>
        <w:t>履行职业病防治主体责任。</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3.开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展一次现场职业病危害告知和防护用品配置指导。根据企业存在的职业病危害因素</w:t>
      </w:r>
      <w:r>
        <w:rPr>
          <w:rFonts w:hint="eastAsia" w:ascii="仿宋_GB2312" w:hAnsi="Times New Roman" w:eastAsia="仿宋_GB2312"/>
          <w:color w:val="000000" w:themeColor="text1"/>
          <w:sz w:val="32"/>
          <w:szCs w:val="32"/>
          <w:highlight w:val="none"/>
          <w:u w:val="none"/>
          <w14:textFill>
            <w14:solidFill>
              <w14:schemeClr w14:val="tx1"/>
            </w14:solidFill>
          </w14:textFill>
        </w:rPr>
        <w:t>，现场指导企业在厂区相应工作场所醒目位置设置告知栏、张贴告知卡及警示标识</w:t>
      </w:r>
      <w:r>
        <w:rPr>
          <w:rFonts w:ascii="仿宋_GB2312" w:hAnsi="Times New Roman"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开展职业病危害合同告知。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帮助企业</w:t>
      </w:r>
      <w:r>
        <w:rPr>
          <w:rFonts w:ascii="仿宋_GB2312" w:hAnsi="仿宋_GB2312" w:eastAsia="仿宋_GB2312" w:cs="仿宋_GB2312"/>
          <w:color w:val="000000" w:themeColor="text1"/>
          <w:sz w:val="32"/>
          <w:szCs w:val="32"/>
          <w:highlight w:val="none"/>
          <w:u w:val="none"/>
          <w14:textFill>
            <w14:solidFill>
              <w14:schemeClr w14:val="tx1"/>
            </w14:solidFill>
          </w14:textFill>
        </w:rPr>
        <w:t>完善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职业病防护设施设置和个人使用的职业病防护用品配备，针对问题提出整改建议。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4.举</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办一次职业健康培训。通过专家授课、网络培训等方式，对中小微企业主要负责人、职业健康管理人员开展培训</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重点就职业病防治相关法律法规、职业病防治管理等内容进行讲解，提高主要负责人的职业病防治意识和职业健康管理人员的管理水平。</w:t>
      </w:r>
      <w:r>
        <w:rPr>
          <w:rFonts w:ascii="仿宋_GB2312" w:hAnsi="仿宋_GB2312" w:eastAsia="仿宋_GB2312" w:cs="仿宋_GB2312"/>
          <w:color w:val="000000" w:themeColor="text1"/>
          <w:sz w:val="32"/>
          <w:szCs w:val="32"/>
          <w:highlight w:val="none"/>
          <w:u w:val="none"/>
          <w14:textFill>
            <w14:solidFill>
              <w14:schemeClr w14:val="tx1"/>
            </w14:solidFill>
          </w14:textFill>
        </w:rPr>
        <w:t>帮助</w:t>
      </w:r>
      <w:r>
        <w:rPr>
          <w:rFonts w:hint="eastAsia" w:ascii="仿宋_GB2312" w:hAnsi="Times New Roman" w:eastAsia="仿宋_GB2312"/>
          <w:color w:val="000000" w:themeColor="text1"/>
          <w:sz w:val="32"/>
          <w:szCs w:val="32"/>
          <w:highlight w:val="none"/>
          <w:u w:val="none"/>
          <w14:textFill>
            <w14:solidFill>
              <w14:schemeClr w14:val="tx1"/>
            </w14:solidFill>
          </w14:textFill>
        </w:rPr>
        <w:t>企业组织全体劳动者开展职业健康培训</w:t>
      </w:r>
      <w:r>
        <w:rPr>
          <w:rFonts w:ascii="仿宋_GB2312" w:hAnsi="Times New Roman"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重点对劳动者职业病防治相关权利与义务</w:t>
      </w:r>
      <w:r>
        <w:rPr>
          <w:rFonts w:ascii="仿宋_GB2312" w:hAnsi="Times New Roman"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职业病危害防护基础知识</w:t>
      </w:r>
      <w:r>
        <w:rPr>
          <w:rFonts w:ascii="仿宋_GB2312" w:hAnsi="Times New Roman"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个体防护用品佩戴等进行讲解，提高劳动者个人防护意识和水平。</w:t>
      </w:r>
    </w:p>
    <w:p>
      <w:pPr>
        <w:pStyle w:val="3"/>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cs="仿宋_GB2312"/>
          <w:color w:val="000000" w:themeColor="text1"/>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5.开展</w:t>
      </w:r>
      <w:r>
        <w:rPr>
          <w:rFonts w:hint="eastAsia" w:ascii="仿宋_GB2312" w:hAnsi="仿宋_GB2312" w:cs="仿宋_GB2312"/>
          <w:color w:val="000000" w:themeColor="text1"/>
          <w:szCs w:val="32"/>
          <w:highlight w:val="none"/>
          <w:u w:val="none"/>
          <w14:textFill>
            <w14:solidFill>
              <w14:schemeClr w14:val="tx1"/>
            </w14:solidFill>
          </w14:textFill>
        </w:rPr>
        <w:t>一次超标岗位职业病危害治理。对于存在职业病危害因素超标岗位的企业，针对超标岗位问题，结合企业实际，提出整改措施建议，帮助制定整改方案，指导企业开展整改工作。</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olor w:val="000000" w:themeColor="text1"/>
          <w:kern w:val="0"/>
          <w:sz w:val="32"/>
          <w:szCs w:val="32"/>
          <w:highlight w:val="none"/>
          <w:u w:val="none"/>
          <w14:textFill>
            <w14:solidFill>
              <w14:schemeClr w14:val="tx1"/>
            </w14:solidFill>
          </w14:textFill>
        </w:rPr>
      </w:pPr>
      <w:r>
        <w:rPr>
          <w:rFonts w:ascii="黑体" w:hAnsi="黑体" w:eastAsia="黑体"/>
          <w:color w:val="000000" w:themeColor="text1"/>
          <w:kern w:val="0"/>
          <w:sz w:val="32"/>
          <w:szCs w:val="32"/>
          <w:highlight w:val="none"/>
          <w:u w:val="none"/>
          <w14:textFill>
            <w14:solidFill>
              <w14:schemeClr w14:val="tx1"/>
            </w14:solidFill>
          </w14:textFill>
        </w:rPr>
        <w:t>三、</w:t>
      </w:r>
      <w:r>
        <w:rPr>
          <w:rFonts w:hint="eastAsia" w:ascii="黑体" w:hAnsi="黑体" w:eastAsia="黑体"/>
          <w:color w:val="000000" w:themeColor="text1"/>
          <w:kern w:val="0"/>
          <w:sz w:val="32"/>
          <w:szCs w:val="32"/>
          <w:highlight w:val="none"/>
          <w:u w:val="none"/>
          <w14:textFill>
            <w14:solidFill>
              <w14:schemeClr w14:val="tx1"/>
            </w14:solidFill>
          </w14:textFill>
        </w:rPr>
        <w:t>工作要求</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（一）加强组织领导，提升服务意识</w:t>
      </w:r>
    </w:p>
    <w:p>
      <w:pPr>
        <w:pStyle w:val="9"/>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要结合实际，将中小微企业职业健康帮扶与职业病危害专项治理、职业病及危害因素监测、重点人群职业健康素养监测与干预、职业病危害项目申报扩面行动等工作</w:t>
      </w:r>
      <w:r>
        <w:rPr>
          <w:rFonts w:ascii="仿宋_GB2312" w:hAnsi="仿宋_GB2312" w:eastAsia="仿宋_GB2312" w:cs="仿宋_GB2312"/>
          <w:color w:val="000000" w:themeColor="text1"/>
          <w:sz w:val="32"/>
          <w:szCs w:val="32"/>
          <w:highlight w:val="none"/>
          <w:u w:val="none"/>
          <w14:textFill>
            <w14:solidFill>
              <w14:schemeClr w14:val="tx1"/>
            </w14:solidFill>
          </w14:textFill>
        </w:rPr>
        <w:t>统筹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谋划、协同推进</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要增强主动服务的</w:t>
      </w:r>
      <w:r>
        <w:rPr>
          <w:rFonts w:ascii="仿宋_GB2312" w:hAnsi="仿宋_GB2312" w:eastAsia="仿宋_GB2312" w:cs="仿宋_GB2312"/>
          <w:color w:val="000000" w:themeColor="text1"/>
          <w:sz w:val="32"/>
          <w:szCs w:val="32"/>
          <w:highlight w:val="none"/>
          <w:u w:val="none"/>
          <w14:textFill>
            <w14:solidFill>
              <w14:schemeClr w14:val="tx1"/>
            </w14:solidFill>
          </w14:textFill>
        </w:rPr>
        <w:t>意识，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针对中小微企业在职业病防治中的“急难愁盼”问题，重点研究，优先予以帮扶解决</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切实推动中小微企业规范职业健康管理，保障劳动者职业健康权益。</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（二）加强协同联动，形成工作合力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w:t>
      </w:r>
      <w:r>
        <w:rPr>
          <w:rFonts w:ascii="仿宋_GB2312" w:hAnsi="仿宋_GB2312" w:eastAsia="仿宋_GB2312" w:cs="仿宋_GB2312"/>
          <w:color w:val="000000" w:themeColor="text1"/>
          <w:sz w:val="32"/>
          <w:szCs w:val="32"/>
          <w:highlight w:val="none"/>
          <w:u w:val="none"/>
          <w14:textFill>
            <w14:solidFill>
              <w14:schemeClr w14:val="tx1"/>
            </w14:solidFill>
          </w14:textFill>
        </w:rPr>
        <w:t>卫生健康行政部门、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疾控</w:t>
      </w:r>
      <w:r>
        <w:rPr>
          <w:rFonts w:ascii="仿宋_GB2312" w:hAnsi="仿宋_GB2312" w:eastAsia="仿宋_GB2312" w:cs="仿宋_GB2312"/>
          <w:color w:val="000000" w:themeColor="text1"/>
          <w:sz w:val="32"/>
          <w:szCs w:val="32"/>
          <w:highlight w:val="none"/>
          <w:u w:val="none"/>
          <w14:textFill>
            <w14:solidFill>
              <w14:schemeClr w14:val="tx1"/>
            </w14:solidFill>
          </w14:textFill>
        </w:rPr>
        <w:t>主管部门要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加强协同</w:t>
      </w:r>
      <w:r>
        <w:rPr>
          <w:rFonts w:ascii="仿宋_GB2312" w:hAnsi="仿宋_GB2312" w:eastAsia="仿宋_GB2312" w:cs="仿宋_GB2312"/>
          <w:color w:val="000000" w:themeColor="text1"/>
          <w:sz w:val="32"/>
          <w:szCs w:val="32"/>
          <w:highlight w:val="none"/>
          <w:u w:val="none"/>
          <w14:textFill>
            <w14:solidFill>
              <w14:schemeClr w14:val="tx1"/>
            </w14:solidFill>
          </w14:textFill>
        </w:rPr>
        <w:t>配合，建立定期沟通、信息共享和协作联动工作机制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加强与发</w:t>
      </w:r>
      <w:r>
        <w:rPr>
          <w:rFonts w:ascii="仿宋_GB2312" w:hAnsi="仿宋_GB2312" w:eastAsia="仿宋_GB2312" w:cs="仿宋_GB2312"/>
          <w:color w:val="000000" w:themeColor="text1"/>
          <w:sz w:val="32"/>
          <w:szCs w:val="32"/>
          <w:highlight w:val="none"/>
          <w:u w:val="none"/>
          <w14:textFill>
            <w14:solidFill>
              <w14:schemeClr w14:val="tx1"/>
            </w14:solidFill>
          </w14:textFill>
        </w:rPr>
        <w:t>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改</w:t>
      </w:r>
      <w:r>
        <w:rPr>
          <w:rFonts w:ascii="仿宋_GB2312" w:hAnsi="仿宋_GB2312" w:eastAsia="仿宋_GB2312" w:cs="仿宋_GB2312"/>
          <w:color w:val="000000" w:themeColor="text1"/>
          <w:sz w:val="32"/>
          <w:szCs w:val="32"/>
          <w:highlight w:val="none"/>
          <w:u w:val="none"/>
          <w14:textFill>
            <w14:solidFill>
              <w14:schemeClr w14:val="tx1"/>
            </w14:solidFill>
          </w14:textFill>
        </w:rPr>
        <w:t>革</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、工</w:t>
      </w:r>
      <w:r>
        <w:rPr>
          <w:rFonts w:ascii="仿宋_GB2312" w:hAnsi="仿宋_GB2312" w:eastAsia="仿宋_GB2312" w:cs="仿宋_GB2312"/>
          <w:color w:val="000000" w:themeColor="text1"/>
          <w:sz w:val="32"/>
          <w:szCs w:val="32"/>
          <w:highlight w:val="none"/>
          <w:u w:val="none"/>
          <w14:textFill>
            <w14:solidFill>
              <w14:schemeClr w14:val="tx1"/>
            </w14:solidFill>
          </w14:textFill>
        </w:rPr>
        <w:t>业和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信</w:t>
      </w:r>
      <w:r>
        <w:rPr>
          <w:rFonts w:ascii="仿宋_GB2312" w:hAnsi="仿宋_GB2312" w:eastAsia="仿宋_GB2312" w:cs="仿宋_GB2312"/>
          <w:color w:val="000000" w:themeColor="text1"/>
          <w:sz w:val="32"/>
          <w:szCs w:val="32"/>
          <w:highlight w:val="none"/>
          <w:u w:val="none"/>
          <w14:textFill>
            <w14:solidFill>
              <w14:schemeClr w14:val="tx1"/>
            </w14:solidFill>
          </w14:textFill>
        </w:rPr>
        <w:t>息化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、财政、人</w:t>
      </w:r>
      <w:r>
        <w:rPr>
          <w:rFonts w:ascii="仿宋_GB2312" w:hAnsi="仿宋_GB2312" w:eastAsia="仿宋_GB2312" w:cs="仿宋_GB2312"/>
          <w:color w:val="000000" w:themeColor="text1"/>
          <w:sz w:val="32"/>
          <w:szCs w:val="32"/>
          <w:highlight w:val="none"/>
          <w:u w:val="none"/>
          <w14:textFill>
            <w14:solidFill>
              <w14:schemeClr w14:val="tx1"/>
            </w14:solidFill>
          </w14:textFill>
        </w:rPr>
        <w:t>力资源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社</w:t>
      </w:r>
      <w:r>
        <w:rPr>
          <w:rFonts w:ascii="仿宋_GB2312" w:hAnsi="仿宋_GB2312" w:eastAsia="仿宋_GB2312" w:cs="仿宋_GB2312"/>
          <w:color w:val="000000" w:themeColor="text1"/>
          <w:sz w:val="32"/>
          <w:szCs w:val="32"/>
          <w:highlight w:val="none"/>
          <w:u w:val="none"/>
          <w14:textFill>
            <w14:solidFill>
              <w14:schemeClr w14:val="tx1"/>
            </w14:solidFill>
          </w14:textFill>
        </w:rPr>
        <w:t>会保障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、税务、工会等部门的协作，用好现有中小微企业的各项帮扶政策，在保护劳动者健康的同时，助力中小微企业的发展，切实提高中小微企业开展职业病防治的内生动力。</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各</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县区、各单位可</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充分利用工伤预防费用、职业病防治项目</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、职业病危害专项治理、专项帮扶经费</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等支持开展中小微企业职业健康帮扶工作。</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（三）</w:t>
      </w:r>
      <w:r>
        <w:rPr>
          <w:rFonts w:ascii="楷体_GB2312" w:hAnsi="Times New Roman" w:eastAsia="楷体_GB2312"/>
          <w:color w:val="000000" w:themeColor="text1"/>
          <w:kern w:val="0"/>
          <w:sz w:val="32"/>
          <w:szCs w:val="32"/>
          <w:highlight w:val="none"/>
          <w:u w:val="none"/>
          <w14:textFill>
            <w14:solidFill>
              <w14:schemeClr w14:val="tx1"/>
            </w14:solidFill>
          </w14:textFill>
        </w:rPr>
        <w:t>加</w:t>
      </w: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强</w:t>
      </w:r>
      <w:r>
        <w:rPr>
          <w:rFonts w:ascii="楷体_GB2312" w:hAnsi="Times New Roman" w:eastAsia="楷体_GB2312"/>
          <w:color w:val="000000" w:themeColor="text1"/>
          <w:kern w:val="0"/>
          <w:sz w:val="32"/>
          <w:szCs w:val="32"/>
          <w:highlight w:val="none"/>
          <w:u w:val="none"/>
          <w14:textFill>
            <w14:solidFill>
              <w14:schemeClr w14:val="tx1"/>
            </w14:solidFill>
          </w14:textFill>
        </w:rPr>
        <w:t>宣传</w:t>
      </w: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指导，</w:t>
      </w:r>
      <w:r>
        <w:rPr>
          <w:rFonts w:ascii="楷体_GB2312" w:hAnsi="Times New Roman" w:eastAsia="楷体_GB2312"/>
          <w:color w:val="000000" w:themeColor="text1"/>
          <w:kern w:val="0"/>
          <w:sz w:val="32"/>
          <w:szCs w:val="32"/>
          <w:highlight w:val="none"/>
          <w:u w:val="none"/>
          <w14:textFill>
            <w14:solidFill>
              <w14:schemeClr w14:val="tx1"/>
            </w14:solidFill>
          </w14:textFill>
        </w:rPr>
        <w:t>及时总结推进</w:t>
      </w:r>
    </w:p>
    <w:p>
      <w:pPr>
        <w:pStyle w:val="13"/>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ascii="仿宋_GB2312" w:hAnsi="仿宋_GB2312" w:eastAsia="仿宋_GB2312" w:cs="仿宋_GB2312"/>
          <w:color w:val="000000" w:themeColor="text1"/>
          <w:sz w:val="32"/>
          <w:szCs w:val="32"/>
          <w:highlight w:val="none"/>
          <w:u w:val="none"/>
          <w14:textFill>
            <w14:solidFill>
              <w14:schemeClr w14:val="tx1"/>
            </w14:solidFill>
          </w14:textFill>
        </w:rPr>
        <w:t>要加大宣传力度，引导中小微企业主动参与、积极配合</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要</w:t>
      </w:r>
      <w:r>
        <w:rPr>
          <w:rFonts w:ascii="仿宋_GB2312" w:hAnsi="宋体" w:eastAsia="仿宋_GB2312" w:cs="宋体"/>
          <w:color w:val="000000" w:themeColor="text1"/>
          <w:kern w:val="0"/>
          <w:sz w:val="32"/>
          <w:szCs w:val="32"/>
          <w:highlight w:val="none"/>
          <w:u w:val="none"/>
          <w14:textFill>
            <w14:solidFill>
              <w14:schemeClr w14:val="tx1"/>
            </w14:solidFill>
          </w14:textFill>
        </w:rPr>
        <w:t>加强调研，指导</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解决帮扶工作中遇到的困难和问题，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及时总结</w:t>
      </w:r>
      <w:r>
        <w:rPr>
          <w:rFonts w:ascii="仿宋_GB2312" w:hAnsi="仿宋_GB2312" w:eastAsia="仿宋_GB2312" w:cs="仿宋_GB2312"/>
          <w:color w:val="000000" w:themeColor="text1"/>
          <w:sz w:val="32"/>
          <w:szCs w:val="32"/>
          <w:highlight w:val="none"/>
          <w:u w:val="none"/>
          <w14:textFill>
            <w14:solidFill>
              <w14:schemeClr w14:val="tx1"/>
            </w14:solidFill>
          </w14:textFill>
        </w:rPr>
        <w:t>推广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好经验、好做法，营造有利于帮扶行动开展的良好氛围。要每年组织开展一次</w:t>
      </w:r>
      <w:r>
        <w:rPr>
          <w:rFonts w:ascii="仿宋_GB2312" w:hAnsi="仿宋_GB2312" w:eastAsia="仿宋_GB2312" w:cs="仿宋_GB2312"/>
          <w:color w:val="000000" w:themeColor="text1"/>
          <w:sz w:val="32"/>
          <w:szCs w:val="32"/>
          <w:highlight w:val="none"/>
          <w:u w:val="none"/>
          <w14:textFill>
            <w14:solidFill>
              <w14:schemeClr w14:val="tx1"/>
            </w14:solidFill>
          </w14:textFill>
        </w:rPr>
        <w:t>总结，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通过问卷调查、劳动者访谈、现场</w:t>
      </w:r>
      <w:r>
        <w:rPr>
          <w:rFonts w:ascii="仿宋_GB2312" w:hAnsi="仿宋_GB2312" w:eastAsia="仿宋_GB2312" w:cs="仿宋_GB2312"/>
          <w:color w:val="000000" w:themeColor="text1"/>
          <w:sz w:val="32"/>
          <w:szCs w:val="32"/>
          <w:highlight w:val="none"/>
          <w:u w:val="none"/>
          <w14:textFill>
            <w14:solidFill>
              <w14:schemeClr w14:val="tx1"/>
            </w14:solidFill>
          </w14:textFill>
        </w:rPr>
        <w:t>调研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等多种形式，分析帮扶效果，不断改进完善帮扶措施，逐步构建可持续的长效帮扶机制</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p>
    <w:p>
      <w:pPr>
        <w:pStyle w:val="13"/>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黑体" w:hAnsi="黑体" w:eastAsia="黑体" w:cs="黑体"/>
          <w:color w:val="000000" w:themeColor="text1"/>
          <w:sz w:val="32"/>
          <w:szCs w:val="32"/>
          <w:highlight w:val="none"/>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请各县区卫生健康局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分别</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于2024年12月25日和2025年11月25日前提交本县区帮扶工作总结。市卫生健康委</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将把帮扶工作列入职业健康月调度范围，对各县区</w:t>
      </w:r>
      <w:bookmarkStart w:id="0" w:name="_GoBack"/>
      <w:bookmarkEnd w:id="0"/>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工作完成情况进行通报。</w:t>
      </w:r>
    </w:p>
    <w:p>
      <w:pPr>
        <w:keepNext w:val="0"/>
        <w:keepLines w:val="0"/>
        <w:pageBreakBefore w:val="0"/>
        <w:kinsoku/>
        <w:wordWrap/>
        <w:overflowPunct/>
        <w:topLinePunct w:val="0"/>
        <w:autoSpaceDE/>
        <w:autoSpaceDN/>
        <w:bidi w:val="0"/>
        <w:adjustRightInd/>
        <w:spacing w:line="600" w:lineRule="exact"/>
        <w:textAlignment w:val="auto"/>
        <w:rPr>
          <w:color w:val="000000" w:themeColor="text1"/>
          <w14:textFill>
            <w14:solidFill>
              <w14:schemeClr w14:val="tx1"/>
            </w14:solidFill>
          </w14:textFill>
        </w:rPr>
      </w:pPr>
    </w:p>
    <w:sectPr>
      <w:footerReference r:id="rId3" w:type="default"/>
      <w:pgSz w:w="11906" w:h="16838"/>
      <w:pgMar w:top="1304" w:right="1304" w:bottom="1304"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31B96"/>
    <w:rsid w:val="04FF27EB"/>
    <w:rsid w:val="06600357"/>
    <w:rsid w:val="09361584"/>
    <w:rsid w:val="124750B3"/>
    <w:rsid w:val="1BDF529F"/>
    <w:rsid w:val="1CC7E343"/>
    <w:rsid w:val="1FA721AD"/>
    <w:rsid w:val="1FBD316B"/>
    <w:rsid w:val="1FD39F81"/>
    <w:rsid w:val="21BA39D7"/>
    <w:rsid w:val="2925E46E"/>
    <w:rsid w:val="2BB6A740"/>
    <w:rsid w:val="2E741F1D"/>
    <w:rsid w:val="2F719508"/>
    <w:rsid w:val="3163490E"/>
    <w:rsid w:val="344E106E"/>
    <w:rsid w:val="3ADC447B"/>
    <w:rsid w:val="3E87DDEC"/>
    <w:rsid w:val="3F7FB15D"/>
    <w:rsid w:val="3FFD06D7"/>
    <w:rsid w:val="414145AE"/>
    <w:rsid w:val="4FFBF0D5"/>
    <w:rsid w:val="537D5085"/>
    <w:rsid w:val="56CFA2A9"/>
    <w:rsid w:val="573F3286"/>
    <w:rsid w:val="57B78893"/>
    <w:rsid w:val="5A7DB900"/>
    <w:rsid w:val="5BFBDEB9"/>
    <w:rsid w:val="5F7792BC"/>
    <w:rsid w:val="5FA79842"/>
    <w:rsid w:val="5FEB4096"/>
    <w:rsid w:val="5FFED3FE"/>
    <w:rsid w:val="65B31B96"/>
    <w:rsid w:val="65F737E5"/>
    <w:rsid w:val="66BFAB76"/>
    <w:rsid w:val="66DFA2F1"/>
    <w:rsid w:val="67AB401C"/>
    <w:rsid w:val="6AB51B7B"/>
    <w:rsid w:val="6AF30D51"/>
    <w:rsid w:val="6DFF299B"/>
    <w:rsid w:val="6F1B1027"/>
    <w:rsid w:val="6F301C45"/>
    <w:rsid w:val="6F4A1788"/>
    <w:rsid w:val="6FB373F9"/>
    <w:rsid w:val="6FBDDBE9"/>
    <w:rsid w:val="6FC69063"/>
    <w:rsid w:val="6FCD000B"/>
    <w:rsid w:val="6FEF191E"/>
    <w:rsid w:val="73E36F23"/>
    <w:rsid w:val="753B9E98"/>
    <w:rsid w:val="75EF2501"/>
    <w:rsid w:val="775F2CC7"/>
    <w:rsid w:val="775FF908"/>
    <w:rsid w:val="77F47CAA"/>
    <w:rsid w:val="77FF5FA0"/>
    <w:rsid w:val="79F3B68B"/>
    <w:rsid w:val="7AE31EE5"/>
    <w:rsid w:val="7B1F4645"/>
    <w:rsid w:val="7B5F15FD"/>
    <w:rsid w:val="7BBDFCB8"/>
    <w:rsid w:val="7BEB6617"/>
    <w:rsid w:val="7BFF2272"/>
    <w:rsid w:val="7CFF591B"/>
    <w:rsid w:val="7DDCC52C"/>
    <w:rsid w:val="7EDBD63B"/>
    <w:rsid w:val="7EF8F18F"/>
    <w:rsid w:val="7F575261"/>
    <w:rsid w:val="7F6B7119"/>
    <w:rsid w:val="7FAF6369"/>
    <w:rsid w:val="7FBF7701"/>
    <w:rsid w:val="7FBFF362"/>
    <w:rsid w:val="7FDABFF8"/>
    <w:rsid w:val="7FE76C90"/>
    <w:rsid w:val="7FF353A9"/>
    <w:rsid w:val="7FF966DF"/>
    <w:rsid w:val="7FFBC11D"/>
    <w:rsid w:val="7FFE41ED"/>
    <w:rsid w:val="864F25E9"/>
    <w:rsid w:val="91C13145"/>
    <w:rsid w:val="ADBEEBEC"/>
    <w:rsid w:val="AFA74EDA"/>
    <w:rsid w:val="AFB79B5D"/>
    <w:rsid w:val="BBBF79CA"/>
    <w:rsid w:val="BBFF06C3"/>
    <w:rsid w:val="BDBBA3FD"/>
    <w:rsid w:val="BEFBD4CC"/>
    <w:rsid w:val="BFFA06BB"/>
    <w:rsid w:val="C2B7A2B2"/>
    <w:rsid w:val="D5EE1E3C"/>
    <w:rsid w:val="D7D93D25"/>
    <w:rsid w:val="DDED2707"/>
    <w:rsid w:val="DF5F4716"/>
    <w:rsid w:val="DFC8C415"/>
    <w:rsid w:val="EA4D04AB"/>
    <w:rsid w:val="ECDF9D7A"/>
    <w:rsid w:val="EDC1D2CF"/>
    <w:rsid w:val="F2F70B01"/>
    <w:rsid w:val="F55E8643"/>
    <w:rsid w:val="F7F1B0BE"/>
    <w:rsid w:val="FAEB3650"/>
    <w:rsid w:val="FB67A3C5"/>
    <w:rsid w:val="FBDF04EF"/>
    <w:rsid w:val="FDF4FBB9"/>
    <w:rsid w:val="FEB9EEE4"/>
    <w:rsid w:val="FEBBC3EC"/>
    <w:rsid w:val="FEFB442C"/>
    <w:rsid w:val="FEFD9FBE"/>
    <w:rsid w:val="FF5D7FDA"/>
    <w:rsid w:val="FFCE824A"/>
    <w:rsid w:val="FFDF7AED"/>
    <w:rsid w:val="FFEFFCA1"/>
    <w:rsid w:val="FFF70D71"/>
    <w:rsid w:val="FFF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
    <w:name w:val="Normal Indent"/>
    <w:next w:val="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envelope return"/>
    <w:basedOn w:val="1"/>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5">
    <w:name w:val="Body Text Indent"/>
    <w:basedOn w:val="1"/>
    <w:next w:val="1"/>
    <w:unhideWhenUsed/>
    <w:qFormat/>
    <w:uiPriority w:val="99"/>
    <w:pPr>
      <w:spacing w:beforeLines="0" w:after="120" w:afterLines="0"/>
      <w:ind w:left="420" w:leftChars="200"/>
    </w:pPr>
    <w:rPr>
      <w:rFonts w:hint="default"/>
      <w:sz w:val="22"/>
      <w:szCs w:val="24"/>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5"/>
    <w:qFormat/>
    <w:uiPriority w:val="0"/>
    <w:pPr>
      <w:widowControl w:val="0"/>
      <w:spacing w:line="0" w:lineRule="atLeast"/>
      <w:jc w:val="center"/>
    </w:pPr>
    <w:rPr>
      <w:rFonts w:ascii="Arial" w:hAnsi="Arial" w:eastAsia="黑体" w:cs="Times New Roman"/>
      <w:kern w:val="2"/>
      <w:sz w:val="52"/>
      <w:szCs w:val="52"/>
      <w:lang w:val="en-US" w:eastAsia="zh-CN" w:bidi="ar-SA"/>
    </w:rPr>
  </w:style>
  <w:style w:type="character" w:styleId="12">
    <w:name w:val="Hyperlink"/>
    <w:basedOn w:val="11"/>
    <w:qFormat/>
    <w:uiPriority w:val="0"/>
    <w:rPr>
      <w:color w:val="0000FF"/>
      <w:u w:val="single"/>
    </w:rPr>
  </w:style>
  <w:style w:type="paragraph" w:customStyle="1" w:styleId="13">
    <w:name w:val="大标题"/>
    <w:qFormat/>
    <w:uiPriority w:val="0"/>
    <w:pPr>
      <w:widowControl w:val="0"/>
      <w:spacing w:line="570" w:lineRule="exact"/>
      <w:jc w:val="center"/>
    </w:pPr>
    <w:rPr>
      <w:rFonts w:ascii="仿宋" w:hAnsi="仿宋" w:eastAsia="方正小标宋简体" w:cs="Times New Roman"/>
      <w:kern w:val="2"/>
      <w:sz w:val="44"/>
      <w:szCs w:val="24"/>
      <w:lang w:val="en-US" w:eastAsia="zh-CN" w:bidi="ar-SA"/>
    </w:rPr>
  </w:style>
  <w:style w:type="paragraph" w:customStyle="1" w:styleId="14">
    <w:name w:val="样式1"/>
    <w:qFormat/>
    <w:uiPriority w:val="0"/>
    <w:pPr>
      <w:widowControl w:val="0"/>
      <w:jc w:val="both"/>
    </w:pPr>
    <w:rPr>
      <w:rFonts w:ascii="仿宋_GB2312" w:hAnsi="Times New Roman" w:eastAsia="仿宋_GB2312" w:cs="Times New Roman"/>
      <w:kern w:val="2"/>
      <w:sz w:val="28"/>
      <w:szCs w:val="24"/>
      <w:lang w:val="en-US" w:eastAsia="zh-CN" w:bidi="ar-SA"/>
    </w:rPr>
  </w:style>
  <w:style w:type="paragraph" w:customStyle="1" w:styleId="15">
    <w:name w:val="列出段落1"/>
    <w:basedOn w:val="1"/>
    <w:qFormat/>
    <w:uiPriority w:val="0"/>
    <w:pPr>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2024-08-01T16:13:00Z</dcterms:created>
  <dc:creator>A</dc:creator>
  <cp:lastModifiedBy>Administrator</cp:lastModifiedBy>
  <cp:lastPrinted>2024-07-31T19:23:00Z</cp:lastPrinted>
  <dcterms:modified xsi:type="dcterms:W3CDTF">2024-08-01T01:13:13Z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