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BB7AC8">
      <w:pPr>
        <w:pageBreakBefore w:val="0"/>
        <w:kinsoku/>
        <w:wordWrap/>
        <w:overflowPunct/>
        <w:topLinePunct w:val="0"/>
        <w:autoSpaceDE/>
        <w:autoSpaceDN/>
        <w:bidi w:val="0"/>
        <w:ind w:left="0" w:leftChars="0" w:right="0" w:rightChars="0" w:firstLine="0" w:firstLineChars="0"/>
        <w:rPr>
          <w:rFonts w:hint="eastAsia" w:ascii="方正小标宋简体" w:hAnsi="方正小标宋简体" w:eastAsia="方正小标宋简体" w:cs="方正小标宋简体"/>
          <w:sz w:val="44"/>
          <w:szCs w:val="44"/>
          <w:highlight w:val="none"/>
        </w:rPr>
      </w:pPr>
    </w:p>
    <w:p w14:paraId="7BC70B41">
      <w:pPr>
        <w:pageBreakBefore w:val="0"/>
        <w:kinsoku/>
        <w:wordWrap/>
        <w:overflowPunct/>
        <w:topLinePunct w:val="0"/>
        <w:autoSpaceDE/>
        <w:autoSpaceDN/>
        <w:bidi w:val="0"/>
        <w:ind w:left="0" w:leftChars="0" w:right="0" w:rightChars="0" w:firstLine="0" w:firstLineChars="0"/>
        <w:rPr>
          <w:rFonts w:hint="eastAsia" w:ascii="方正小标宋简体" w:hAnsi="方正小标宋简体" w:eastAsia="方正小标宋简体" w:cs="方正小标宋简体"/>
          <w:sz w:val="44"/>
          <w:szCs w:val="44"/>
          <w:highlight w:val="none"/>
        </w:rPr>
      </w:pPr>
    </w:p>
    <w:p w14:paraId="67ADBE40">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169" w:firstLineChars="38"/>
        <w:jc w:val="center"/>
        <w:textAlignment w:val="auto"/>
        <w:rPr>
          <w:rFonts w:hint="default" w:ascii="Times New Roman" w:hAnsi="Times New Roman" w:eastAsia="方正小标宋简体" w:cs="Times New Roman"/>
          <w:b w:val="0"/>
          <w:bCs w:val="0"/>
          <w:color w:val="auto"/>
          <w:sz w:val="44"/>
          <w:szCs w:val="44"/>
          <w:u w:val="none" w:color="auto"/>
          <w:lang w:eastAsia="zh-CN"/>
        </w:rPr>
      </w:pPr>
      <w:r>
        <w:rPr>
          <w:rFonts w:hint="eastAsia" w:ascii="方正小标宋简体" w:hAnsi="方正小标宋简体" w:eastAsia="方正小标宋简体" w:cs="方正小标宋简体"/>
          <w:b w:val="0"/>
          <w:bCs w:val="0"/>
          <w:color w:val="auto"/>
          <w:sz w:val="44"/>
          <w:szCs w:val="44"/>
          <w:u w:val="none" w:color="auto"/>
          <w:lang w:eastAsia="zh-CN"/>
        </w:rPr>
        <w:t>柳江区国家生态文明建设示范区规划</w:t>
      </w:r>
      <w:r>
        <w:rPr>
          <w:rFonts w:hint="default" w:ascii="Times New Roman" w:hAnsi="Times New Roman" w:eastAsia="方正小标宋简体" w:cs="Times New Roman"/>
          <w:b w:val="0"/>
          <w:bCs w:val="0"/>
          <w:color w:val="auto"/>
          <w:sz w:val="44"/>
          <w:szCs w:val="44"/>
          <w:u w:val="none" w:color="auto"/>
          <w:lang w:eastAsia="zh-CN"/>
        </w:rPr>
        <w:t>（</w:t>
      </w:r>
      <w:r>
        <w:rPr>
          <w:rFonts w:hint="default" w:ascii="Times New Roman" w:hAnsi="Times New Roman" w:eastAsia="方正小标宋简体" w:cs="Times New Roman"/>
          <w:b w:val="0"/>
          <w:bCs w:val="0"/>
          <w:color w:val="auto"/>
          <w:sz w:val="44"/>
          <w:szCs w:val="44"/>
          <w:u w:val="none" w:color="auto"/>
          <w:lang w:val="en-US" w:eastAsia="zh-CN"/>
        </w:rPr>
        <w:t>2023-2030年</w:t>
      </w:r>
      <w:r>
        <w:rPr>
          <w:rFonts w:hint="default" w:ascii="Times New Roman" w:hAnsi="Times New Roman" w:eastAsia="方正小标宋简体" w:cs="Times New Roman"/>
          <w:b w:val="0"/>
          <w:bCs w:val="0"/>
          <w:color w:val="auto"/>
          <w:sz w:val="44"/>
          <w:szCs w:val="44"/>
          <w:u w:val="none" w:color="auto"/>
          <w:lang w:eastAsia="zh-CN"/>
        </w:rPr>
        <w:t>）</w:t>
      </w:r>
    </w:p>
    <w:p w14:paraId="4522B03E">
      <w:pPr>
        <w:pStyle w:val="2"/>
        <w:keepNext w:val="0"/>
        <w:keepLines w:val="0"/>
        <w:pageBreakBefore w:val="0"/>
        <w:widowControl w:val="0"/>
        <w:kinsoku/>
        <w:wordWrap/>
        <w:overflowPunct/>
        <w:topLinePunct w:val="0"/>
        <w:autoSpaceDE/>
        <w:autoSpaceDN/>
        <w:bidi w:val="0"/>
        <w:adjustRightInd/>
        <w:snapToGrid/>
        <w:spacing w:line="700" w:lineRule="exact"/>
        <w:textAlignment w:val="auto"/>
        <w:rPr>
          <w:rFonts w:hint="default"/>
          <w:lang w:val="en-US"/>
        </w:rPr>
      </w:pPr>
      <w:r>
        <w:rPr>
          <w:rFonts w:hint="eastAsia" w:eastAsia="方正小标宋简体" w:cs="Times New Roman"/>
          <w:b w:val="0"/>
          <w:bCs w:val="0"/>
          <w:color w:val="auto"/>
          <w:sz w:val="44"/>
          <w:szCs w:val="44"/>
          <w:u w:val="none" w:color="auto"/>
          <w:lang w:val="en-US" w:eastAsia="zh-CN"/>
        </w:rPr>
        <w:t xml:space="preserve">         （征求意见稿）</w:t>
      </w:r>
    </w:p>
    <w:p w14:paraId="20B212FD">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rPr>
          <w:rFonts w:eastAsia="黑体" w:cs="Times New Roman"/>
          <w:sz w:val="44"/>
          <w:szCs w:val="44"/>
          <w:highlight w:val="none"/>
        </w:rPr>
      </w:pPr>
    </w:p>
    <w:p w14:paraId="7B080D42">
      <w:pPr>
        <w:pStyle w:val="2"/>
        <w:pageBreakBefore w:val="0"/>
        <w:kinsoku/>
        <w:wordWrap/>
        <w:overflowPunct/>
        <w:topLinePunct w:val="0"/>
        <w:autoSpaceDE/>
        <w:autoSpaceDN/>
        <w:bidi w:val="0"/>
        <w:ind w:left="0" w:leftChars="0" w:right="0" w:rightChars="0" w:firstLine="640"/>
        <w:rPr>
          <w:highlight w:val="none"/>
        </w:rPr>
      </w:pPr>
    </w:p>
    <w:p w14:paraId="2A9A3716">
      <w:pPr>
        <w:pageBreakBefore w:val="0"/>
        <w:kinsoku/>
        <w:wordWrap/>
        <w:overflowPunct/>
        <w:topLinePunct w:val="0"/>
        <w:autoSpaceDE/>
        <w:autoSpaceDN/>
        <w:bidi w:val="0"/>
        <w:ind w:left="0" w:leftChars="0" w:right="0" w:rightChars="0" w:firstLine="880"/>
        <w:rPr>
          <w:rFonts w:eastAsia="黑体" w:cs="Times New Roman"/>
          <w:sz w:val="44"/>
          <w:szCs w:val="44"/>
          <w:highlight w:val="none"/>
        </w:rPr>
      </w:pPr>
    </w:p>
    <w:p w14:paraId="0275E767">
      <w:pPr>
        <w:pStyle w:val="2"/>
        <w:rPr>
          <w:rFonts w:eastAsia="黑体" w:cs="Times New Roman"/>
          <w:sz w:val="44"/>
          <w:szCs w:val="44"/>
          <w:highlight w:val="none"/>
        </w:rPr>
      </w:pPr>
    </w:p>
    <w:p w14:paraId="0F9BC695">
      <w:pPr>
        <w:pStyle w:val="2"/>
        <w:rPr>
          <w:rFonts w:eastAsia="黑体" w:cs="Times New Roman"/>
          <w:sz w:val="44"/>
          <w:szCs w:val="44"/>
          <w:highlight w:val="none"/>
        </w:rPr>
      </w:pPr>
    </w:p>
    <w:p w14:paraId="214B7091">
      <w:pPr>
        <w:pageBreakBefore w:val="0"/>
        <w:kinsoku/>
        <w:wordWrap/>
        <w:overflowPunct/>
        <w:topLinePunct w:val="0"/>
        <w:autoSpaceDE/>
        <w:autoSpaceDN/>
        <w:bidi w:val="0"/>
        <w:ind w:left="0" w:leftChars="0" w:right="0" w:rightChars="0" w:firstLine="880"/>
        <w:rPr>
          <w:rFonts w:eastAsia="黑体" w:cs="Times New Roman"/>
          <w:sz w:val="44"/>
          <w:szCs w:val="44"/>
          <w:highlight w:val="none"/>
        </w:rPr>
      </w:pPr>
    </w:p>
    <w:p w14:paraId="71F9C007">
      <w:pPr>
        <w:pageBreakBefore w:val="0"/>
        <w:kinsoku/>
        <w:wordWrap/>
        <w:overflowPunct/>
        <w:topLinePunct w:val="0"/>
        <w:autoSpaceDE/>
        <w:autoSpaceDN/>
        <w:bidi w:val="0"/>
        <w:ind w:left="0" w:leftChars="0" w:right="0" w:rightChars="0" w:firstLine="880"/>
        <w:rPr>
          <w:rFonts w:eastAsia="黑体" w:cs="Times New Roman"/>
          <w:sz w:val="44"/>
          <w:szCs w:val="44"/>
          <w:highlight w:val="none"/>
        </w:rPr>
      </w:pPr>
    </w:p>
    <w:p w14:paraId="3D24B5AD">
      <w:pPr>
        <w:pageBreakBefore w:val="0"/>
        <w:kinsoku/>
        <w:wordWrap/>
        <w:overflowPunct/>
        <w:topLinePunct w:val="0"/>
        <w:autoSpaceDE/>
        <w:autoSpaceDN/>
        <w:bidi w:val="0"/>
        <w:ind w:left="0" w:leftChars="0" w:right="0" w:rightChars="0" w:firstLine="880"/>
        <w:rPr>
          <w:rFonts w:eastAsia="黑体" w:cs="Times New Roman"/>
          <w:sz w:val="44"/>
          <w:szCs w:val="44"/>
          <w:highlight w:val="none"/>
        </w:rPr>
      </w:pPr>
    </w:p>
    <w:p w14:paraId="613BF21B">
      <w:pPr>
        <w:pageBreakBefore w:val="0"/>
        <w:kinsoku/>
        <w:wordWrap/>
        <w:overflowPunct/>
        <w:topLinePunct w:val="0"/>
        <w:autoSpaceDE/>
        <w:autoSpaceDN/>
        <w:bidi w:val="0"/>
        <w:ind w:left="0" w:leftChars="0" w:right="0" w:rightChars="0" w:firstLine="880"/>
        <w:rPr>
          <w:rFonts w:eastAsia="黑体" w:cs="Times New Roman"/>
          <w:sz w:val="44"/>
          <w:szCs w:val="44"/>
          <w:highlight w:val="none"/>
        </w:rPr>
      </w:pPr>
    </w:p>
    <w:p w14:paraId="474B63F4">
      <w:pPr>
        <w:pageBreakBefore w:val="0"/>
        <w:kinsoku/>
        <w:wordWrap/>
        <w:overflowPunct/>
        <w:topLinePunct w:val="0"/>
        <w:autoSpaceDE/>
        <w:autoSpaceDN/>
        <w:bidi w:val="0"/>
        <w:ind w:left="0" w:leftChars="0" w:right="0" w:rightChars="0" w:firstLine="880"/>
        <w:rPr>
          <w:rFonts w:eastAsia="黑体" w:cs="Times New Roman"/>
          <w:sz w:val="44"/>
          <w:szCs w:val="44"/>
          <w:highlight w:val="none"/>
        </w:rPr>
      </w:pPr>
    </w:p>
    <w:p w14:paraId="057E4CE7">
      <w:pPr>
        <w:pageBreakBefore w:val="0"/>
        <w:kinsoku/>
        <w:wordWrap/>
        <w:overflowPunct/>
        <w:topLinePunct w:val="0"/>
        <w:autoSpaceDE/>
        <w:autoSpaceDN/>
        <w:bidi w:val="0"/>
        <w:ind w:left="0" w:leftChars="0" w:right="0" w:rightChars="0" w:firstLine="880"/>
        <w:rPr>
          <w:rFonts w:eastAsia="黑体" w:cs="Times New Roman"/>
          <w:sz w:val="44"/>
          <w:szCs w:val="44"/>
          <w:highlight w:val="none"/>
        </w:rPr>
      </w:pPr>
    </w:p>
    <w:p w14:paraId="2D6266AD">
      <w:pPr>
        <w:pStyle w:val="2"/>
      </w:pPr>
    </w:p>
    <w:p w14:paraId="4A76A1A2">
      <w:pPr>
        <w:spacing w:line="360" w:lineRule="auto"/>
        <w:ind w:firstLine="0" w:firstLineChars="0"/>
        <w:jc w:val="center"/>
        <w:rPr>
          <w:rFonts w:hint="eastAsia" w:ascii="Times New Roman" w:hAnsi="Times New Roman" w:eastAsia="仿宋_GB2312" w:cs="Times New Roman"/>
          <w:b w:val="0"/>
          <w:bCs w:val="0"/>
          <w:color w:val="auto"/>
          <w:sz w:val="32"/>
          <w:szCs w:val="32"/>
          <w:u w:val="none" w:color="auto"/>
          <w:lang w:eastAsia="zh-CN"/>
        </w:rPr>
      </w:pPr>
      <w:r>
        <w:rPr>
          <w:rFonts w:hint="eastAsia" w:ascii="Times New Roman" w:hAnsi="Times New Roman" w:eastAsia="仿宋_GB2312" w:cs="Times New Roman"/>
          <w:b w:val="0"/>
          <w:bCs w:val="0"/>
          <w:color w:val="auto"/>
          <w:sz w:val="32"/>
          <w:szCs w:val="32"/>
          <w:u w:val="none" w:color="auto"/>
          <w:lang w:eastAsia="zh-CN"/>
        </w:rPr>
        <w:t>柳州市柳江区人民政府</w:t>
      </w:r>
    </w:p>
    <w:p w14:paraId="0CFD4030">
      <w:pPr>
        <w:spacing w:line="360" w:lineRule="auto"/>
        <w:ind w:firstLine="0" w:firstLineChars="0"/>
        <w:jc w:val="center"/>
        <w:rPr>
          <w:rFonts w:hint="eastAsia" w:ascii="Times New Roman" w:hAnsi="Times New Roman" w:eastAsia="仿宋_GB2312" w:cs="Times New Roman"/>
          <w:b w:val="0"/>
          <w:bCs w:val="0"/>
          <w:color w:val="auto"/>
          <w:sz w:val="32"/>
          <w:szCs w:val="32"/>
          <w:u w:val="none" w:color="auto"/>
          <w:lang w:eastAsia="zh-CN"/>
        </w:rPr>
      </w:pPr>
      <w:r>
        <w:rPr>
          <w:rFonts w:hint="eastAsia" w:ascii="Times New Roman" w:hAnsi="Times New Roman" w:eastAsia="仿宋_GB2312" w:cs="Times New Roman"/>
          <w:b w:val="0"/>
          <w:bCs w:val="0"/>
          <w:color w:val="auto"/>
          <w:sz w:val="32"/>
          <w:szCs w:val="32"/>
          <w:u w:val="none" w:color="auto"/>
          <w:lang w:eastAsia="zh-CN"/>
        </w:rPr>
        <w:t>二〇二三年十一月</w:t>
      </w:r>
    </w:p>
    <w:p w14:paraId="66E20978">
      <w:pPr>
        <w:spacing w:line="360" w:lineRule="auto"/>
        <w:ind w:firstLine="0" w:firstLineChars="0"/>
        <w:jc w:val="center"/>
        <w:rPr>
          <w:rFonts w:hint="eastAsia" w:ascii="Times New Roman" w:hAnsi="Times New Roman" w:eastAsia="仿宋_GB2312" w:cs="Times New Roman"/>
          <w:b w:val="0"/>
          <w:bCs w:val="0"/>
          <w:color w:val="auto"/>
          <w:sz w:val="32"/>
          <w:szCs w:val="32"/>
          <w:u w:val="none" w:color="auto"/>
          <w:lang w:eastAsia="zh-CN"/>
        </w:rPr>
        <w:sectPr>
          <w:headerReference r:id="rId7" w:type="first"/>
          <w:footerReference r:id="rId10" w:type="first"/>
          <w:headerReference r:id="rId5" w:type="default"/>
          <w:footerReference r:id="rId8" w:type="default"/>
          <w:headerReference r:id="rId6" w:type="even"/>
          <w:footerReference r:id="rId9" w:type="even"/>
          <w:pgSz w:w="11905" w:h="16838"/>
          <w:pgMar w:top="2098" w:right="1474" w:bottom="1984" w:left="1587" w:header="1417" w:footer="1304" w:gutter="0"/>
          <w:pgNumType w:fmt="upperRoman" w:start="1"/>
          <w:cols w:space="0" w:num="1"/>
          <w:rtlGutter w:val="0"/>
          <w:docGrid w:type="linesAndChars" w:linePitch="439" w:charSpace="1433"/>
        </w:sectPr>
      </w:pPr>
    </w:p>
    <w:p w14:paraId="096B3019">
      <w:pPr>
        <w:pageBreakBefore w:val="0"/>
        <w:kinsoku/>
        <w:wordWrap/>
        <w:overflowPunct/>
        <w:topLinePunct w:val="0"/>
        <w:autoSpaceDE/>
        <w:autoSpaceDN/>
        <w:bidi w:val="0"/>
        <w:spacing w:after="240"/>
        <w:ind w:left="0" w:leftChars="0" w:right="0" w:rightChars="0" w:firstLine="0" w:firstLineChars="0"/>
        <w:rPr>
          <w:rFonts w:ascii="黑体" w:hAnsi="黑体" w:eastAsia="黑体"/>
          <w:b/>
          <w:sz w:val="36"/>
          <w:szCs w:val="36"/>
          <w:highlight w:val="yellow"/>
        </w:rPr>
      </w:pPr>
    </w:p>
    <w:p w14:paraId="3DB1E4A2">
      <w:pPr>
        <w:pStyle w:val="2"/>
        <w:pageBreakBefore w:val="0"/>
        <w:kinsoku/>
        <w:wordWrap/>
        <w:overflowPunct/>
        <w:topLinePunct w:val="0"/>
        <w:autoSpaceDE/>
        <w:autoSpaceDN/>
        <w:bidi w:val="0"/>
        <w:ind w:left="0" w:leftChars="0" w:right="0" w:rightChars="0" w:firstLine="723"/>
        <w:rPr>
          <w:rFonts w:ascii="黑体" w:hAnsi="黑体" w:eastAsia="黑体"/>
          <w:b/>
          <w:sz w:val="36"/>
          <w:szCs w:val="36"/>
          <w:highlight w:val="yellow"/>
        </w:rPr>
      </w:pPr>
    </w:p>
    <w:p w14:paraId="04B0FD85">
      <w:pPr>
        <w:pStyle w:val="2"/>
        <w:pageBreakBefore w:val="0"/>
        <w:kinsoku/>
        <w:wordWrap/>
        <w:overflowPunct/>
        <w:topLinePunct w:val="0"/>
        <w:autoSpaceDE/>
        <w:autoSpaceDN/>
        <w:bidi w:val="0"/>
        <w:ind w:left="0" w:leftChars="0" w:right="0" w:rightChars="0" w:firstLine="723"/>
        <w:rPr>
          <w:rFonts w:ascii="黑体" w:hAnsi="黑体" w:eastAsia="黑体"/>
          <w:b/>
          <w:sz w:val="36"/>
          <w:szCs w:val="36"/>
          <w:highlight w:val="yellow"/>
        </w:rPr>
      </w:pPr>
    </w:p>
    <w:p w14:paraId="716F6001">
      <w:pPr>
        <w:pStyle w:val="2"/>
        <w:pageBreakBefore w:val="0"/>
        <w:kinsoku/>
        <w:wordWrap/>
        <w:overflowPunct/>
        <w:topLinePunct w:val="0"/>
        <w:autoSpaceDE/>
        <w:autoSpaceDN/>
        <w:bidi w:val="0"/>
        <w:ind w:left="0" w:leftChars="0" w:right="0" w:rightChars="0" w:firstLine="723"/>
        <w:rPr>
          <w:rFonts w:ascii="黑体" w:hAnsi="黑体" w:eastAsia="黑体"/>
          <w:b/>
          <w:sz w:val="36"/>
          <w:szCs w:val="36"/>
          <w:highlight w:val="yellow"/>
        </w:rPr>
      </w:pPr>
    </w:p>
    <w:p w14:paraId="6431EB0A">
      <w:pPr>
        <w:pStyle w:val="2"/>
        <w:pageBreakBefore w:val="0"/>
        <w:kinsoku/>
        <w:wordWrap/>
        <w:overflowPunct/>
        <w:topLinePunct w:val="0"/>
        <w:autoSpaceDE/>
        <w:autoSpaceDN/>
        <w:bidi w:val="0"/>
        <w:ind w:left="0" w:leftChars="0" w:right="0" w:rightChars="0" w:firstLine="723"/>
        <w:rPr>
          <w:rFonts w:ascii="黑体" w:hAnsi="黑体" w:eastAsia="黑体"/>
          <w:b/>
          <w:sz w:val="36"/>
          <w:szCs w:val="36"/>
          <w:highlight w:val="yellow"/>
        </w:rPr>
        <w:sectPr>
          <w:footerReference r:id="rId11" w:type="default"/>
          <w:pgSz w:w="11905" w:h="16838"/>
          <w:pgMar w:top="2098" w:right="1474" w:bottom="1984" w:left="1587" w:header="1417" w:footer="1304" w:gutter="0"/>
          <w:pgNumType w:fmt="upperRoman"/>
          <w:cols w:space="0" w:num="1"/>
          <w:rtlGutter w:val="0"/>
          <w:docGrid w:type="linesAndChars" w:linePitch="439" w:charSpace="1433"/>
        </w:sectPr>
      </w:pPr>
    </w:p>
    <w:p w14:paraId="72E89542">
      <w:pPr>
        <w:keepNext w:val="0"/>
        <w:keepLines w:val="0"/>
        <w:pageBreakBefore w:val="0"/>
        <w:tabs>
          <w:tab w:val="left" w:pos="1890"/>
        </w:tabs>
        <w:kinsoku/>
        <w:wordWrap/>
        <w:overflowPunct/>
        <w:topLinePunct w:val="0"/>
        <w:bidi w:val="0"/>
        <w:snapToGrid/>
        <w:spacing w:line="540" w:lineRule="exact"/>
        <w:ind w:left="0" w:leftChars="0" w:firstLine="0" w:firstLineChars="0"/>
        <w:jc w:val="center"/>
        <w:textAlignment w:val="auto"/>
        <w:rPr>
          <w:rFonts w:hint="eastAsia" w:ascii="方正小标宋简体" w:hAnsi="方正小标宋简体" w:eastAsia="方正小标宋简体" w:cs="方正小标宋简体"/>
          <w:b w:val="0"/>
          <w:bCs/>
          <w:snapToGrid w:val="0"/>
          <w:color w:val="auto"/>
          <w:sz w:val="44"/>
          <w:szCs w:val="44"/>
          <w:u w:val="none" w:color="auto"/>
        </w:rPr>
      </w:pPr>
      <w:r>
        <w:rPr>
          <w:rFonts w:hint="eastAsia" w:ascii="方正小标宋简体" w:hAnsi="方正小标宋简体" w:eastAsia="方正小标宋简体" w:cs="方正小标宋简体"/>
          <w:b w:val="0"/>
          <w:bCs/>
          <w:snapToGrid w:val="0"/>
          <w:color w:val="auto"/>
          <w:sz w:val="44"/>
          <w:szCs w:val="44"/>
          <w:u w:val="none" w:color="auto"/>
        </w:rPr>
        <w:t>编制单位及人员</w:t>
      </w:r>
    </w:p>
    <w:p w14:paraId="3A2ED7C0">
      <w:pPr>
        <w:keepNext w:val="0"/>
        <w:keepLines w:val="0"/>
        <w:pageBreakBefore w:val="0"/>
        <w:kinsoku/>
        <w:wordWrap/>
        <w:overflowPunct/>
        <w:topLinePunct w:val="0"/>
        <w:autoSpaceDE w:val="0"/>
        <w:autoSpaceDN w:val="0"/>
        <w:bidi w:val="0"/>
        <w:adjustRightInd w:val="0"/>
        <w:snapToGrid/>
        <w:spacing w:line="540" w:lineRule="exact"/>
        <w:ind w:firstLine="0" w:firstLineChars="0"/>
        <w:textAlignment w:val="auto"/>
        <w:rPr>
          <w:rFonts w:hint="default" w:ascii="Times New Roman" w:hAnsi="Times New Roman" w:eastAsia="仿宋_GB2312" w:cs="Times New Roman"/>
          <w:color w:val="auto"/>
          <w:sz w:val="28"/>
          <w:u w:val="none" w:color="auto"/>
        </w:rPr>
      </w:pPr>
    </w:p>
    <w:p w14:paraId="450A3FA3">
      <w:pPr>
        <w:keepNext w:val="0"/>
        <w:keepLines w:val="0"/>
        <w:pageBreakBefore w:val="0"/>
        <w:kinsoku/>
        <w:wordWrap/>
        <w:overflowPunct/>
        <w:topLinePunct w:val="0"/>
        <w:bidi w:val="0"/>
        <w:snapToGrid/>
        <w:spacing w:line="540" w:lineRule="exact"/>
        <w:ind w:firstLine="0" w:firstLineChars="0"/>
        <w:textAlignment w:val="auto"/>
        <w:rPr>
          <w:rFonts w:hint="default" w:ascii="Times New Roman" w:hAnsi="Times New Roman" w:eastAsia="仿宋_GB2312" w:cs="Times New Roman"/>
          <w:b/>
          <w:snapToGrid w:val="0"/>
          <w:color w:val="auto"/>
          <w:spacing w:val="-11"/>
          <w:sz w:val="32"/>
          <w:szCs w:val="32"/>
          <w:u w:val="none" w:color="auto"/>
        </w:rPr>
      </w:pPr>
      <w:r>
        <w:rPr>
          <w:rFonts w:hint="default" w:ascii="Times New Roman" w:hAnsi="Times New Roman" w:eastAsia="仿宋_GB2312" w:cs="Times New Roman"/>
          <w:b/>
          <w:snapToGrid w:val="0"/>
          <w:color w:val="auto"/>
          <w:sz w:val="32"/>
          <w:szCs w:val="32"/>
          <w:u w:val="none" w:color="auto"/>
        </w:rPr>
        <w:t>报告名称</w:t>
      </w:r>
      <w:r>
        <w:rPr>
          <w:rFonts w:hint="default" w:ascii="Times New Roman" w:hAnsi="Times New Roman" w:eastAsia="仿宋_GB2312" w:cs="Times New Roman"/>
          <w:snapToGrid w:val="0"/>
          <w:color w:val="auto"/>
          <w:sz w:val="32"/>
          <w:szCs w:val="32"/>
          <w:u w:val="none" w:color="auto"/>
        </w:rPr>
        <w:t>：</w:t>
      </w:r>
      <w:r>
        <w:rPr>
          <w:rFonts w:hint="eastAsia" w:ascii="仿宋_GB2312" w:hAnsi="仿宋_GB2312" w:eastAsia="仿宋_GB2312" w:cs="仿宋_GB2312"/>
          <w:snapToGrid w:val="0"/>
          <w:color w:val="auto"/>
          <w:spacing w:val="-11"/>
          <w:sz w:val="32"/>
          <w:szCs w:val="32"/>
          <w:u w:val="none" w:color="auto"/>
          <w:lang w:eastAsia="zh-CN"/>
        </w:rPr>
        <w:t>柳江区</w:t>
      </w:r>
      <w:r>
        <w:rPr>
          <w:rFonts w:hint="eastAsia" w:ascii="仿宋_GB2312" w:hAnsi="仿宋_GB2312" w:eastAsia="仿宋_GB2312" w:cs="仿宋_GB2312"/>
          <w:snapToGrid w:val="0"/>
          <w:color w:val="auto"/>
          <w:spacing w:val="-11"/>
          <w:sz w:val="32"/>
          <w:szCs w:val="32"/>
          <w:u w:val="none" w:color="auto"/>
        </w:rPr>
        <w:t>国家生态文明建</w:t>
      </w:r>
      <w:r>
        <w:rPr>
          <w:rFonts w:hint="default" w:ascii="Times New Roman" w:hAnsi="Times New Roman" w:eastAsia="仿宋_GB2312" w:cs="Times New Roman"/>
          <w:snapToGrid w:val="0"/>
          <w:color w:val="auto"/>
          <w:spacing w:val="-11"/>
          <w:sz w:val="32"/>
          <w:szCs w:val="32"/>
          <w:u w:val="none" w:color="auto"/>
        </w:rPr>
        <w:t>设示范</w:t>
      </w:r>
      <w:r>
        <w:rPr>
          <w:rFonts w:hint="default" w:ascii="Times New Roman" w:hAnsi="Times New Roman" w:eastAsia="仿宋_GB2312" w:cs="Times New Roman"/>
          <w:snapToGrid w:val="0"/>
          <w:color w:val="auto"/>
          <w:spacing w:val="-11"/>
          <w:sz w:val="32"/>
          <w:szCs w:val="32"/>
          <w:u w:val="none" w:color="auto"/>
          <w:lang w:eastAsia="zh-CN"/>
        </w:rPr>
        <w:t>区</w:t>
      </w:r>
      <w:r>
        <w:rPr>
          <w:rFonts w:hint="default" w:ascii="Times New Roman" w:hAnsi="Times New Roman" w:eastAsia="仿宋_GB2312" w:cs="Times New Roman"/>
          <w:snapToGrid w:val="0"/>
          <w:color w:val="auto"/>
          <w:spacing w:val="-11"/>
          <w:sz w:val="32"/>
          <w:szCs w:val="32"/>
          <w:u w:val="none" w:color="auto"/>
        </w:rPr>
        <w:t>规划（20</w:t>
      </w:r>
      <w:r>
        <w:rPr>
          <w:rFonts w:hint="default" w:ascii="Times New Roman" w:hAnsi="Times New Roman" w:eastAsia="仿宋_GB2312" w:cs="Times New Roman"/>
          <w:snapToGrid w:val="0"/>
          <w:color w:val="auto"/>
          <w:spacing w:val="-11"/>
          <w:sz w:val="32"/>
          <w:szCs w:val="32"/>
          <w:u w:val="none" w:color="auto"/>
          <w:lang w:val="en-US" w:eastAsia="zh-CN"/>
        </w:rPr>
        <w:t>23</w:t>
      </w:r>
      <w:r>
        <w:rPr>
          <w:rFonts w:hint="default" w:ascii="Times New Roman" w:hAnsi="Times New Roman" w:eastAsia="仿宋_GB2312" w:cs="Times New Roman"/>
          <w:snapToGrid w:val="0"/>
          <w:color w:val="auto"/>
          <w:spacing w:val="-11"/>
          <w:sz w:val="32"/>
          <w:szCs w:val="32"/>
          <w:u w:val="none" w:color="auto"/>
        </w:rPr>
        <w:t>-2030年）</w:t>
      </w:r>
    </w:p>
    <w:p w14:paraId="2554F1D6">
      <w:pPr>
        <w:keepNext w:val="0"/>
        <w:keepLines w:val="0"/>
        <w:pageBreakBefore w:val="0"/>
        <w:kinsoku/>
        <w:wordWrap/>
        <w:overflowPunct/>
        <w:topLinePunct w:val="0"/>
        <w:bidi w:val="0"/>
        <w:snapToGrid/>
        <w:spacing w:line="540" w:lineRule="exact"/>
        <w:ind w:firstLine="0" w:firstLineChars="0"/>
        <w:textAlignment w:val="auto"/>
        <w:rPr>
          <w:rFonts w:hint="default" w:ascii="Times New Roman" w:hAnsi="Times New Roman" w:eastAsia="仿宋_GB2312" w:cs="Times New Roman"/>
          <w:b/>
          <w:snapToGrid w:val="0"/>
          <w:color w:val="auto"/>
          <w:sz w:val="32"/>
          <w:szCs w:val="32"/>
          <w:u w:val="none" w:color="auto"/>
        </w:rPr>
      </w:pPr>
    </w:p>
    <w:p w14:paraId="229271E6">
      <w:pPr>
        <w:keepNext w:val="0"/>
        <w:keepLines w:val="0"/>
        <w:pageBreakBefore w:val="0"/>
        <w:kinsoku/>
        <w:wordWrap/>
        <w:overflowPunct/>
        <w:topLinePunct w:val="0"/>
        <w:bidi w:val="0"/>
        <w:snapToGrid/>
        <w:spacing w:line="540" w:lineRule="exact"/>
        <w:ind w:firstLine="0" w:firstLineChars="0"/>
        <w:textAlignment w:val="auto"/>
        <w:rPr>
          <w:rFonts w:hint="default" w:ascii="Times New Roman" w:hAnsi="Times New Roman" w:eastAsia="仿宋_GB2312" w:cs="Times New Roman"/>
          <w:snapToGrid w:val="0"/>
          <w:color w:val="auto"/>
          <w:sz w:val="32"/>
          <w:szCs w:val="32"/>
          <w:u w:val="none" w:color="auto"/>
          <w:lang w:eastAsia="zh-CN"/>
        </w:rPr>
      </w:pPr>
      <w:r>
        <w:rPr>
          <w:rFonts w:hint="default" w:ascii="Times New Roman" w:hAnsi="Times New Roman" w:eastAsia="仿宋_GB2312" w:cs="Times New Roman"/>
          <w:b/>
          <w:snapToGrid w:val="0"/>
          <w:color w:val="auto"/>
          <w:sz w:val="32"/>
          <w:szCs w:val="32"/>
          <w:u w:val="none" w:color="auto"/>
        </w:rPr>
        <w:t>组织单位：</w:t>
      </w:r>
      <w:r>
        <w:rPr>
          <w:rFonts w:hint="default" w:ascii="Times New Roman" w:hAnsi="Times New Roman" w:eastAsia="仿宋_GB2312" w:cs="Times New Roman"/>
          <w:snapToGrid w:val="0"/>
          <w:color w:val="auto"/>
          <w:sz w:val="32"/>
          <w:szCs w:val="32"/>
          <w:u w:val="none" w:color="auto"/>
          <w:lang w:eastAsia="zh-CN"/>
        </w:rPr>
        <w:t>柳州市柳江区人民政府</w:t>
      </w:r>
    </w:p>
    <w:p w14:paraId="53457FF0">
      <w:pPr>
        <w:keepNext w:val="0"/>
        <w:keepLines w:val="0"/>
        <w:pageBreakBefore w:val="0"/>
        <w:kinsoku/>
        <w:wordWrap/>
        <w:overflowPunct/>
        <w:topLinePunct w:val="0"/>
        <w:bidi w:val="0"/>
        <w:snapToGrid/>
        <w:spacing w:line="540" w:lineRule="exact"/>
        <w:ind w:firstLine="0" w:firstLineChars="0"/>
        <w:textAlignment w:val="auto"/>
        <w:rPr>
          <w:rFonts w:hint="default" w:ascii="Times New Roman" w:hAnsi="Times New Roman" w:eastAsia="仿宋_GB2312" w:cs="Times New Roman"/>
          <w:b/>
          <w:snapToGrid w:val="0"/>
          <w:color w:val="auto"/>
          <w:sz w:val="32"/>
          <w:szCs w:val="32"/>
          <w:u w:val="none" w:color="auto"/>
        </w:rPr>
      </w:pPr>
    </w:p>
    <w:p w14:paraId="5492FFFA">
      <w:pPr>
        <w:keepNext w:val="0"/>
        <w:keepLines w:val="0"/>
        <w:pageBreakBefore w:val="0"/>
        <w:kinsoku/>
        <w:wordWrap/>
        <w:overflowPunct/>
        <w:topLinePunct w:val="0"/>
        <w:bidi w:val="0"/>
        <w:snapToGrid/>
        <w:spacing w:line="540" w:lineRule="exact"/>
        <w:ind w:firstLine="0" w:firstLineChars="0"/>
        <w:textAlignment w:val="auto"/>
        <w:rPr>
          <w:rFonts w:hint="default" w:ascii="Times New Roman" w:hAnsi="Times New Roman" w:eastAsia="仿宋_GB2312" w:cs="Times New Roman"/>
          <w:snapToGrid w:val="0"/>
          <w:color w:val="auto"/>
          <w:sz w:val="32"/>
          <w:szCs w:val="32"/>
          <w:u w:val="none" w:color="auto"/>
          <w:lang w:eastAsia="zh-CN"/>
        </w:rPr>
      </w:pPr>
      <w:r>
        <w:rPr>
          <w:rFonts w:hint="default" w:ascii="Times New Roman" w:hAnsi="Times New Roman" w:eastAsia="仿宋_GB2312" w:cs="Times New Roman"/>
          <w:b/>
          <w:snapToGrid w:val="0"/>
          <w:color w:val="auto"/>
          <w:sz w:val="32"/>
          <w:szCs w:val="32"/>
          <w:u w:val="none" w:color="auto"/>
        </w:rPr>
        <w:t>编制单位：</w:t>
      </w:r>
      <w:r>
        <w:rPr>
          <w:rFonts w:hint="default" w:ascii="Times New Roman" w:hAnsi="Times New Roman" w:eastAsia="仿宋_GB2312" w:cs="Times New Roman"/>
          <w:snapToGrid w:val="0"/>
          <w:color w:val="auto"/>
          <w:sz w:val="32"/>
          <w:szCs w:val="32"/>
          <w:u w:val="none" w:color="auto"/>
          <w:lang w:eastAsia="zh-CN"/>
        </w:rPr>
        <w:t>广西柳环环保技术有限公司</w:t>
      </w:r>
    </w:p>
    <w:p w14:paraId="48092B02">
      <w:pPr>
        <w:keepNext w:val="0"/>
        <w:keepLines w:val="0"/>
        <w:pageBreakBefore w:val="0"/>
        <w:widowControl/>
        <w:kinsoku/>
        <w:wordWrap/>
        <w:overflowPunct/>
        <w:topLinePunct w:val="0"/>
        <w:bidi w:val="0"/>
        <w:snapToGrid/>
        <w:spacing w:line="540" w:lineRule="exact"/>
        <w:jc w:val="both"/>
        <w:textAlignment w:val="auto"/>
        <w:rPr>
          <w:rFonts w:hint="default" w:ascii="Times New Roman" w:hAnsi="Times New Roman" w:eastAsia="仿宋_GB2312" w:cs="Times New Roman"/>
          <w:b/>
          <w:color w:val="auto"/>
          <w:kern w:val="0"/>
          <w:sz w:val="30"/>
          <w:szCs w:val="30"/>
          <w:u w:val="none" w:color="auto"/>
          <w:lang w:val="en-US" w:eastAsia="zh-CN" w:bidi="ar-SA"/>
        </w:rPr>
      </w:pPr>
    </w:p>
    <w:p w14:paraId="4A1D73EF">
      <w:pPr>
        <w:keepNext w:val="0"/>
        <w:keepLines w:val="0"/>
        <w:pageBreakBefore w:val="0"/>
        <w:widowControl/>
        <w:kinsoku/>
        <w:wordWrap/>
        <w:overflowPunct/>
        <w:topLinePunct w:val="0"/>
        <w:bidi w:val="0"/>
        <w:snapToGrid/>
        <w:spacing w:line="540" w:lineRule="exact"/>
        <w:ind w:left="0" w:leftChars="0" w:firstLine="0" w:firstLineChars="0"/>
        <w:jc w:val="left"/>
        <w:textAlignment w:val="auto"/>
        <w:rPr>
          <w:rFonts w:hint="default" w:ascii="Times New Roman" w:hAnsi="Times New Roman" w:eastAsia="仿宋_GB2312" w:cs="Times New Roman"/>
          <w:snapToGrid w:val="0"/>
          <w:color w:val="auto"/>
          <w:kern w:val="2"/>
          <w:sz w:val="28"/>
          <w:szCs w:val="28"/>
          <w:u w:val="none" w:color="auto"/>
          <w:lang w:val="en-US" w:eastAsia="zh-CN" w:bidi="ar-SA"/>
        </w:rPr>
      </w:pPr>
      <w:r>
        <w:rPr>
          <w:rFonts w:hint="default" w:ascii="Times New Roman" w:hAnsi="Times New Roman" w:eastAsia="仿宋_GB2312" w:cs="Times New Roman"/>
          <w:b/>
          <w:color w:val="auto"/>
          <w:kern w:val="0"/>
          <w:sz w:val="32"/>
          <w:szCs w:val="32"/>
          <w:u w:val="none" w:color="auto"/>
          <w:lang w:val="en-US" w:eastAsia="zh-CN" w:bidi="ar-SA"/>
        </w:rPr>
        <w:t>协作单位</w:t>
      </w:r>
      <w:r>
        <w:rPr>
          <w:rFonts w:hint="eastAsia" w:eastAsia="仿宋_GB2312" w:cs="Times New Roman"/>
          <w:b/>
          <w:color w:val="auto"/>
          <w:kern w:val="0"/>
          <w:sz w:val="32"/>
          <w:szCs w:val="32"/>
          <w:u w:val="none" w:color="auto"/>
          <w:lang w:val="en-US" w:eastAsia="zh-CN" w:bidi="ar-SA"/>
        </w:rPr>
        <w:t>：</w:t>
      </w:r>
    </w:p>
    <w:p w14:paraId="444E1BBF">
      <w:pPr>
        <w:keepNext w:val="0"/>
        <w:keepLines w:val="0"/>
        <w:pageBreakBefore w:val="0"/>
        <w:widowControl/>
        <w:kinsoku/>
        <w:wordWrap/>
        <w:overflowPunct/>
        <w:topLinePunct w:val="0"/>
        <w:autoSpaceDE/>
        <w:autoSpaceDN/>
        <w:bidi w:val="0"/>
        <w:adjustRightInd/>
        <w:snapToGrid/>
        <w:spacing w:line="560" w:lineRule="exact"/>
        <w:ind w:left="0" w:leftChars="0" w:firstLine="0" w:firstLineChars="0"/>
        <w:jc w:val="left"/>
        <w:textAlignment w:val="auto"/>
        <w:rPr>
          <w:rFonts w:hint="eastAsia" w:eastAsia="仿宋_GB2312" w:cs="Times New Roman"/>
          <w:snapToGrid w:val="0"/>
          <w:color w:val="auto"/>
          <w:kern w:val="2"/>
          <w:sz w:val="28"/>
          <w:szCs w:val="28"/>
          <w:u w:val="none" w:color="auto"/>
          <w:lang w:val="en-US" w:eastAsia="zh-CN" w:bidi="ar-SA"/>
        </w:rPr>
      </w:pPr>
      <w:r>
        <w:rPr>
          <w:rFonts w:hint="default" w:ascii="Times New Roman" w:hAnsi="Times New Roman" w:eastAsia="仿宋_GB2312" w:cs="Times New Roman"/>
          <w:snapToGrid w:val="0"/>
          <w:color w:val="auto"/>
          <w:kern w:val="2"/>
          <w:sz w:val="28"/>
          <w:szCs w:val="28"/>
          <w:u w:val="none" w:color="auto"/>
          <w:lang w:val="en-US" w:eastAsia="zh-CN" w:bidi="ar-SA"/>
        </w:rPr>
        <w:t xml:space="preserve"> </w:t>
      </w:r>
      <w:r>
        <w:rPr>
          <w:rFonts w:hint="eastAsia" w:eastAsia="仿宋_GB2312" w:cs="Times New Roman"/>
          <w:snapToGrid w:val="0"/>
          <w:color w:val="auto"/>
          <w:kern w:val="2"/>
          <w:sz w:val="28"/>
          <w:szCs w:val="28"/>
          <w:u w:val="none" w:color="auto"/>
          <w:lang w:val="en-US" w:eastAsia="zh-CN" w:bidi="ar-SA"/>
        </w:rPr>
        <w:t xml:space="preserve">         中共柳州市柳江区纪律检查委员会</w:t>
      </w:r>
    </w:p>
    <w:p w14:paraId="2859DDAB">
      <w:pPr>
        <w:pStyle w:val="2"/>
        <w:keepNext w:val="0"/>
        <w:keepLines w:val="0"/>
        <w:pageBreakBefore w:val="0"/>
        <w:kinsoku/>
        <w:wordWrap/>
        <w:overflowPunct/>
        <w:topLinePunct w:val="0"/>
        <w:autoSpaceDE/>
        <w:autoSpaceDN/>
        <w:bidi w:val="0"/>
        <w:adjustRightInd/>
        <w:snapToGrid/>
        <w:spacing w:after="0" w:line="560" w:lineRule="exact"/>
        <w:textAlignment w:val="auto"/>
        <w:rPr>
          <w:rFonts w:hint="eastAsia" w:eastAsia="仿宋_GB2312" w:cs="Times New Roman"/>
          <w:snapToGrid w:val="0"/>
          <w:color w:val="auto"/>
          <w:kern w:val="2"/>
          <w:sz w:val="28"/>
          <w:szCs w:val="28"/>
          <w:u w:val="none" w:color="auto"/>
          <w:lang w:val="en-US" w:eastAsia="zh-CN" w:bidi="ar-SA"/>
        </w:rPr>
      </w:pPr>
      <w:r>
        <w:rPr>
          <w:rFonts w:hint="eastAsia" w:eastAsia="仿宋_GB2312" w:cs="Times New Roman"/>
          <w:snapToGrid w:val="0"/>
          <w:color w:val="auto"/>
          <w:kern w:val="2"/>
          <w:sz w:val="28"/>
          <w:szCs w:val="28"/>
          <w:u w:val="none" w:color="auto"/>
          <w:lang w:val="en-US" w:eastAsia="zh-CN" w:bidi="ar-SA"/>
        </w:rPr>
        <w:t xml:space="preserve">      中共柳州市柳江区委组织部   中共柳州市柳江区委宣传部</w:t>
      </w:r>
    </w:p>
    <w:p w14:paraId="255D303F">
      <w:pPr>
        <w:pStyle w:val="4"/>
        <w:keepNext w:val="0"/>
        <w:keepLines w:val="0"/>
        <w:pageBreakBefore w:val="0"/>
        <w:kinsoku/>
        <w:wordWrap/>
        <w:overflowPunct/>
        <w:topLinePunct w:val="0"/>
        <w:autoSpaceDE/>
        <w:autoSpaceDN/>
        <w:bidi w:val="0"/>
        <w:adjustRightInd/>
        <w:snapToGrid/>
        <w:spacing w:line="560" w:lineRule="exact"/>
        <w:textAlignment w:val="auto"/>
        <w:rPr>
          <w:rFonts w:hint="eastAsia" w:eastAsia="仿宋_GB2312" w:cs="Times New Roman"/>
          <w:snapToGrid w:val="0"/>
          <w:color w:val="auto"/>
          <w:kern w:val="2"/>
          <w:sz w:val="28"/>
          <w:szCs w:val="28"/>
          <w:u w:val="none" w:color="auto"/>
          <w:lang w:val="en-US" w:eastAsia="zh-CN" w:bidi="ar-SA"/>
        </w:rPr>
      </w:pPr>
      <w:r>
        <w:rPr>
          <w:rFonts w:hint="eastAsia" w:eastAsia="仿宋_GB2312" w:cs="Times New Roman"/>
          <w:snapToGrid w:val="0"/>
          <w:color w:val="auto"/>
          <w:kern w:val="2"/>
          <w:sz w:val="28"/>
          <w:szCs w:val="28"/>
          <w:u w:val="none" w:color="auto"/>
          <w:lang w:val="en-US" w:eastAsia="zh-CN" w:bidi="ar-SA"/>
        </w:rPr>
        <w:t xml:space="preserve">      中共柳州市柳江区委党校     柳州市柳江区检察院</w:t>
      </w:r>
    </w:p>
    <w:p w14:paraId="39BAAE77">
      <w:pPr>
        <w:pStyle w:val="6"/>
        <w:keepNext w:val="0"/>
        <w:keepLines w:val="0"/>
        <w:pageBreakBefore w:val="0"/>
        <w:widowControl w:val="0"/>
        <w:kinsoku/>
        <w:wordWrap/>
        <w:overflowPunct/>
        <w:topLinePunct w:val="0"/>
        <w:autoSpaceDE/>
        <w:autoSpaceDN/>
        <w:bidi w:val="0"/>
        <w:adjustRightInd/>
        <w:snapToGrid/>
        <w:spacing w:line="560" w:lineRule="exact"/>
        <w:ind w:left="572" w:leftChars="0" w:hanging="572" w:hangingChars="200"/>
        <w:textAlignment w:val="auto"/>
        <w:rPr>
          <w:rFonts w:hint="eastAsia" w:eastAsia="仿宋_GB2312" w:cs="Times New Roman"/>
          <w:snapToGrid w:val="0"/>
          <w:color w:val="auto"/>
          <w:kern w:val="2"/>
          <w:sz w:val="28"/>
          <w:szCs w:val="28"/>
          <w:u w:val="none" w:color="auto"/>
          <w:lang w:val="en-US" w:eastAsia="zh-CN" w:bidi="ar-SA"/>
        </w:rPr>
      </w:pPr>
      <w:r>
        <w:rPr>
          <w:rFonts w:hint="eastAsia" w:eastAsia="仿宋_GB2312" w:cs="Times New Roman"/>
          <w:snapToGrid w:val="0"/>
          <w:color w:val="auto"/>
          <w:kern w:val="2"/>
          <w:sz w:val="28"/>
          <w:szCs w:val="28"/>
          <w:u w:val="none" w:color="auto"/>
          <w:lang w:val="en-US" w:eastAsia="zh-CN" w:bidi="ar-SA"/>
        </w:rPr>
        <w:t xml:space="preserve">          柳州市柳江区人民法院       柳州市柳江区发展和改革局 </w:t>
      </w:r>
    </w:p>
    <w:p w14:paraId="5FBA2D80">
      <w:pPr>
        <w:keepNext w:val="0"/>
        <w:keepLines w:val="0"/>
        <w:pageBreakBefore w:val="0"/>
        <w:kinsoku/>
        <w:wordWrap/>
        <w:overflowPunct/>
        <w:topLinePunct w:val="0"/>
        <w:autoSpaceDE/>
        <w:autoSpaceDN/>
        <w:bidi w:val="0"/>
        <w:adjustRightInd/>
        <w:snapToGrid/>
        <w:spacing w:line="560" w:lineRule="exact"/>
        <w:ind w:left="1425" w:leftChars="174" w:hanging="858" w:hangingChars="300"/>
        <w:textAlignment w:val="auto"/>
        <w:rPr>
          <w:rFonts w:hint="eastAsia" w:eastAsia="仿宋_GB2312" w:cs="Times New Roman"/>
          <w:snapToGrid w:val="0"/>
          <w:color w:val="auto"/>
          <w:kern w:val="2"/>
          <w:sz w:val="28"/>
          <w:szCs w:val="28"/>
          <w:u w:val="none" w:color="auto"/>
          <w:lang w:val="en-US" w:eastAsia="zh-CN" w:bidi="ar-SA"/>
        </w:rPr>
      </w:pPr>
      <w:r>
        <w:rPr>
          <w:rFonts w:hint="eastAsia" w:eastAsia="仿宋_GB2312" w:cs="Times New Roman"/>
          <w:snapToGrid w:val="0"/>
          <w:color w:val="auto"/>
          <w:kern w:val="2"/>
          <w:sz w:val="28"/>
          <w:szCs w:val="28"/>
          <w:u w:val="none" w:color="auto"/>
          <w:lang w:val="en-US" w:eastAsia="zh-CN" w:bidi="ar-SA"/>
        </w:rPr>
        <w:t xml:space="preserve">      柳州市柳江区财政局         柳州市柳江区工业化和信息局           柳州市柳江区自然资源局     柳州市柳江区商务局         </w:t>
      </w:r>
    </w:p>
    <w:p w14:paraId="104A8337">
      <w:pPr>
        <w:keepNext w:val="0"/>
        <w:keepLines w:val="0"/>
        <w:pageBreakBefore w:val="0"/>
        <w:kinsoku/>
        <w:wordWrap/>
        <w:overflowPunct/>
        <w:topLinePunct w:val="0"/>
        <w:autoSpaceDE/>
        <w:autoSpaceDN/>
        <w:bidi w:val="0"/>
        <w:adjustRightInd/>
        <w:snapToGrid/>
        <w:spacing w:line="560" w:lineRule="exact"/>
        <w:ind w:left="1418" w:leftChars="435" w:firstLine="0" w:firstLineChars="0"/>
        <w:textAlignment w:val="auto"/>
        <w:rPr>
          <w:rFonts w:hint="eastAsia" w:eastAsia="仿宋_GB2312" w:cs="Times New Roman"/>
          <w:snapToGrid w:val="0"/>
          <w:color w:val="auto"/>
          <w:kern w:val="2"/>
          <w:sz w:val="28"/>
          <w:szCs w:val="28"/>
          <w:u w:val="none" w:color="auto"/>
          <w:lang w:val="en-US" w:eastAsia="zh-CN" w:bidi="ar-SA"/>
        </w:rPr>
      </w:pPr>
      <w:r>
        <w:rPr>
          <w:rFonts w:hint="eastAsia" w:eastAsia="仿宋_GB2312" w:cs="Times New Roman"/>
          <w:snapToGrid w:val="0"/>
          <w:color w:val="auto"/>
          <w:kern w:val="2"/>
          <w:sz w:val="28"/>
          <w:szCs w:val="28"/>
          <w:u w:val="none" w:color="auto"/>
          <w:lang w:val="en-US" w:eastAsia="zh-CN" w:bidi="ar-SA"/>
        </w:rPr>
        <w:t xml:space="preserve">柳州市柳江区水利局         柳州市柳江区统计局         </w:t>
      </w:r>
    </w:p>
    <w:p w14:paraId="5D3C23E9">
      <w:pPr>
        <w:keepNext w:val="0"/>
        <w:keepLines w:val="0"/>
        <w:pageBreakBefore w:val="0"/>
        <w:kinsoku/>
        <w:wordWrap/>
        <w:overflowPunct/>
        <w:topLinePunct w:val="0"/>
        <w:autoSpaceDE/>
        <w:autoSpaceDN/>
        <w:bidi w:val="0"/>
        <w:adjustRightInd/>
        <w:snapToGrid/>
        <w:spacing w:line="560" w:lineRule="exact"/>
        <w:ind w:left="1418" w:leftChars="435" w:firstLine="0" w:firstLineChars="0"/>
        <w:textAlignment w:val="auto"/>
        <w:rPr>
          <w:rFonts w:hint="eastAsia" w:eastAsia="仿宋_GB2312" w:cs="Times New Roman"/>
          <w:snapToGrid w:val="0"/>
          <w:color w:val="auto"/>
          <w:kern w:val="2"/>
          <w:sz w:val="28"/>
          <w:szCs w:val="28"/>
          <w:u w:val="none" w:color="auto"/>
          <w:lang w:val="en-US" w:eastAsia="zh-CN" w:bidi="ar-SA"/>
        </w:rPr>
      </w:pPr>
      <w:r>
        <w:rPr>
          <w:rFonts w:hint="eastAsia" w:eastAsia="仿宋_GB2312" w:cs="Times New Roman"/>
          <w:snapToGrid w:val="0"/>
          <w:color w:val="auto"/>
          <w:kern w:val="2"/>
          <w:sz w:val="28"/>
          <w:szCs w:val="28"/>
          <w:u w:val="none" w:color="auto"/>
          <w:lang w:val="en-US" w:eastAsia="zh-CN" w:bidi="ar-SA"/>
        </w:rPr>
        <w:t>柳州市柳江区审计局         柳州市柳江区交通运输局</w:t>
      </w:r>
    </w:p>
    <w:p w14:paraId="1F2022E6">
      <w:pPr>
        <w:pStyle w:val="6"/>
        <w:keepNext w:val="0"/>
        <w:keepLines w:val="0"/>
        <w:pageBreakBefore w:val="0"/>
        <w:kinsoku/>
        <w:wordWrap/>
        <w:overflowPunct/>
        <w:topLinePunct w:val="0"/>
        <w:autoSpaceDE/>
        <w:autoSpaceDN/>
        <w:bidi w:val="0"/>
        <w:adjustRightInd/>
        <w:snapToGrid/>
        <w:spacing w:line="560" w:lineRule="exact"/>
        <w:ind w:left="0" w:leftChars="0" w:firstLine="1430" w:firstLineChars="500"/>
        <w:textAlignment w:val="auto"/>
        <w:rPr>
          <w:rFonts w:hint="default"/>
          <w:lang w:val="en-US" w:eastAsia="zh-CN"/>
        </w:rPr>
      </w:pPr>
      <w:r>
        <w:rPr>
          <w:rFonts w:hint="eastAsia" w:eastAsia="仿宋_GB2312" w:cs="Times New Roman"/>
          <w:snapToGrid w:val="0"/>
          <w:color w:val="auto"/>
          <w:kern w:val="2"/>
          <w:sz w:val="28"/>
          <w:szCs w:val="28"/>
          <w:u w:val="none" w:color="auto"/>
          <w:lang w:val="en-US" w:eastAsia="zh-CN" w:bidi="ar-SA"/>
        </w:rPr>
        <w:t>柳州市柳江区行政审批局     柳州市柳江生态环境局</w:t>
      </w:r>
    </w:p>
    <w:p w14:paraId="42C6FBB5">
      <w:pPr>
        <w:keepNext w:val="0"/>
        <w:keepLines w:val="0"/>
        <w:pageBreakBefore w:val="0"/>
        <w:widowControl w:val="0"/>
        <w:kinsoku/>
        <w:wordWrap/>
        <w:overflowPunct/>
        <w:topLinePunct w:val="0"/>
        <w:autoSpaceDE/>
        <w:autoSpaceDN/>
        <w:bidi w:val="0"/>
        <w:adjustRightInd/>
        <w:snapToGrid/>
        <w:spacing w:line="560" w:lineRule="exact"/>
        <w:ind w:left="1418" w:leftChars="435" w:firstLine="0" w:firstLineChars="0"/>
        <w:textAlignment w:val="auto"/>
        <w:rPr>
          <w:rFonts w:hint="eastAsia" w:eastAsia="仿宋_GB2312" w:cs="Times New Roman"/>
          <w:snapToGrid w:val="0"/>
          <w:color w:val="auto"/>
          <w:kern w:val="2"/>
          <w:sz w:val="28"/>
          <w:szCs w:val="28"/>
          <w:u w:val="none" w:color="auto"/>
          <w:lang w:val="en-US" w:eastAsia="zh-CN" w:bidi="ar-SA"/>
        </w:rPr>
      </w:pPr>
      <w:r>
        <w:rPr>
          <w:rFonts w:hint="eastAsia" w:eastAsia="仿宋_GB2312" w:cs="Times New Roman"/>
          <w:snapToGrid w:val="0"/>
          <w:color w:val="auto"/>
          <w:kern w:val="2"/>
          <w:sz w:val="28"/>
          <w:szCs w:val="28"/>
          <w:u w:val="none" w:color="auto"/>
          <w:lang w:val="en-US" w:eastAsia="zh-CN" w:bidi="ar-SA"/>
        </w:rPr>
        <w:t xml:space="preserve">柳州市柳江区住房和城乡建设局  </w:t>
      </w:r>
    </w:p>
    <w:p w14:paraId="396770C3">
      <w:pPr>
        <w:keepNext w:val="0"/>
        <w:keepLines w:val="0"/>
        <w:pageBreakBefore w:val="0"/>
        <w:widowControl w:val="0"/>
        <w:kinsoku/>
        <w:wordWrap/>
        <w:overflowPunct/>
        <w:topLinePunct w:val="0"/>
        <w:autoSpaceDE/>
        <w:autoSpaceDN/>
        <w:bidi w:val="0"/>
        <w:adjustRightInd/>
        <w:snapToGrid/>
        <w:spacing w:line="560" w:lineRule="exact"/>
        <w:ind w:left="1418" w:leftChars="435" w:firstLine="0" w:firstLineChars="0"/>
        <w:textAlignment w:val="auto"/>
        <w:rPr>
          <w:rFonts w:hint="eastAsia" w:eastAsia="仿宋_GB2312" w:cs="Times New Roman"/>
          <w:snapToGrid w:val="0"/>
          <w:color w:val="auto"/>
          <w:kern w:val="2"/>
          <w:sz w:val="28"/>
          <w:szCs w:val="28"/>
          <w:u w:val="none" w:color="auto"/>
          <w:lang w:val="en-US" w:eastAsia="zh-CN" w:bidi="ar-SA"/>
        </w:rPr>
      </w:pPr>
      <w:r>
        <w:rPr>
          <w:rFonts w:hint="eastAsia" w:eastAsia="仿宋_GB2312" w:cs="Times New Roman"/>
          <w:snapToGrid w:val="0"/>
          <w:color w:val="auto"/>
          <w:kern w:val="2"/>
          <w:sz w:val="28"/>
          <w:szCs w:val="28"/>
          <w:u w:val="none" w:color="auto"/>
          <w:lang w:val="en-US" w:eastAsia="zh-CN" w:bidi="ar-SA"/>
        </w:rPr>
        <w:t xml:space="preserve">柳州市柳江区农业农村局            </w:t>
      </w:r>
    </w:p>
    <w:p w14:paraId="047627A0">
      <w:pPr>
        <w:keepNext w:val="0"/>
        <w:keepLines w:val="0"/>
        <w:pageBreakBefore w:val="0"/>
        <w:kinsoku/>
        <w:wordWrap/>
        <w:overflowPunct/>
        <w:topLinePunct w:val="0"/>
        <w:autoSpaceDE/>
        <w:autoSpaceDN/>
        <w:bidi w:val="0"/>
        <w:adjustRightInd/>
        <w:snapToGrid/>
        <w:spacing w:line="560" w:lineRule="exact"/>
        <w:ind w:left="1418" w:leftChars="435" w:firstLine="0" w:firstLineChars="0"/>
        <w:textAlignment w:val="auto"/>
        <w:rPr>
          <w:rFonts w:hint="eastAsia" w:eastAsia="仿宋_GB2312" w:cs="Times New Roman"/>
          <w:snapToGrid w:val="0"/>
          <w:color w:val="auto"/>
          <w:kern w:val="2"/>
          <w:sz w:val="28"/>
          <w:szCs w:val="28"/>
          <w:u w:val="none" w:color="auto"/>
          <w:lang w:val="en-US" w:eastAsia="zh-CN" w:bidi="ar-SA"/>
        </w:rPr>
      </w:pPr>
      <w:r>
        <w:rPr>
          <w:rFonts w:hint="eastAsia" w:eastAsia="仿宋_GB2312" w:cs="Times New Roman"/>
          <w:snapToGrid w:val="0"/>
          <w:color w:val="auto"/>
          <w:kern w:val="2"/>
          <w:sz w:val="28"/>
          <w:szCs w:val="28"/>
          <w:u w:val="none" w:color="auto"/>
          <w:lang w:val="en-US" w:eastAsia="zh-CN" w:bidi="ar-SA"/>
        </w:rPr>
        <w:t xml:space="preserve">柳州市柳江区文体广电和旅游局      </w:t>
      </w:r>
    </w:p>
    <w:p w14:paraId="6B2E8DAD">
      <w:pPr>
        <w:keepNext w:val="0"/>
        <w:keepLines w:val="0"/>
        <w:pageBreakBefore w:val="0"/>
        <w:kinsoku/>
        <w:wordWrap/>
        <w:overflowPunct/>
        <w:topLinePunct w:val="0"/>
        <w:autoSpaceDE/>
        <w:autoSpaceDN/>
        <w:bidi w:val="0"/>
        <w:adjustRightInd/>
        <w:snapToGrid/>
        <w:spacing w:line="560" w:lineRule="exact"/>
        <w:ind w:left="1418" w:leftChars="435" w:firstLine="0" w:firstLineChars="0"/>
        <w:textAlignment w:val="auto"/>
        <w:rPr>
          <w:rFonts w:hint="eastAsia" w:eastAsia="仿宋_GB2312" w:cs="Times New Roman"/>
          <w:snapToGrid w:val="0"/>
          <w:color w:val="auto"/>
          <w:kern w:val="2"/>
          <w:sz w:val="28"/>
          <w:szCs w:val="28"/>
          <w:u w:val="none" w:color="auto"/>
          <w:lang w:val="en-US" w:eastAsia="zh-CN" w:bidi="ar-SA"/>
        </w:rPr>
      </w:pPr>
      <w:r>
        <w:rPr>
          <w:rFonts w:hint="eastAsia" w:eastAsia="仿宋_GB2312" w:cs="Times New Roman"/>
          <w:snapToGrid w:val="0"/>
          <w:color w:val="auto"/>
          <w:kern w:val="2"/>
          <w:sz w:val="28"/>
          <w:szCs w:val="28"/>
          <w:u w:val="none" w:color="auto"/>
          <w:lang w:val="en-US" w:eastAsia="zh-CN" w:bidi="ar-SA"/>
        </w:rPr>
        <w:t xml:space="preserve">柳州市柳江区市场监督管理局        </w:t>
      </w:r>
    </w:p>
    <w:p w14:paraId="29BC1971">
      <w:pPr>
        <w:keepNext w:val="0"/>
        <w:keepLines w:val="0"/>
        <w:pageBreakBefore w:val="0"/>
        <w:kinsoku/>
        <w:wordWrap/>
        <w:overflowPunct/>
        <w:topLinePunct w:val="0"/>
        <w:autoSpaceDE/>
        <w:autoSpaceDN/>
        <w:bidi w:val="0"/>
        <w:adjustRightInd/>
        <w:snapToGrid/>
        <w:spacing w:line="560" w:lineRule="exact"/>
        <w:ind w:left="1418" w:leftChars="435" w:firstLine="0" w:firstLineChars="0"/>
        <w:textAlignment w:val="auto"/>
        <w:rPr>
          <w:rFonts w:hint="eastAsia" w:eastAsia="仿宋_GB2312" w:cs="Times New Roman"/>
          <w:snapToGrid w:val="0"/>
          <w:color w:val="auto"/>
          <w:kern w:val="2"/>
          <w:sz w:val="28"/>
          <w:szCs w:val="28"/>
          <w:u w:val="none" w:color="auto"/>
          <w:lang w:val="en-US" w:eastAsia="zh-CN" w:bidi="ar-SA"/>
        </w:rPr>
      </w:pPr>
      <w:r>
        <w:rPr>
          <w:rFonts w:hint="eastAsia" w:eastAsia="仿宋_GB2312" w:cs="Times New Roman"/>
          <w:snapToGrid w:val="0"/>
          <w:color w:val="auto"/>
          <w:kern w:val="2"/>
          <w:sz w:val="28"/>
          <w:szCs w:val="28"/>
          <w:u w:val="none" w:color="auto"/>
          <w:lang w:val="en-US" w:eastAsia="zh-CN" w:bidi="ar-SA"/>
        </w:rPr>
        <w:t>柳州市柳江区城市管理行政执法局</w:t>
      </w:r>
    </w:p>
    <w:p w14:paraId="59DF9464">
      <w:pPr>
        <w:pStyle w:val="6"/>
        <w:keepNext w:val="0"/>
        <w:keepLines w:val="0"/>
        <w:pageBreakBefore w:val="0"/>
        <w:kinsoku/>
        <w:wordWrap/>
        <w:overflowPunct/>
        <w:topLinePunct w:val="0"/>
        <w:autoSpaceDE/>
        <w:autoSpaceDN/>
        <w:bidi w:val="0"/>
        <w:adjustRightInd/>
        <w:snapToGrid/>
        <w:spacing w:line="560" w:lineRule="exact"/>
        <w:ind w:left="0" w:leftChars="0" w:firstLine="1430" w:firstLineChars="500"/>
        <w:textAlignment w:val="auto"/>
        <w:rPr>
          <w:rFonts w:hint="default"/>
          <w:sz w:val="28"/>
          <w:szCs w:val="28"/>
          <w:lang w:val="en-US" w:eastAsia="zh-CN"/>
        </w:rPr>
      </w:pPr>
      <w:r>
        <w:rPr>
          <w:rFonts w:hint="eastAsia" w:eastAsia="仿宋_GB2312" w:cs="Times New Roman"/>
          <w:snapToGrid w:val="0"/>
          <w:color w:val="auto"/>
          <w:kern w:val="2"/>
          <w:sz w:val="28"/>
          <w:szCs w:val="28"/>
          <w:u w:val="none" w:color="auto"/>
          <w:lang w:val="en-US" w:eastAsia="zh-CN" w:bidi="ar-SA"/>
        </w:rPr>
        <w:t>柳州市柳江区经济开发区管理委员会</w:t>
      </w:r>
    </w:p>
    <w:p w14:paraId="4BB0C15C">
      <w:pPr>
        <w:keepNext w:val="0"/>
        <w:keepLines w:val="0"/>
        <w:pageBreakBefore w:val="0"/>
        <w:widowControl/>
        <w:kinsoku/>
        <w:wordWrap/>
        <w:overflowPunct/>
        <w:topLinePunct w:val="0"/>
        <w:autoSpaceDE/>
        <w:autoSpaceDN/>
        <w:bidi w:val="0"/>
        <w:adjustRightInd/>
        <w:snapToGrid/>
        <w:spacing w:line="560" w:lineRule="exact"/>
        <w:ind w:firstLine="1430" w:firstLineChars="500"/>
        <w:jc w:val="left"/>
        <w:textAlignment w:val="auto"/>
        <w:rPr>
          <w:rFonts w:hint="default" w:ascii="Times New Roman" w:hAnsi="Times New Roman" w:eastAsia="仿宋_GB2312" w:cs="Times New Roman"/>
          <w:snapToGrid w:val="0"/>
          <w:color w:val="auto"/>
          <w:kern w:val="2"/>
          <w:sz w:val="28"/>
          <w:szCs w:val="28"/>
          <w:u w:val="none" w:color="auto"/>
          <w:lang w:val="en-US" w:eastAsia="zh-CN" w:bidi="ar-SA"/>
        </w:rPr>
      </w:pPr>
      <w:r>
        <w:rPr>
          <w:rFonts w:hint="default" w:ascii="Times New Roman" w:hAnsi="Times New Roman" w:eastAsia="仿宋_GB2312" w:cs="Times New Roman"/>
          <w:snapToGrid w:val="0"/>
          <w:color w:val="auto"/>
          <w:kern w:val="2"/>
          <w:sz w:val="28"/>
          <w:szCs w:val="28"/>
          <w:u w:val="none" w:color="auto"/>
          <w:lang w:val="en-US" w:eastAsia="zh-CN" w:bidi="ar-SA"/>
        </w:rPr>
        <w:t xml:space="preserve">柳江区拉堡镇人民政府   柳江区里高镇人民政府           </w:t>
      </w:r>
    </w:p>
    <w:p w14:paraId="170AACEA">
      <w:pPr>
        <w:keepNext w:val="0"/>
        <w:keepLines w:val="0"/>
        <w:pageBreakBefore w:val="0"/>
        <w:widowControl/>
        <w:kinsoku/>
        <w:wordWrap/>
        <w:overflowPunct/>
        <w:topLinePunct w:val="0"/>
        <w:autoSpaceDE/>
        <w:autoSpaceDN/>
        <w:bidi w:val="0"/>
        <w:adjustRightInd/>
        <w:snapToGrid/>
        <w:spacing w:line="560" w:lineRule="exact"/>
        <w:ind w:firstLine="1430" w:firstLineChars="500"/>
        <w:jc w:val="left"/>
        <w:textAlignment w:val="auto"/>
        <w:rPr>
          <w:rFonts w:hint="default" w:ascii="Times New Roman" w:hAnsi="Times New Roman" w:eastAsia="仿宋_GB2312" w:cs="Times New Roman"/>
          <w:snapToGrid w:val="0"/>
          <w:color w:val="auto"/>
          <w:kern w:val="2"/>
          <w:sz w:val="28"/>
          <w:szCs w:val="28"/>
          <w:u w:val="none" w:color="auto"/>
          <w:lang w:val="en-US" w:eastAsia="zh-CN" w:bidi="ar-SA"/>
        </w:rPr>
      </w:pPr>
      <w:r>
        <w:rPr>
          <w:rFonts w:hint="default" w:ascii="Times New Roman" w:hAnsi="Times New Roman" w:eastAsia="仿宋_GB2312" w:cs="Times New Roman"/>
          <w:snapToGrid w:val="0"/>
          <w:color w:val="auto"/>
          <w:kern w:val="2"/>
          <w:sz w:val="28"/>
          <w:szCs w:val="28"/>
          <w:u w:val="none" w:color="auto"/>
          <w:lang w:val="en-US" w:eastAsia="zh-CN" w:bidi="ar-SA"/>
        </w:rPr>
        <w:t xml:space="preserve">柳江区进德镇人民政府   柳江区土博镇人民政府           </w:t>
      </w:r>
    </w:p>
    <w:p w14:paraId="5C16F91B">
      <w:pPr>
        <w:keepNext w:val="0"/>
        <w:keepLines w:val="0"/>
        <w:pageBreakBefore w:val="0"/>
        <w:widowControl/>
        <w:kinsoku/>
        <w:wordWrap/>
        <w:overflowPunct/>
        <w:topLinePunct w:val="0"/>
        <w:autoSpaceDE/>
        <w:autoSpaceDN/>
        <w:bidi w:val="0"/>
        <w:adjustRightInd/>
        <w:snapToGrid/>
        <w:spacing w:line="560" w:lineRule="exact"/>
        <w:ind w:firstLine="1430" w:firstLineChars="500"/>
        <w:jc w:val="left"/>
        <w:textAlignment w:val="auto"/>
        <w:rPr>
          <w:rFonts w:hint="default" w:ascii="Times New Roman" w:hAnsi="Times New Roman" w:eastAsia="仿宋_GB2312" w:cs="Times New Roman"/>
          <w:snapToGrid w:val="0"/>
          <w:color w:val="auto"/>
          <w:kern w:val="2"/>
          <w:sz w:val="28"/>
          <w:szCs w:val="28"/>
          <w:u w:val="none" w:color="auto"/>
          <w:lang w:val="en-US" w:eastAsia="zh-CN" w:bidi="ar-SA"/>
        </w:rPr>
      </w:pPr>
      <w:r>
        <w:rPr>
          <w:rFonts w:hint="default" w:ascii="Times New Roman" w:hAnsi="Times New Roman" w:eastAsia="仿宋_GB2312" w:cs="Times New Roman"/>
          <w:snapToGrid w:val="0"/>
          <w:color w:val="auto"/>
          <w:kern w:val="2"/>
          <w:sz w:val="28"/>
          <w:szCs w:val="28"/>
          <w:u w:val="none" w:color="auto"/>
          <w:lang w:val="en-US" w:eastAsia="zh-CN" w:bidi="ar-SA"/>
        </w:rPr>
        <w:t xml:space="preserve">柳江区成团镇人民政府   柳江区穿山镇人民政府           </w:t>
      </w:r>
    </w:p>
    <w:p w14:paraId="20643C94">
      <w:pPr>
        <w:keepNext w:val="0"/>
        <w:keepLines w:val="0"/>
        <w:pageBreakBefore w:val="0"/>
        <w:widowControl/>
        <w:kinsoku/>
        <w:wordWrap/>
        <w:overflowPunct/>
        <w:topLinePunct w:val="0"/>
        <w:autoSpaceDE/>
        <w:autoSpaceDN/>
        <w:bidi w:val="0"/>
        <w:adjustRightInd/>
        <w:snapToGrid/>
        <w:spacing w:line="560" w:lineRule="exact"/>
        <w:ind w:firstLine="1430" w:firstLineChars="500"/>
        <w:jc w:val="left"/>
        <w:textAlignment w:val="auto"/>
        <w:rPr>
          <w:rFonts w:hint="default" w:ascii="Times New Roman" w:hAnsi="Times New Roman" w:eastAsia="仿宋_GB2312" w:cs="Times New Roman"/>
          <w:snapToGrid w:val="0"/>
          <w:color w:val="auto"/>
          <w:kern w:val="0"/>
          <w:sz w:val="28"/>
          <w:szCs w:val="28"/>
          <w:u w:val="none" w:color="auto"/>
          <w:lang w:val="en-US" w:eastAsia="zh-CN" w:bidi="ar-SA"/>
        </w:rPr>
      </w:pPr>
      <w:r>
        <w:rPr>
          <w:rFonts w:hint="default" w:ascii="Times New Roman" w:hAnsi="Times New Roman" w:eastAsia="仿宋_GB2312" w:cs="Times New Roman"/>
          <w:snapToGrid w:val="0"/>
          <w:color w:val="auto"/>
          <w:kern w:val="2"/>
          <w:sz w:val="28"/>
          <w:szCs w:val="28"/>
          <w:u w:val="none" w:color="auto"/>
          <w:lang w:val="en-US" w:eastAsia="zh-CN" w:bidi="ar-SA"/>
        </w:rPr>
        <w:t xml:space="preserve">柳江区三都镇人民政府   柳江区百朋镇人民政府  </w:t>
      </w:r>
      <w:r>
        <w:rPr>
          <w:rFonts w:hint="default" w:ascii="Times New Roman" w:hAnsi="Times New Roman" w:eastAsia="仿宋_GB2312" w:cs="Times New Roman"/>
          <w:snapToGrid w:val="0"/>
          <w:color w:val="auto"/>
          <w:kern w:val="0"/>
          <w:sz w:val="28"/>
          <w:szCs w:val="28"/>
          <w:u w:val="none" w:color="auto"/>
          <w:lang w:val="en-US" w:eastAsia="zh-CN" w:bidi="ar-SA"/>
        </w:rPr>
        <w:t xml:space="preserve"> </w:t>
      </w:r>
    </w:p>
    <w:p w14:paraId="7290D011">
      <w:pPr>
        <w:keepNext w:val="0"/>
        <w:keepLines w:val="0"/>
        <w:pageBreakBefore w:val="0"/>
        <w:widowControl/>
        <w:kinsoku/>
        <w:wordWrap/>
        <w:overflowPunct/>
        <w:topLinePunct w:val="0"/>
        <w:autoSpaceDE/>
        <w:autoSpaceDN/>
        <w:bidi w:val="0"/>
        <w:adjustRightInd/>
        <w:snapToGrid/>
        <w:spacing w:line="560" w:lineRule="exact"/>
        <w:ind w:firstLine="286" w:firstLineChars="100"/>
        <w:jc w:val="left"/>
        <w:textAlignment w:val="auto"/>
        <w:rPr>
          <w:rFonts w:hint="default" w:ascii="Times New Roman" w:hAnsi="Times New Roman" w:eastAsia="仿宋_GB2312" w:cs="Times New Roman"/>
          <w:b/>
          <w:color w:val="auto"/>
          <w:kern w:val="0"/>
          <w:sz w:val="28"/>
          <w:szCs w:val="28"/>
          <w:u w:val="none" w:color="auto"/>
          <w:lang w:val="en-US" w:eastAsia="zh-CN" w:bidi="ar-SA"/>
        </w:rPr>
      </w:pPr>
    </w:p>
    <w:p w14:paraId="5FBEBD2D">
      <w:pPr>
        <w:keepNext w:val="0"/>
        <w:keepLines w:val="0"/>
        <w:pageBreakBefore w:val="0"/>
        <w:widowControl/>
        <w:kinsoku/>
        <w:wordWrap/>
        <w:overflowPunct/>
        <w:topLinePunct w:val="0"/>
        <w:autoSpaceDE/>
        <w:autoSpaceDN/>
        <w:bidi w:val="0"/>
        <w:adjustRightInd/>
        <w:snapToGrid/>
        <w:spacing w:line="560" w:lineRule="exact"/>
        <w:ind w:firstLine="326" w:firstLineChars="100"/>
        <w:jc w:val="left"/>
        <w:textAlignment w:val="auto"/>
        <w:rPr>
          <w:rFonts w:hint="default" w:ascii="Times New Roman" w:hAnsi="Times New Roman" w:eastAsia="仿宋_GB2312" w:cs="Times New Roman"/>
          <w:snapToGrid w:val="0"/>
          <w:color w:val="auto"/>
          <w:kern w:val="2"/>
          <w:sz w:val="28"/>
          <w:szCs w:val="28"/>
          <w:u w:val="none" w:color="auto"/>
          <w:lang w:val="en-US" w:eastAsia="zh-CN" w:bidi="ar-SA"/>
        </w:rPr>
      </w:pPr>
      <w:r>
        <w:rPr>
          <w:rFonts w:hint="default" w:ascii="Times New Roman" w:hAnsi="Times New Roman" w:eastAsia="仿宋_GB2312" w:cs="Times New Roman"/>
          <w:b/>
          <w:color w:val="auto"/>
          <w:kern w:val="0"/>
          <w:sz w:val="32"/>
          <w:szCs w:val="32"/>
          <w:u w:val="none" w:color="auto"/>
          <w:lang w:val="en-US" w:eastAsia="zh-CN" w:bidi="ar-SA"/>
        </w:rPr>
        <w:t>参编人员：</w:t>
      </w:r>
      <w:r>
        <w:rPr>
          <w:rFonts w:hint="default" w:ascii="Times New Roman" w:hAnsi="Times New Roman" w:eastAsia="仿宋_GB2312" w:cs="Times New Roman"/>
          <w:snapToGrid w:val="0"/>
          <w:color w:val="auto"/>
          <w:kern w:val="2"/>
          <w:sz w:val="28"/>
          <w:szCs w:val="28"/>
          <w:u w:val="none" w:color="auto"/>
          <w:lang w:val="en-US" w:eastAsia="zh-CN" w:bidi="ar-SA"/>
        </w:rPr>
        <w:t>技术审定：罗  天  广西柳环环保技术有限公司</w:t>
      </w:r>
    </w:p>
    <w:p w14:paraId="60CF0222">
      <w:pPr>
        <w:keepNext w:val="0"/>
        <w:keepLines w:val="0"/>
        <w:pageBreakBefore w:val="0"/>
        <w:widowControl/>
        <w:kinsoku/>
        <w:wordWrap/>
        <w:overflowPunct/>
        <w:topLinePunct w:val="0"/>
        <w:autoSpaceDE/>
        <w:autoSpaceDN/>
        <w:bidi w:val="0"/>
        <w:adjustRightInd/>
        <w:snapToGrid/>
        <w:spacing w:line="560" w:lineRule="exact"/>
        <w:ind w:firstLine="2002" w:firstLineChars="700"/>
        <w:jc w:val="left"/>
        <w:textAlignment w:val="auto"/>
        <w:rPr>
          <w:rFonts w:hint="default" w:ascii="Times New Roman" w:hAnsi="Times New Roman" w:eastAsia="仿宋_GB2312" w:cs="Times New Roman"/>
          <w:snapToGrid w:val="0"/>
          <w:color w:val="auto"/>
          <w:kern w:val="2"/>
          <w:sz w:val="28"/>
          <w:szCs w:val="28"/>
          <w:u w:val="none" w:color="auto"/>
          <w:lang w:val="en-US" w:eastAsia="zh-CN" w:bidi="ar-SA"/>
        </w:rPr>
      </w:pPr>
      <w:r>
        <w:rPr>
          <w:rFonts w:hint="default" w:ascii="Times New Roman" w:hAnsi="Times New Roman" w:eastAsia="仿宋_GB2312" w:cs="Times New Roman"/>
          <w:snapToGrid w:val="0"/>
          <w:color w:val="auto"/>
          <w:kern w:val="2"/>
          <w:sz w:val="28"/>
          <w:szCs w:val="28"/>
          <w:u w:val="none" w:color="auto"/>
          <w:lang w:val="en-US" w:eastAsia="zh-CN" w:bidi="ar-SA"/>
        </w:rPr>
        <w:t>技术审核：吴  璇  广西柳环环保技术有限公司</w:t>
      </w:r>
    </w:p>
    <w:p w14:paraId="4FAEE74B">
      <w:pPr>
        <w:keepNext w:val="0"/>
        <w:keepLines w:val="0"/>
        <w:pageBreakBefore w:val="0"/>
        <w:widowControl/>
        <w:kinsoku/>
        <w:wordWrap/>
        <w:overflowPunct/>
        <w:topLinePunct w:val="0"/>
        <w:bidi w:val="0"/>
        <w:snapToGrid/>
        <w:spacing w:line="540" w:lineRule="exact"/>
        <w:ind w:firstLine="2002" w:firstLineChars="700"/>
        <w:jc w:val="left"/>
        <w:textAlignment w:val="auto"/>
        <w:rPr>
          <w:rFonts w:hint="default" w:ascii="Times New Roman" w:hAnsi="Times New Roman" w:eastAsia="仿宋_GB2312" w:cs="Times New Roman"/>
          <w:snapToGrid w:val="0"/>
          <w:color w:val="auto"/>
          <w:kern w:val="2"/>
          <w:sz w:val="32"/>
          <w:szCs w:val="32"/>
          <w:u w:val="none" w:color="auto"/>
          <w:lang w:val="en-US" w:eastAsia="zh-CN" w:bidi="ar-SA"/>
        </w:rPr>
      </w:pPr>
      <w:r>
        <w:rPr>
          <w:rFonts w:hint="default" w:ascii="Times New Roman" w:hAnsi="Times New Roman" w:eastAsia="仿宋_GB2312" w:cs="Times New Roman"/>
          <w:snapToGrid w:val="0"/>
          <w:color w:val="auto"/>
          <w:kern w:val="2"/>
          <w:sz w:val="28"/>
          <w:szCs w:val="28"/>
          <w:u w:val="none" w:color="auto"/>
          <w:lang w:val="en-US" w:eastAsia="zh-CN" w:bidi="ar-SA"/>
        </w:rPr>
        <w:t>编制人员：</w:t>
      </w:r>
      <w:r>
        <w:rPr>
          <w:rFonts w:hint="eastAsia" w:ascii="Times New Roman" w:hAnsi="Times New Roman" w:eastAsia="仿宋_GB2312" w:cs="Times New Roman"/>
          <w:snapToGrid w:val="0"/>
          <w:color w:val="auto"/>
          <w:kern w:val="2"/>
          <w:sz w:val="28"/>
          <w:szCs w:val="28"/>
          <w:u w:val="none" w:color="auto"/>
          <w:lang w:val="en-US" w:eastAsia="zh-CN" w:bidi="ar-SA"/>
        </w:rPr>
        <w:t>韦</w:t>
      </w:r>
      <w:r>
        <w:rPr>
          <w:rFonts w:hint="eastAsia" w:eastAsia="仿宋_GB2312" w:cs="Times New Roman"/>
          <w:snapToGrid w:val="0"/>
          <w:color w:val="auto"/>
          <w:kern w:val="2"/>
          <w:sz w:val="28"/>
          <w:szCs w:val="28"/>
          <w:u w:val="none" w:color="auto"/>
          <w:lang w:val="en-US" w:eastAsia="zh-CN" w:bidi="ar-SA"/>
        </w:rPr>
        <w:t xml:space="preserve">  </w:t>
      </w:r>
      <w:r>
        <w:rPr>
          <w:rFonts w:hint="eastAsia" w:ascii="Times New Roman" w:hAnsi="Times New Roman" w:eastAsia="仿宋_GB2312" w:cs="Times New Roman"/>
          <w:snapToGrid w:val="0"/>
          <w:color w:val="auto"/>
          <w:kern w:val="2"/>
          <w:sz w:val="28"/>
          <w:szCs w:val="28"/>
          <w:u w:val="none" w:color="auto"/>
          <w:lang w:val="en-US" w:eastAsia="zh-CN" w:bidi="ar-SA"/>
        </w:rPr>
        <w:t>婕</w:t>
      </w:r>
      <w:r>
        <w:rPr>
          <w:rFonts w:hint="default" w:ascii="Times New Roman" w:hAnsi="Times New Roman" w:eastAsia="仿宋_GB2312" w:cs="Times New Roman"/>
          <w:snapToGrid w:val="0"/>
          <w:color w:val="auto"/>
          <w:kern w:val="2"/>
          <w:sz w:val="28"/>
          <w:szCs w:val="28"/>
          <w:u w:val="none" w:color="auto"/>
          <w:lang w:val="en-US" w:eastAsia="zh-CN" w:bidi="ar-SA"/>
        </w:rPr>
        <w:t xml:space="preserve">  广西柳环环保技术有限公司 </w:t>
      </w:r>
      <w:r>
        <w:rPr>
          <w:rFonts w:hint="default" w:ascii="Times New Roman" w:hAnsi="Times New Roman" w:eastAsia="仿宋_GB2312" w:cs="Times New Roman"/>
          <w:snapToGrid w:val="0"/>
          <w:color w:val="auto"/>
          <w:kern w:val="2"/>
          <w:sz w:val="32"/>
          <w:szCs w:val="32"/>
          <w:u w:val="none" w:color="auto"/>
          <w:lang w:val="en-US" w:eastAsia="zh-CN" w:bidi="ar-SA"/>
        </w:rPr>
        <w:t xml:space="preserve">              </w:t>
      </w:r>
    </w:p>
    <w:p w14:paraId="638BBFD5">
      <w:pPr>
        <w:keepNext w:val="0"/>
        <w:keepLines w:val="0"/>
        <w:pageBreakBefore w:val="0"/>
        <w:widowControl/>
        <w:kinsoku/>
        <w:wordWrap/>
        <w:overflowPunct/>
        <w:topLinePunct w:val="0"/>
        <w:bidi w:val="0"/>
        <w:snapToGrid/>
        <w:spacing w:line="540" w:lineRule="exact"/>
        <w:ind w:firstLine="3366" w:firstLineChars="1100"/>
        <w:jc w:val="left"/>
        <w:textAlignment w:val="auto"/>
        <w:rPr>
          <w:rFonts w:hint="default" w:ascii="Times New Roman" w:hAnsi="Times New Roman" w:eastAsia="仿宋_GB2312" w:cs="Times New Roman"/>
          <w:snapToGrid w:val="0"/>
          <w:color w:val="auto"/>
          <w:kern w:val="0"/>
          <w:sz w:val="30"/>
          <w:szCs w:val="30"/>
          <w:u w:val="none" w:color="auto"/>
          <w:lang w:val="en-US" w:eastAsia="zh-CN" w:bidi="ar-SA"/>
        </w:rPr>
      </w:pPr>
    </w:p>
    <w:p w14:paraId="5F1827DB">
      <w:pPr>
        <w:keepNext w:val="0"/>
        <w:keepLines w:val="0"/>
        <w:pageBreakBefore w:val="0"/>
        <w:widowControl/>
        <w:kinsoku/>
        <w:wordWrap/>
        <w:overflowPunct/>
        <w:topLinePunct w:val="0"/>
        <w:bidi w:val="0"/>
        <w:snapToGrid/>
        <w:spacing w:line="540" w:lineRule="exact"/>
        <w:ind w:firstLine="3366" w:firstLineChars="1100"/>
        <w:jc w:val="left"/>
        <w:textAlignment w:val="auto"/>
        <w:rPr>
          <w:rFonts w:hint="default" w:ascii="Times New Roman" w:hAnsi="Times New Roman" w:eastAsia="仿宋_GB2312" w:cs="Times New Roman"/>
          <w:snapToGrid w:val="0"/>
          <w:color w:val="auto"/>
          <w:kern w:val="0"/>
          <w:sz w:val="30"/>
          <w:szCs w:val="30"/>
          <w:u w:val="none" w:color="auto"/>
          <w:lang w:val="en-US" w:eastAsia="zh-CN" w:bidi="ar-SA"/>
        </w:rPr>
      </w:pPr>
    </w:p>
    <w:p w14:paraId="595C7039">
      <w:pPr>
        <w:keepNext w:val="0"/>
        <w:keepLines w:val="0"/>
        <w:pageBreakBefore w:val="0"/>
        <w:widowControl/>
        <w:kinsoku/>
        <w:wordWrap/>
        <w:overflowPunct/>
        <w:topLinePunct w:val="0"/>
        <w:bidi w:val="0"/>
        <w:snapToGrid/>
        <w:spacing w:line="540" w:lineRule="exact"/>
        <w:ind w:firstLine="3366" w:firstLineChars="1100"/>
        <w:jc w:val="left"/>
        <w:textAlignment w:val="auto"/>
        <w:rPr>
          <w:rFonts w:hint="default" w:ascii="Times New Roman" w:hAnsi="Times New Roman" w:eastAsia="仿宋_GB2312" w:cs="Times New Roman"/>
          <w:color w:val="auto"/>
          <w:kern w:val="0"/>
          <w:sz w:val="30"/>
          <w:szCs w:val="30"/>
          <w:u w:val="none" w:color="auto"/>
          <w:lang w:val="en-US" w:eastAsia="zh-CN" w:bidi="ar-SA"/>
        </w:rPr>
      </w:pPr>
      <w:r>
        <w:rPr>
          <w:rFonts w:hint="default" w:ascii="Times New Roman" w:hAnsi="Times New Roman" w:eastAsia="仿宋_GB2312" w:cs="Times New Roman"/>
          <w:snapToGrid w:val="0"/>
          <w:color w:val="auto"/>
          <w:kern w:val="0"/>
          <w:sz w:val="30"/>
          <w:szCs w:val="30"/>
          <w:u w:val="none" w:color="auto"/>
          <w:lang w:val="en-US" w:eastAsia="zh-CN" w:bidi="ar-SA"/>
        </w:rPr>
        <w:t xml:space="preserve">  </w:t>
      </w:r>
    </w:p>
    <w:p w14:paraId="24DCDD60">
      <w:pPr>
        <w:pStyle w:val="2"/>
        <w:pageBreakBefore w:val="0"/>
        <w:kinsoku/>
        <w:wordWrap/>
        <w:overflowPunct/>
        <w:topLinePunct w:val="0"/>
        <w:autoSpaceDE/>
        <w:autoSpaceDN/>
        <w:bidi w:val="0"/>
        <w:ind w:left="0" w:leftChars="0" w:right="0" w:rightChars="0" w:firstLine="723"/>
        <w:rPr>
          <w:rFonts w:ascii="黑体" w:hAnsi="黑体" w:eastAsia="黑体"/>
          <w:b/>
          <w:sz w:val="36"/>
          <w:szCs w:val="36"/>
          <w:highlight w:val="yellow"/>
        </w:rPr>
        <w:sectPr>
          <w:pgSz w:w="11905" w:h="16838"/>
          <w:pgMar w:top="2098" w:right="1474" w:bottom="1984" w:left="1587" w:header="1417" w:footer="1304" w:gutter="0"/>
          <w:pgNumType w:fmt="upperRoman"/>
          <w:cols w:space="0" w:num="1"/>
          <w:rtlGutter w:val="0"/>
          <w:docGrid w:type="linesAndChars" w:linePitch="439" w:charSpace="1433"/>
        </w:sectPr>
      </w:pPr>
    </w:p>
    <w:p w14:paraId="67C3FFCB">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rPr>
          <w:rFonts w:hint="default" w:eastAsia="仿宋_GB2312" w:cs="Times New Roman"/>
          <w:b/>
          <w:bCs/>
          <w:highlight w:val="none"/>
          <w:lang w:val="en-US" w:eastAsia="zh-CN"/>
        </w:rPr>
      </w:pPr>
      <w:bookmarkStart w:id="0" w:name="_Toc9879"/>
      <w:bookmarkStart w:id="1" w:name="_Toc1093"/>
      <w:bookmarkStart w:id="2" w:name="_Toc3871"/>
      <w:bookmarkStart w:id="3" w:name="_Toc10260"/>
      <w:bookmarkStart w:id="4" w:name="_Toc24415"/>
      <w:bookmarkStart w:id="5" w:name="_Toc13088"/>
      <w:r>
        <w:rPr>
          <w:rFonts w:hint="default" w:eastAsia="仿宋_GB2312" w:cs="Times New Roman"/>
          <w:b/>
          <w:bCs/>
          <w:highlight w:val="none"/>
          <w:lang w:val="en-US" w:eastAsia="zh-CN"/>
        </w:rPr>
        <w:t>前  言</w:t>
      </w:r>
      <w:bookmarkEnd w:id="0"/>
      <w:bookmarkEnd w:id="1"/>
      <w:bookmarkEnd w:id="2"/>
      <w:bookmarkEnd w:id="3"/>
      <w:bookmarkEnd w:id="4"/>
      <w:bookmarkEnd w:id="5"/>
    </w:p>
    <w:p w14:paraId="07DDA06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rPr>
          <w:rFonts w:hint="eastAsia" w:eastAsia="仿宋_GB2312" w:cs="Times New Roman"/>
          <w:highlight w:val="none"/>
          <w:lang w:eastAsia="zh-CN"/>
        </w:rPr>
      </w:pPr>
      <w:r>
        <w:rPr>
          <w:rFonts w:hint="eastAsia" w:eastAsia="仿宋_GB2312" w:cs="Times New Roman"/>
          <w:highlight w:val="none"/>
          <w:lang w:eastAsia="zh-CN"/>
        </w:rPr>
        <w:t>党的十八大以来，面对全球性生态环境问题以及我国经济社会发展和生态环境保护的迫切需要，以习近平同志为核心的党中央紧紧围绕以人民为中心的发展思想，顺应时代发展趋势和人民对美好生活的向往，把生态文明建设纳入中国特色社会主义事业“五位一体”总体布局，强调要正确处理经济发展同生态环境保护的关系，创造性地提出一系列富有中国智慧的</w:t>
      </w:r>
      <w:r>
        <w:rPr>
          <w:rFonts w:hint="eastAsia" w:eastAsia="仿宋_GB2312" w:cs="Times New Roman"/>
          <w:highlight w:val="none"/>
          <w:lang w:val="en-US" w:eastAsia="zh-CN"/>
        </w:rPr>
        <w:t>习近平</w:t>
      </w:r>
      <w:bookmarkStart w:id="254" w:name="_GoBack"/>
      <w:bookmarkEnd w:id="254"/>
      <w:r>
        <w:rPr>
          <w:rFonts w:hint="eastAsia" w:eastAsia="仿宋_GB2312" w:cs="Times New Roman"/>
          <w:highlight w:val="none"/>
          <w:lang w:eastAsia="zh-CN"/>
        </w:rPr>
        <w:t>生态文明思想与理念。近年来，在习近平生态文明思想科学指引下，我国把生态文明建设作为关系中华民族永续发展的根本大计，开展了一系列开创性工作，生态文明建设从理论到实践都发生了历史性、转折性、全局性变化。</w:t>
      </w:r>
    </w:p>
    <w:p w14:paraId="2C2FFF1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rPr>
          <w:rFonts w:hint="eastAsia" w:eastAsia="仿宋_GB2312" w:cs="Times New Roman"/>
          <w:highlight w:val="none"/>
        </w:rPr>
      </w:pPr>
      <w:r>
        <w:rPr>
          <w:rFonts w:hint="eastAsia" w:eastAsia="仿宋_GB2312" w:cs="Times New Roman"/>
          <w:highlight w:val="none"/>
          <w:lang w:eastAsia="zh-CN"/>
        </w:rPr>
        <w:t>广西壮族自治区始终</w:t>
      </w:r>
      <w:r>
        <w:rPr>
          <w:rFonts w:hint="eastAsia" w:eastAsia="仿宋_GB2312" w:cs="Times New Roman"/>
          <w:highlight w:val="none"/>
        </w:rPr>
        <w:t>坚持以习近平新时代中国特色社会主义思想为指导，全面贯彻落实党的二十大精神，深入贯彻习近平生态文明思想，牢记习近平总书记“广西生态优势金不换”的殷切嘱托，按照自治区党委、政府的决策部署，坚决扛起保护好八桂大地山山水水的历史责任，厚植生态环境优势，筑牢我国南方重要生态安全屏障，不断擦亮“山清水秀生态美”金字招牌，生态文明建设成效显著。</w:t>
      </w:r>
    </w:p>
    <w:p w14:paraId="607B6AF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rPr>
          <w:rFonts w:eastAsia="仿宋_GB2312" w:cs="Times New Roman"/>
          <w:highlight w:val="none"/>
        </w:rPr>
      </w:pPr>
      <w:r>
        <w:rPr>
          <w:rFonts w:eastAsia="仿宋_GB2312" w:cs="Times New Roman"/>
          <w:highlight w:val="none"/>
        </w:rPr>
        <w:t>20</w:t>
      </w:r>
      <w:r>
        <w:rPr>
          <w:rFonts w:hint="eastAsia" w:eastAsia="仿宋_GB2312" w:cs="Times New Roman"/>
          <w:highlight w:val="none"/>
          <w:lang w:val="en-US" w:eastAsia="zh-CN"/>
        </w:rPr>
        <w:t>20</w:t>
      </w:r>
      <w:r>
        <w:rPr>
          <w:rFonts w:eastAsia="仿宋_GB2312" w:cs="Times New Roman"/>
          <w:highlight w:val="none"/>
        </w:rPr>
        <w:t>年</w:t>
      </w:r>
      <w:r>
        <w:rPr>
          <w:rFonts w:hint="eastAsia" w:eastAsia="仿宋_GB2312" w:cs="Times New Roman"/>
          <w:highlight w:val="none"/>
          <w:lang w:val="en-US" w:eastAsia="zh-CN"/>
        </w:rPr>
        <w:t>3月11日</w:t>
      </w:r>
      <w:r>
        <w:rPr>
          <w:rFonts w:eastAsia="仿宋_GB2312" w:cs="Times New Roman"/>
          <w:highlight w:val="none"/>
        </w:rPr>
        <w:t>，</w:t>
      </w:r>
      <w:r>
        <w:rPr>
          <w:rFonts w:hint="eastAsia" w:eastAsia="仿宋_GB2312" w:cs="Times New Roman"/>
          <w:highlight w:val="none"/>
          <w:lang w:eastAsia="zh-CN"/>
        </w:rPr>
        <w:t>柳州市人民政府印发了</w:t>
      </w:r>
      <w:r>
        <w:rPr>
          <w:rFonts w:eastAsia="仿宋_GB2312" w:cs="Times New Roman"/>
          <w:highlight w:val="none"/>
        </w:rPr>
        <w:t>《</w:t>
      </w:r>
      <w:r>
        <w:rPr>
          <w:rFonts w:hint="eastAsia" w:eastAsia="仿宋_GB2312" w:cs="Times New Roman"/>
          <w:highlight w:val="none"/>
        </w:rPr>
        <w:t>柳州市</w:t>
      </w:r>
      <w:r>
        <w:rPr>
          <w:rFonts w:eastAsia="仿宋_GB2312" w:cs="Times New Roman"/>
          <w:highlight w:val="none"/>
        </w:rPr>
        <w:t>国家生态文明建设示范</w:t>
      </w:r>
      <w:r>
        <w:rPr>
          <w:rFonts w:hint="eastAsia" w:eastAsia="仿宋_GB2312" w:cs="Times New Roman"/>
          <w:highlight w:val="none"/>
        </w:rPr>
        <w:t>市</w:t>
      </w:r>
      <w:r>
        <w:rPr>
          <w:rFonts w:eastAsia="仿宋_GB2312" w:cs="Times New Roman"/>
          <w:highlight w:val="none"/>
        </w:rPr>
        <w:t>规划（2019-20</w:t>
      </w:r>
      <w:r>
        <w:rPr>
          <w:rFonts w:hint="eastAsia" w:eastAsia="仿宋_GB2312" w:cs="Times New Roman"/>
          <w:highlight w:val="none"/>
        </w:rPr>
        <w:t>30年</w:t>
      </w:r>
      <w:r>
        <w:rPr>
          <w:rFonts w:eastAsia="仿宋_GB2312" w:cs="Times New Roman"/>
          <w:highlight w:val="none"/>
        </w:rPr>
        <w:t>）》</w:t>
      </w:r>
      <w:r>
        <w:rPr>
          <w:rFonts w:hint="eastAsia" w:eastAsia="仿宋_GB2312" w:cs="Times New Roman"/>
          <w:highlight w:val="none"/>
          <w:lang w:eastAsia="zh-CN"/>
        </w:rPr>
        <w:t>（柳政</w:t>
      </w:r>
      <w:r>
        <w:rPr>
          <w:rFonts w:hint="default" w:eastAsia="仿宋_GB2312" w:cs="Times New Roman"/>
          <w:highlight w:val="none"/>
          <w:lang w:eastAsia="zh-CN"/>
        </w:rPr>
        <w:t>发﹝</w:t>
      </w:r>
      <w:r>
        <w:rPr>
          <w:rFonts w:hint="default" w:eastAsia="仿宋_GB2312" w:cs="Times New Roman"/>
          <w:highlight w:val="none"/>
          <w:lang w:val="en-US" w:eastAsia="zh-CN"/>
        </w:rPr>
        <w:t>2020﹞13</w:t>
      </w:r>
      <w:r>
        <w:rPr>
          <w:rFonts w:hint="eastAsia" w:eastAsia="仿宋_GB2312" w:cs="Times New Roman"/>
          <w:highlight w:val="none"/>
          <w:lang w:val="en-US" w:eastAsia="zh-CN"/>
        </w:rPr>
        <w:t>号</w:t>
      </w:r>
      <w:r>
        <w:rPr>
          <w:rFonts w:hint="eastAsia" w:eastAsia="仿宋_GB2312" w:cs="Times New Roman"/>
          <w:highlight w:val="none"/>
          <w:lang w:eastAsia="zh-CN"/>
        </w:rPr>
        <w:t>），</w:t>
      </w:r>
      <w:r>
        <w:rPr>
          <w:rFonts w:eastAsia="仿宋_GB2312" w:cs="Times New Roman"/>
          <w:highlight w:val="none"/>
        </w:rPr>
        <w:t>旨在进一步提高</w:t>
      </w:r>
      <w:r>
        <w:rPr>
          <w:rFonts w:hint="eastAsia" w:eastAsia="仿宋_GB2312" w:cs="Times New Roman"/>
          <w:highlight w:val="none"/>
        </w:rPr>
        <w:t>柳州市</w:t>
      </w:r>
      <w:r>
        <w:rPr>
          <w:rFonts w:eastAsia="仿宋_GB2312" w:cs="Times New Roman"/>
          <w:highlight w:val="none"/>
        </w:rPr>
        <w:t>的生态文明建设水平，确保</w:t>
      </w:r>
      <w:r>
        <w:rPr>
          <w:rFonts w:hint="eastAsia" w:eastAsia="仿宋_GB2312" w:cs="Times New Roman"/>
          <w:highlight w:val="none"/>
        </w:rPr>
        <w:t>柳州市</w:t>
      </w:r>
      <w:r>
        <w:rPr>
          <w:rFonts w:eastAsia="仿宋_GB2312" w:cs="Times New Roman"/>
          <w:highlight w:val="none"/>
        </w:rPr>
        <w:t>顺利建成</w:t>
      </w:r>
      <w:r>
        <w:rPr>
          <w:rFonts w:hint="eastAsia" w:eastAsia="仿宋_GB2312" w:cs="Times New Roman"/>
          <w:highlight w:val="none"/>
        </w:rPr>
        <w:t>国家</w:t>
      </w:r>
      <w:r>
        <w:rPr>
          <w:rFonts w:eastAsia="仿宋_GB2312" w:cs="Times New Roman"/>
          <w:highlight w:val="none"/>
        </w:rPr>
        <w:t>生态文明建设示范</w:t>
      </w:r>
      <w:r>
        <w:rPr>
          <w:rFonts w:hint="eastAsia" w:eastAsia="仿宋_GB2312" w:cs="Times New Roman"/>
          <w:highlight w:val="none"/>
        </w:rPr>
        <w:t>市</w:t>
      </w:r>
      <w:r>
        <w:rPr>
          <w:rFonts w:eastAsia="仿宋_GB2312" w:cs="Times New Roman"/>
          <w:highlight w:val="none"/>
        </w:rPr>
        <w:t>。</w:t>
      </w:r>
    </w:p>
    <w:p w14:paraId="2EF68C5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rPr>
          <w:rFonts w:eastAsia="仿宋_GB2312" w:cs="Times New Roman"/>
          <w:highlight w:val="none"/>
        </w:rPr>
      </w:pPr>
      <w:r>
        <w:rPr>
          <w:rFonts w:hint="eastAsia" w:eastAsia="仿宋_GB2312" w:cs="Times New Roman"/>
          <w:highlight w:val="none"/>
          <w:lang w:eastAsia="zh-CN"/>
        </w:rPr>
        <w:t>为深入贯彻落实习近平生态文明思想，全面落实党的二十大、全国生态环境保护大会精神，深入打好污染防治攻坚战，强力推进生态文明示范创建专项行动，以高质量创建成效，打造柳江区国家生态文明建设示范区，柳江区人民政府组织编制了</w:t>
      </w:r>
      <w:r>
        <w:rPr>
          <w:rFonts w:eastAsia="仿宋_GB2312" w:cs="Times New Roman"/>
          <w:highlight w:val="none"/>
        </w:rPr>
        <w:t>《</w:t>
      </w:r>
      <w:r>
        <w:rPr>
          <w:rFonts w:hint="eastAsia" w:eastAsia="仿宋_GB2312" w:cs="Times New Roman"/>
          <w:highlight w:val="none"/>
          <w:lang w:eastAsia="zh-CN"/>
        </w:rPr>
        <w:t>柳江区</w:t>
      </w:r>
      <w:r>
        <w:rPr>
          <w:rFonts w:eastAsia="仿宋_GB2312" w:cs="Times New Roman"/>
          <w:highlight w:val="none"/>
        </w:rPr>
        <w:t>国家生态文明建设示范</w:t>
      </w:r>
      <w:r>
        <w:rPr>
          <w:rFonts w:hint="eastAsia" w:eastAsia="仿宋_GB2312" w:cs="Times New Roman"/>
          <w:highlight w:val="none"/>
          <w:lang w:eastAsia="zh-CN"/>
        </w:rPr>
        <w:t>区</w:t>
      </w:r>
      <w:r>
        <w:rPr>
          <w:rFonts w:eastAsia="仿宋_GB2312" w:cs="Times New Roman"/>
          <w:highlight w:val="none"/>
        </w:rPr>
        <w:t>规划（20</w:t>
      </w:r>
      <w:r>
        <w:rPr>
          <w:rFonts w:hint="eastAsia" w:eastAsia="仿宋_GB2312" w:cs="Times New Roman"/>
          <w:highlight w:val="none"/>
          <w:lang w:val="en-US" w:eastAsia="zh-CN"/>
        </w:rPr>
        <w:t>23</w:t>
      </w:r>
      <w:r>
        <w:rPr>
          <w:rFonts w:eastAsia="仿宋_GB2312" w:cs="Times New Roman"/>
          <w:highlight w:val="none"/>
        </w:rPr>
        <w:t>-2030</w:t>
      </w:r>
      <w:r>
        <w:rPr>
          <w:rFonts w:hint="eastAsia" w:eastAsia="仿宋_GB2312" w:cs="Times New Roman"/>
          <w:highlight w:val="none"/>
        </w:rPr>
        <w:t>年</w:t>
      </w:r>
      <w:r>
        <w:rPr>
          <w:rFonts w:eastAsia="仿宋_GB2312" w:cs="Times New Roman"/>
          <w:highlight w:val="none"/>
        </w:rPr>
        <w:t>）》</w:t>
      </w:r>
      <w:r>
        <w:rPr>
          <w:rFonts w:hint="eastAsia" w:eastAsia="仿宋_GB2312" w:cs="Times New Roman"/>
          <w:highlight w:val="none"/>
          <w:lang w:eastAsia="zh-CN"/>
        </w:rPr>
        <w:t>。</w:t>
      </w:r>
      <w:r>
        <w:rPr>
          <w:rFonts w:eastAsia="仿宋_GB2312" w:cs="Times New Roman"/>
          <w:highlight w:val="none"/>
        </w:rPr>
        <w:t>规划按照国家生态文明建设总体部署要求，全面分析了</w:t>
      </w:r>
      <w:r>
        <w:rPr>
          <w:rFonts w:hint="eastAsia" w:eastAsia="仿宋_GB2312" w:cs="Times New Roman"/>
          <w:highlight w:val="none"/>
          <w:lang w:eastAsia="zh-CN"/>
        </w:rPr>
        <w:t>柳江区</w:t>
      </w:r>
      <w:r>
        <w:rPr>
          <w:rFonts w:eastAsia="仿宋_GB2312" w:cs="Times New Roman"/>
          <w:highlight w:val="none"/>
        </w:rPr>
        <w:t>生态文明建设的基础与条件，提出了生态文明建设的指导思想、基本原则和预期目标，明确了生态文明示范</w:t>
      </w:r>
      <w:r>
        <w:rPr>
          <w:rFonts w:hint="eastAsia" w:eastAsia="仿宋_GB2312" w:cs="Times New Roman"/>
          <w:highlight w:val="none"/>
          <w:lang w:eastAsia="zh-CN"/>
        </w:rPr>
        <w:t>区</w:t>
      </w:r>
      <w:r>
        <w:rPr>
          <w:rFonts w:eastAsia="仿宋_GB2312" w:cs="Times New Roman"/>
          <w:highlight w:val="none"/>
        </w:rPr>
        <w:t>创建的主要任务和重点建设项目，</w:t>
      </w:r>
      <w:r>
        <w:rPr>
          <w:rFonts w:hint="eastAsia" w:eastAsia="仿宋_GB2312" w:cs="Times New Roman"/>
          <w:highlight w:val="none"/>
          <w:lang w:eastAsia="zh-CN"/>
        </w:rPr>
        <w:t>并</w:t>
      </w:r>
      <w:r>
        <w:rPr>
          <w:rFonts w:eastAsia="仿宋_GB2312" w:cs="Times New Roman"/>
          <w:highlight w:val="none"/>
        </w:rPr>
        <w:t>提出</w:t>
      </w:r>
      <w:r>
        <w:rPr>
          <w:rFonts w:hint="eastAsia" w:eastAsia="仿宋_GB2312" w:cs="Times New Roman"/>
          <w:highlight w:val="none"/>
        </w:rPr>
        <w:t>对</w:t>
      </w:r>
      <w:r>
        <w:rPr>
          <w:rFonts w:eastAsia="仿宋_GB2312" w:cs="Times New Roman"/>
          <w:highlight w:val="none"/>
        </w:rPr>
        <w:t>策措施</w:t>
      </w:r>
      <w:r>
        <w:rPr>
          <w:rFonts w:hint="eastAsia" w:eastAsia="仿宋_GB2312" w:cs="Times New Roman"/>
          <w:highlight w:val="none"/>
        </w:rPr>
        <w:t>，</w:t>
      </w:r>
      <w:r>
        <w:rPr>
          <w:rFonts w:hint="eastAsia" w:eastAsia="仿宋_GB2312" w:cs="Times New Roman"/>
          <w:highlight w:val="none"/>
          <w:lang w:eastAsia="zh-CN"/>
        </w:rPr>
        <w:t>旨在指导和保障柳江区顺利</w:t>
      </w:r>
      <w:r>
        <w:rPr>
          <w:rFonts w:eastAsia="仿宋_GB2312" w:cs="Times New Roman"/>
          <w:highlight w:val="none"/>
        </w:rPr>
        <w:t>建成</w:t>
      </w:r>
      <w:r>
        <w:rPr>
          <w:rFonts w:hint="eastAsia" w:eastAsia="仿宋_GB2312" w:cs="Times New Roman"/>
          <w:highlight w:val="none"/>
        </w:rPr>
        <w:t>国家</w:t>
      </w:r>
      <w:r>
        <w:rPr>
          <w:rFonts w:eastAsia="仿宋_GB2312" w:cs="Times New Roman"/>
          <w:highlight w:val="none"/>
        </w:rPr>
        <w:t>生态文明建设示范</w:t>
      </w:r>
      <w:r>
        <w:rPr>
          <w:rFonts w:hint="eastAsia" w:eastAsia="仿宋_GB2312" w:cs="Times New Roman"/>
          <w:highlight w:val="none"/>
          <w:lang w:eastAsia="zh-CN"/>
        </w:rPr>
        <w:t>区</w:t>
      </w:r>
      <w:r>
        <w:rPr>
          <w:rFonts w:eastAsia="仿宋_GB2312" w:cs="Times New Roman"/>
          <w:highlight w:val="none"/>
        </w:rPr>
        <w:t>。</w:t>
      </w:r>
    </w:p>
    <w:p w14:paraId="4A7DFFE6">
      <w:pPr>
        <w:pStyle w:val="2"/>
        <w:pageBreakBefore w:val="0"/>
        <w:kinsoku/>
        <w:wordWrap/>
        <w:overflowPunct/>
        <w:topLinePunct w:val="0"/>
        <w:autoSpaceDE/>
        <w:autoSpaceDN/>
        <w:bidi w:val="0"/>
        <w:ind w:left="0" w:leftChars="0" w:right="0" w:rightChars="0" w:firstLine="723"/>
        <w:rPr>
          <w:rFonts w:ascii="黑体" w:hAnsi="黑体" w:eastAsia="黑体"/>
          <w:b/>
          <w:sz w:val="36"/>
          <w:szCs w:val="36"/>
          <w:highlight w:val="yellow"/>
        </w:rPr>
      </w:pPr>
    </w:p>
    <w:p w14:paraId="2C26B0EA">
      <w:pPr>
        <w:pStyle w:val="2"/>
        <w:pageBreakBefore w:val="0"/>
        <w:kinsoku/>
        <w:wordWrap/>
        <w:overflowPunct/>
        <w:topLinePunct w:val="0"/>
        <w:autoSpaceDE/>
        <w:autoSpaceDN/>
        <w:bidi w:val="0"/>
        <w:ind w:left="0" w:leftChars="0" w:right="0" w:rightChars="0" w:firstLine="723"/>
        <w:rPr>
          <w:rFonts w:ascii="黑体" w:hAnsi="黑体" w:eastAsia="黑体"/>
          <w:b/>
          <w:sz w:val="36"/>
          <w:szCs w:val="36"/>
          <w:highlight w:val="yellow"/>
        </w:rPr>
      </w:pPr>
    </w:p>
    <w:p w14:paraId="51DBAE16">
      <w:pPr>
        <w:pStyle w:val="2"/>
        <w:pageBreakBefore w:val="0"/>
        <w:kinsoku/>
        <w:wordWrap/>
        <w:overflowPunct/>
        <w:topLinePunct w:val="0"/>
        <w:autoSpaceDE/>
        <w:autoSpaceDN/>
        <w:bidi w:val="0"/>
        <w:ind w:left="0" w:leftChars="0" w:right="0" w:rightChars="0" w:firstLine="723"/>
        <w:rPr>
          <w:rFonts w:ascii="黑体" w:hAnsi="黑体" w:eastAsia="黑体"/>
          <w:b/>
          <w:sz w:val="36"/>
          <w:szCs w:val="36"/>
          <w:highlight w:val="yellow"/>
        </w:rPr>
        <w:sectPr>
          <w:footerReference r:id="rId12" w:type="default"/>
          <w:pgSz w:w="11905" w:h="16838"/>
          <w:pgMar w:top="2098" w:right="1474" w:bottom="1984" w:left="1587" w:header="1417" w:footer="1304" w:gutter="0"/>
          <w:pgNumType w:fmt="upperRoman" w:start="1"/>
          <w:cols w:space="0" w:num="1"/>
          <w:rtlGutter w:val="0"/>
          <w:docGrid w:type="linesAndChars" w:linePitch="439" w:charSpace="1433"/>
        </w:sectPr>
      </w:pPr>
    </w:p>
    <w:p w14:paraId="2AAC801D">
      <w:pPr>
        <w:spacing w:line="360" w:lineRule="auto"/>
        <w:ind w:firstLine="0" w:firstLineChars="0"/>
        <w:jc w:val="center"/>
        <w:rPr>
          <w:rFonts w:hint="eastAsia" w:ascii="Times New Roman" w:hAnsi="Times New Roman" w:eastAsia="仿宋_GB2312" w:cs="Times New Roman"/>
          <w:b/>
          <w:bCs w:val="0"/>
          <w:color w:val="auto"/>
          <w:sz w:val="32"/>
          <w:szCs w:val="32"/>
          <w:u w:val="none" w:color="auto"/>
        </w:rPr>
      </w:pPr>
      <w:r>
        <w:rPr>
          <w:rFonts w:hint="eastAsia" w:ascii="Times New Roman" w:hAnsi="Times New Roman" w:eastAsia="仿宋_GB2312" w:cs="Times New Roman"/>
          <w:b/>
          <w:bCs w:val="0"/>
          <w:color w:val="auto"/>
          <w:sz w:val="32"/>
          <w:szCs w:val="32"/>
          <w:u w:val="none" w:color="auto"/>
        </w:rPr>
        <w:t>目  录</w:t>
      </w:r>
    </w:p>
    <w:p w14:paraId="0C4FD211">
      <w:pPr>
        <w:pStyle w:val="20"/>
        <w:keepNext w:val="0"/>
        <w:keepLines w:val="0"/>
        <w:pageBreakBefore w:val="0"/>
        <w:widowControl w:val="0"/>
        <w:tabs>
          <w:tab w:val="right" w:leader="dot" w:pos="8278"/>
          <w:tab w:val="clear" w:pos="8296"/>
        </w:tabs>
        <w:kinsoku/>
        <w:wordWrap/>
        <w:overflowPunct/>
        <w:topLinePunct w:val="0"/>
        <w:autoSpaceDE/>
        <w:autoSpaceDN/>
        <w:bidi w:val="0"/>
        <w:adjustRightInd/>
        <w:snapToGrid/>
        <w:spacing w:line="450" w:lineRule="exact"/>
        <w:textAlignment w:val="auto"/>
        <w:rPr>
          <w:rFonts w:hint="default" w:ascii="Times New Roman" w:hAnsi="Times New Roman" w:eastAsia="仿宋" w:cs="Times New Roman"/>
          <w:b w:val="0"/>
          <w:bCs/>
          <w:sz w:val="28"/>
          <w:szCs w:val="28"/>
        </w:rPr>
      </w:pPr>
      <w:r>
        <w:rPr>
          <w:rFonts w:hint="default" w:ascii="Times New Roman" w:hAnsi="Times New Roman" w:eastAsia="仿宋" w:cs="Times New Roman"/>
          <w:b w:val="0"/>
          <w:bCs/>
          <w:sz w:val="28"/>
          <w:szCs w:val="28"/>
          <w:highlight w:val="yellow"/>
        </w:rPr>
        <w:fldChar w:fldCharType="begin"/>
      </w:r>
      <w:r>
        <w:rPr>
          <w:rFonts w:hint="default" w:ascii="Times New Roman" w:hAnsi="Times New Roman" w:eastAsia="仿宋" w:cs="Times New Roman"/>
          <w:b w:val="0"/>
          <w:bCs/>
          <w:sz w:val="28"/>
          <w:szCs w:val="28"/>
          <w:highlight w:val="yellow"/>
        </w:rPr>
        <w:instrText xml:space="preserve">TOC \o "1-2" \h \u </w:instrText>
      </w:r>
      <w:r>
        <w:rPr>
          <w:rFonts w:hint="default" w:ascii="Times New Roman" w:hAnsi="Times New Roman" w:eastAsia="仿宋" w:cs="Times New Roman"/>
          <w:b w:val="0"/>
          <w:bCs/>
          <w:sz w:val="28"/>
          <w:szCs w:val="28"/>
          <w:highlight w:val="yellow"/>
        </w:rPr>
        <w:fldChar w:fldCharType="separate"/>
      </w:r>
      <w:r>
        <w:rPr>
          <w:rFonts w:hint="default" w:ascii="Times New Roman" w:hAnsi="Times New Roman" w:eastAsia="仿宋" w:cs="Times New Roman"/>
          <w:b w:val="0"/>
          <w:bCs/>
          <w:sz w:val="28"/>
          <w:szCs w:val="28"/>
          <w:highlight w:val="yellow"/>
        </w:rPr>
        <w:fldChar w:fldCharType="begin"/>
      </w:r>
      <w:r>
        <w:rPr>
          <w:rFonts w:hint="default" w:ascii="Times New Roman" w:hAnsi="Times New Roman" w:eastAsia="仿宋" w:cs="Times New Roman"/>
          <w:b w:val="0"/>
          <w:bCs/>
          <w:sz w:val="28"/>
          <w:szCs w:val="28"/>
          <w:highlight w:val="yellow"/>
        </w:rPr>
        <w:instrText xml:space="preserve"> HYPERLINK \l _Toc13088 </w:instrText>
      </w:r>
      <w:r>
        <w:rPr>
          <w:rFonts w:hint="default" w:ascii="Times New Roman" w:hAnsi="Times New Roman" w:eastAsia="仿宋" w:cs="Times New Roman"/>
          <w:b w:val="0"/>
          <w:bCs/>
          <w:sz w:val="28"/>
          <w:szCs w:val="28"/>
          <w:highlight w:val="yellow"/>
        </w:rPr>
        <w:fldChar w:fldCharType="separate"/>
      </w:r>
      <w:r>
        <w:rPr>
          <w:rFonts w:hint="default" w:ascii="Times New Roman" w:hAnsi="Times New Roman" w:eastAsia="仿宋" w:cs="Times New Roman"/>
          <w:b w:val="0"/>
          <w:bCs/>
          <w:sz w:val="28"/>
          <w:szCs w:val="28"/>
          <w:highlight w:val="none"/>
        </w:rPr>
        <w:t>前  言</w:t>
      </w:r>
      <w:r>
        <w:rPr>
          <w:rFonts w:hint="default" w:ascii="Times New Roman" w:hAnsi="Times New Roman" w:eastAsia="仿宋" w:cs="Times New Roman"/>
          <w:b w:val="0"/>
          <w:bCs/>
          <w:sz w:val="28"/>
          <w:szCs w:val="28"/>
        </w:rPr>
        <w:tab/>
      </w:r>
      <w:r>
        <w:rPr>
          <w:rFonts w:hint="default" w:ascii="Times New Roman" w:hAnsi="Times New Roman" w:eastAsia="仿宋" w:cs="Times New Roman"/>
          <w:b w:val="0"/>
          <w:bCs/>
          <w:sz w:val="28"/>
          <w:szCs w:val="28"/>
        </w:rPr>
        <w:fldChar w:fldCharType="begin"/>
      </w:r>
      <w:r>
        <w:rPr>
          <w:rFonts w:hint="default" w:ascii="Times New Roman" w:hAnsi="Times New Roman" w:eastAsia="仿宋" w:cs="Times New Roman"/>
          <w:b w:val="0"/>
          <w:bCs/>
          <w:sz w:val="28"/>
          <w:szCs w:val="28"/>
        </w:rPr>
        <w:instrText xml:space="preserve"> PAGEREF _Toc13088 \h </w:instrText>
      </w:r>
      <w:r>
        <w:rPr>
          <w:rFonts w:hint="default" w:ascii="Times New Roman" w:hAnsi="Times New Roman" w:eastAsia="仿宋" w:cs="Times New Roman"/>
          <w:b w:val="0"/>
          <w:bCs/>
          <w:sz w:val="28"/>
          <w:szCs w:val="28"/>
        </w:rPr>
        <w:fldChar w:fldCharType="separate"/>
      </w:r>
      <w:r>
        <w:rPr>
          <w:rFonts w:hint="default" w:ascii="Times New Roman" w:hAnsi="Times New Roman" w:eastAsia="仿宋" w:cs="Times New Roman"/>
          <w:b w:val="0"/>
          <w:bCs/>
          <w:sz w:val="28"/>
          <w:szCs w:val="28"/>
        </w:rPr>
        <w:t>I</w:t>
      </w:r>
      <w:r>
        <w:rPr>
          <w:rFonts w:hint="default" w:ascii="Times New Roman" w:hAnsi="Times New Roman" w:eastAsia="仿宋" w:cs="Times New Roman"/>
          <w:b w:val="0"/>
          <w:bCs/>
          <w:sz w:val="28"/>
          <w:szCs w:val="28"/>
        </w:rPr>
        <w:fldChar w:fldCharType="end"/>
      </w:r>
      <w:r>
        <w:rPr>
          <w:rFonts w:hint="default" w:ascii="Times New Roman" w:hAnsi="Times New Roman" w:eastAsia="仿宋" w:cs="Times New Roman"/>
          <w:b w:val="0"/>
          <w:bCs/>
          <w:sz w:val="28"/>
          <w:szCs w:val="28"/>
          <w:highlight w:val="yellow"/>
        </w:rPr>
        <w:fldChar w:fldCharType="end"/>
      </w:r>
    </w:p>
    <w:p w14:paraId="0EDF13AB">
      <w:pPr>
        <w:pStyle w:val="20"/>
        <w:keepNext w:val="0"/>
        <w:keepLines w:val="0"/>
        <w:pageBreakBefore w:val="0"/>
        <w:widowControl w:val="0"/>
        <w:tabs>
          <w:tab w:val="right" w:leader="dot" w:pos="8278"/>
          <w:tab w:val="clear" w:pos="8296"/>
        </w:tabs>
        <w:kinsoku/>
        <w:wordWrap/>
        <w:overflowPunct/>
        <w:topLinePunct w:val="0"/>
        <w:autoSpaceDE/>
        <w:autoSpaceDN/>
        <w:bidi w:val="0"/>
        <w:adjustRightInd/>
        <w:snapToGrid/>
        <w:spacing w:line="450" w:lineRule="exact"/>
        <w:textAlignment w:val="auto"/>
        <w:rPr>
          <w:rFonts w:hint="default" w:ascii="Times New Roman" w:hAnsi="Times New Roman" w:eastAsia="仿宋" w:cs="Times New Roman"/>
          <w:b w:val="0"/>
          <w:bCs/>
          <w:sz w:val="28"/>
          <w:szCs w:val="28"/>
        </w:rPr>
      </w:pPr>
      <w:r>
        <w:rPr>
          <w:rFonts w:hint="default" w:ascii="Times New Roman" w:hAnsi="Times New Roman" w:eastAsia="仿宋" w:cs="Times New Roman"/>
          <w:b w:val="0"/>
          <w:bCs/>
          <w:sz w:val="28"/>
          <w:szCs w:val="28"/>
          <w:highlight w:val="yellow"/>
        </w:rPr>
        <w:fldChar w:fldCharType="begin"/>
      </w:r>
      <w:r>
        <w:rPr>
          <w:rFonts w:hint="default" w:ascii="Times New Roman" w:hAnsi="Times New Roman" w:eastAsia="仿宋" w:cs="Times New Roman"/>
          <w:b w:val="0"/>
          <w:bCs/>
          <w:sz w:val="28"/>
          <w:szCs w:val="28"/>
          <w:highlight w:val="yellow"/>
        </w:rPr>
        <w:instrText xml:space="preserve"> HYPERLINK \l _Toc19509 </w:instrText>
      </w:r>
      <w:r>
        <w:rPr>
          <w:rFonts w:hint="default" w:ascii="Times New Roman" w:hAnsi="Times New Roman" w:eastAsia="仿宋" w:cs="Times New Roman"/>
          <w:b w:val="0"/>
          <w:bCs/>
          <w:sz w:val="28"/>
          <w:szCs w:val="28"/>
          <w:highlight w:val="yellow"/>
        </w:rPr>
        <w:fldChar w:fldCharType="separate"/>
      </w:r>
      <w:r>
        <w:rPr>
          <w:rFonts w:hint="default" w:ascii="Times New Roman" w:hAnsi="Times New Roman" w:eastAsia="仿宋" w:cs="Times New Roman"/>
          <w:b w:val="0"/>
          <w:bCs/>
          <w:sz w:val="28"/>
          <w:szCs w:val="28"/>
          <w:highlight w:val="none"/>
        </w:rPr>
        <w:t xml:space="preserve">第一章  </w:t>
      </w:r>
      <w:r>
        <w:rPr>
          <w:rFonts w:hint="default" w:ascii="Times New Roman" w:hAnsi="Times New Roman" w:eastAsia="仿宋" w:cs="Times New Roman"/>
          <w:b w:val="0"/>
          <w:bCs/>
          <w:sz w:val="28"/>
          <w:szCs w:val="28"/>
          <w:highlight w:val="none"/>
          <w:lang w:eastAsia="zh-CN"/>
        </w:rPr>
        <w:t>工作基础与形势分析</w:t>
      </w:r>
      <w:r>
        <w:rPr>
          <w:rFonts w:hint="default" w:ascii="Times New Roman" w:hAnsi="Times New Roman" w:eastAsia="仿宋" w:cs="Times New Roman"/>
          <w:b w:val="0"/>
          <w:bCs/>
          <w:sz w:val="28"/>
          <w:szCs w:val="28"/>
        </w:rPr>
        <w:tab/>
      </w:r>
      <w:r>
        <w:rPr>
          <w:rFonts w:hint="default" w:ascii="Times New Roman" w:hAnsi="Times New Roman" w:eastAsia="仿宋" w:cs="Times New Roman"/>
          <w:b w:val="0"/>
          <w:bCs/>
          <w:sz w:val="28"/>
          <w:szCs w:val="28"/>
        </w:rPr>
        <w:fldChar w:fldCharType="begin"/>
      </w:r>
      <w:r>
        <w:rPr>
          <w:rFonts w:hint="default" w:ascii="Times New Roman" w:hAnsi="Times New Roman" w:eastAsia="仿宋" w:cs="Times New Roman"/>
          <w:b w:val="0"/>
          <w:bCs/>
          <w:sz w:val="28"/>
          <w:szCs w:val="28"/>
        </w:rPr>
        <w:instrText xml:space="preserve"> PAGEREF _Toc19509 \h </w:instrText>
      </w:r>
      <w:r>
        <w:rPr>
          <w:rFonts w:hint="default" w:ascii="Times New Roman" w:hAnsi="Times New Roman" w:eastAsia="仿宋" w:cs="Times New Roman"/>
          <w:b w:val="0"/>
          <w:bCs/>
          <w:sz w:val="28"/>
          <w:szCs w:val="28"/>
        </w:rPr>
        <w:fldChar w:fldCharType="separate"/>
      </w:r>
      <w:r>
        <w:rPr>
          <w:rFonts w:hint="default" w:ascii="Times New Roman" w:hAnsi="Times New Roman" w:eastAsia="仿宋" w:cs="Times New Roman"/>
          <w:b w:val="0"/>
          <w:bCs/>
          <w:sz w:val="28"/>
          <w:szCs w:val="28"/>
        </w:rPr>
        <w:t>1</w:t>
      </w:r>
      <w:r>
        <w:rPr>
          <w:rFonts w:hint="default" w:ascii="Times New Roman" w:hAnsi="Times New Roman" w:eastAsia="仿宋" w:cs="Times New Roman"/>
          <w:b w:val="0"/>
          <w:bCs/>
          <w:sz w:val="28"/>
          <w:szCs w:val="28"/>
        </w:rPr>
        <w:fldChar w:fldCharType="end"/>
      </w:r>
      <w:r>
        <w:rPr>
          <w:rFonts w:hint="default" w:ascii="Times New Roman" w:hAnsi="Times New Roman" w:eastAsia="仿宋" w:cs="Times New Roman"/>
          <w:b w:val="0"/>
          <w:bCs/>
          <w:sz w:val="28"/>
          <w:szCs w:val="28"/>
          <w:highlight w:val="yellow"/>
        </w:rPr>
        <w:fldChar w:fldCharType="end"/>
      </w:r>
    </w:p>
    <w:p w14:paraId="7592C53F">
      <w:pPr>
        <w:pStyle w:val="21"/>
        <w:keepNext w:val="0"/>
        <w:keepLines w:val="0"/>
        <w:pageBreakBefore w:val="0"/>
        <w:widowControl w:val="0"/>
        <w:tabs>
          <w:tab w:val="right" w:leader="dot" w:pos="8278"/>
        </w:tabs>
        <w:kinsoku/>
        <w:wordWrap/>
        <w:overflowPunct/>
        <w:topLinePunct w:val="0"/>
        <w:autoSpaceDE/>
        <w:autoSpaceDN/>
        <w:bidi w:val="0"/>
        <w:adjustRightInd/>
        <w:snapToGrid/>
        <w:spacing w:line="450" w:lineRule="exact"/>
        <w:ind w:firstLine="0" w:firstLineChars="0"/>
        <w:textAlignment w:val="auto"/>
        <w:rPr>
          <w:rFonts w:hint="default" w:ascii="Times New Roman" w:hAnsi="Times New Roman" w:eastAsia="仿宋" w:cs="Times New Roman"/>
          <w:b w:val="0"/>
          <w:bCs/>
          <w:sz w:val="28"/>
          <w:szCs w:val="28"/>
        </w:rPr>
      </w:pPr>
      <w:r>
        <w:rPr>
          <w:rFonts w:hint="default" w:ascii="Times New Roman" w:hAnsi="Times New Roman" w:eastAsia="仿宋" w:cs="Times New Roman"/>
          <w:b w:val="0"/>
          <w:bCs/>
          <w:sz w:val="28"/>
          <w:szCs w:val="28"/>
          <w:highlight w:val="yellow"/>
        </w:rPr>
        <w:fldChar w:fldCharType="begin"/>
      </w:r>
      <w:r>
        <w:rPr>
          <w:rFonts w:hint="default" w:ascii="Times New Roman" w:hAnsi="Times New Roman" w:eastAsia="仿宋" w:cs="Times New Roman"/>
          <w:b w:val="0"/>
          <w:bCs/>
          <w:sz w:val="28"/>
          <w:szCs w:val="28"/>
          <w:highlight w:val="yellow"/>
        </w:rPr>
        <w:instrText xml:space="preserve"> HYPERLINK \l _Toc24890 </w:instrText>
      </w:r>
      <w:r>
        <w:rPr>
          <w:rFonts w:hint="default" w:ascii="Times New Roman" w:hAnsi="Times New Roman" w:eastAsia="仿宋" w:cs="Times New Roman"/>
          <w:b w:val="0"/>
          <w:bCs/>
          <w:sz w:val="28"/>
          <w:szCs w:val="28"/>
          <w:highlight w:val="yellow"/>
        </w:rPr>
        <w:fldChar w:fldCharType="separate"/>
      </w:r>
      <w:r>
        <w:rPr>
          <w:rFonts w:hint="default" w:ascii="Times New Roman" w:hAnsi="Times New Roman" w:eastAsia="仿宋" w:cs="Times New Roman"/>
          <w:b w:val="0"/>
          <w:bCs/>
          <w:sz w:val="28"/>
          <w:szCs w:val="28"/>
          <w:highlight w:val="none"/>
        </w:rPr>
        <w:t>一、</w:t>
      </w:r>
      <w:r>
        <w:rPr>
          <w:rFonts w:hint="default" w:ascii="Times New Roman" w:hAnsi="Times New Roman" w:eastAsia="仿宋" w:cs="Times New Roman"/>
          <w:b w:val="0"/>
          <w:bCs/>
          <w:sz w:val="28"/>
          <w:szCs w:val="28"/>
          <w:highlight w:val="none"/>
          <w:lang w:eastAsia="zh-CN"/>
        </w:rPr>
        <w:t>建设基础</w:t>
      </w:r>
      <w:r>
        <w:rPr>
          <w:rFonts w:hint="default" w:ascii="Times New Roman" w:hAnsi="Times New Roman" w:eastAsia="仿宋" w:cs="Times New Roman"/>
          <w:b w:val="0"/>
          <w:bCs/>
          <w:sz w:val="28"/>
          <w:szCs w:val="28"/>
        </w:rPr>
        <w:tab/>
      </w:r>
      <w:r>
        <w:rPr>
          <w:rFonts w:hint="default" w:ascii="Times New Roman" w:hAnsi="Times New Roman" w:eastAsia="仿宋" w:cs="Times New Roman"/>
          <w:b w:val="0"/>
          <w:bCs/>
          <w:sz w:val="28"/>
          <w:szCs w:val="28"/>
        </w:rPr>
        <w:fldChar w:fldCharType="begin"/>
      </w:r>
      <w:r>
        <w:rPr>
          <w:rFonts w:hint="default" w:ascii="Times New Roman" w:hAnsi="Times New Roman" w:eastAsia="仿宋" w:cs="Times New Roman"/>
          <w:b w:val="0"/>
          <w:bCs/>
          <w:sz w:val="28"/>
          <w:szCs w:val="28"/>
        </w:rPr>
        <w:instrText xml:space="preserve"> PAGEREF _Toc24890 \h </w:instrText>
      </w:r>
      <w:r>
        <w:rPr>
          <w:rFonts w:hint="default" w:ascii="Times New Roman" w:hAnsi="Times New Roman" w:eastAsia="仿宋" w:cs="Times New Roman"/>
          <w:b w:val="0"/>
          <w:bCs/>
          <w:sz w:val="28"/>
          <w:szCs w:val="28"/>
        </w:rPr>
        <w:fldChar w:fldCharType="separate"/>
      </w:r>
      <w:r>
        <w:rPr>
          <w:rFonts w:hint="default" w:ascii="Times New Roman" w:hAnsi="Times New Roman" w:eastAsia="仿宋" w:cs="Times New Roman"/>
          <w:b w:val="0"/>
          <w:bCs/>
          <w:sz w:val="28"/>
          <w:szCs w:val="28"/>
        </w:rPr>
        <w:t>1</w:t>
      </w:r>
      <w:r>
        <w:rPr>
          <w:rFonts w:hint="default" w:ascii="Times New Roman" w:hAnsi="Times New Roman" w:eastAsia="仿宋" w:cs="Times New Roman"/>
          <w:b w:val="0"/>
          <w:bCs/>
          <w:sz w:val="28"/>
          <w:szCs w:val="28"/>
        </w:rPr>
        <w:fldChar w:fldCharType="end"/>
      </w:r>
      <w:r>
        <w:rPr>
          <w:rFonts w:hint="default" w:ascii="Times New Roman" w:hAnsi="Times New Roman" w:eastAsia="仿宋" w:cs="Times New Roman"/>
          <w:b w:val="0"/>
          <w:bCs/>
          <w:sz w:val="28"/>
          <w:szCs w:val="28"/>
          <w:highlight w:val="yellow"/>
        </w:rPr>
        <w:fldChar w:fldCharType="end"/>
      </w:r>
    </w:p>
    <w:p w14:paraId="4C9109AE">
      <w:pPr>
        <w:pStyle w:val="21"/>
        <w:keepNext w:val="0"/>
        <w:keepLines w:val="0"/>
        <w:pageBreakBefore w:val="0"/>
        <w:widowControl w:val="0"/>
        <w:tabs>
          <w:tab w:val="right" w:leader="dot" w:pos="8278"/>
        </w:tabs>
        <w:kinsoku/>
        <w:wordWrap/>
        <w:overflowPunct/>
        <w:topLinePunct w:val="0"/>
        <w:autoSpaceDE/>
        <w:autoSpaceDN/>
        <w:bidi w:val="0"/>
        <w:adjustRightInd/>
        <w:snapToGrid/>
        <w:spacing w:line="450" w:lineRule="exact"/>
        <w:ind w:firstLine="0" w:firstLineChars="0"/>
        <w:textAlignment w:val="auto"/>
        <w:rPr>
          <w:rFonts w:hint="default" w:ascii="Times New Roman" w:hAnsi="Times New Roman" w:eastAsia="仿宋" w:cs="Times New Roman"/>
          <w:b w:val="0"/>
          <w:bCs/>
          <w:sz w:val="28"/>
          <w:szCs w:val="28"/>
        </w:rPr>
      </w:pPr>
      <w:r>
        <w:rPr>
          <w:rFonts w:hint="default" w:ascii="Times New Roman" w:hAnsi="Times New Roman" w:eastAsia="仿宋" w:cs="Times New Roman"/>
          <w:b w:val="0"/>
          <w:bCs/>
          <w:sz w:val="28"/>
          <w:szCs w:val="28"/>
          <w:highlight w:val="yellow"/>
        </w:rPr>
        <w:fldChar w:fldCharType="begin"/>
      </w:r>
      <w:r>
        <w:rPr>
          <w:rFonts w:hint="default" w:ascii="Times New Roman" w:hAnsi="Times New Roman" w:eastAsia="仿宋" w:cs="Times New Roman"/>
          <w:b w:val="0"/>
          <w:bCs/>
          <w:sz w:val="28"/>
          <w:szCs w:val="28"/>
          <w:highlight w:val="yellow"/>
        </w:rPr>
        <w:instrText xml:space="preserve"> HYPERLINK \l _Toc19795 </w:instrText>
      </w:r>
      <w:r>
        <w:rPr>
          <w:rFonts w:hint="default" w:ascii="Times New Roman" w:hAnsi="Times New Roman" w:eastAsia="仿宋" w:cs="Times New Roman"/>
          <w:b w:val="0"/>
          <w:bCs/>
          <w:sz w:val="28"/>
          <w:szCs w:val="28"/>
          <w:highlight w:val="yellow"/>
        </w:rPr>
        <w:fldChar w:fldCharType="separate"/>
      </w:r>
      <w:r>
        <w:rPr>
          <w:rFonts w:hint="default" w:ascii="Times New Roman" w:hAnsi="Times New Roman" w:eastAsia="仿宋" w:cs="Times New Roman"/>
          <w:b w:val="0"/>
          <w:bCs/>
          <w:sz w:val="28"/>
          <w:szCs w:val="28"/>
          <w:highlight w:val="none"/>
        </w:rPr>
        <w:t>二、</w:t>
      </w:r>
      <w:r>
        <w:rPr>
          <w:rFonts w:hint="default" w:ascii="Times New Roman" w:hAnsi="Times New Roman" w:eastAsia="仿宋" w:cs="Times New Roman"/>
          <w:b w:val="0"/>
          <w:bCs/>
          <w:sz w:val="28"/>
          <w:szCs w:val="28"/>
          <w:highlight w:val="none"/>
          <w:lang w:eastAsia="zh-CN"/>
        </w:rPr>
        <w:t>存在问题与机遇挑战</w:t>
      </w:r>
      <w:r>
        <w:rPr>
          <w:rFonts w:hint="default" w:ascii="Times New Roman" w:hAnsi="Times New Roman" w:eastAsia="仿宋" w:cs="Times New Roman"/>
          <w:b w:val="0"/>
          <w:bCs/>
          <w:sz w:val="28"/>
          <w:szCs w:val="28"/>
        </w:rPr>
        <w:tab/>
      </w:r>
      <w:r>
        <w:rPr>
          <w:rFonts w:hint="default" w:ascii="Times New Roman" w:hAnsi="Times New Roman" w:eastAsia="仿宋" w:cs="Times New Roman"/>
          <w:b w:val="0"/>
          <w:bCs/>
          <w:sz w:val="28"/>
          <w:szCs w:val="28"/>
        </w:rPr>
        <w:fldChar w:fldCharType="begin"/>
      </w:r>
      <w:r>
        <w:rPr>
          <w:rFonts w:hint="default" w:ascii="Times New Roman" w:hAnsi="Times New Roman" w:eastAsia="仿宋" w:cs="Times New Roman"/>
          <w:b w:val="0"/>
          <w:bCs/>
          <w:sz w:val="28"/>
          <w:szCs w:val="28"/>
        </w:rPr>
        <w:instrText xml:space="preserve"> PAGEREF _Toc19795 \h </w:instrText>
      </w:r>
      <w:r>
        <w:rPr>
          <w:rFonts w:hint="default" w:ascii="Times New Roman" w:hAnsi="Times New Roman" w:eastAsia="仿宋" w:cs="Times New Roman"/>
          <w:b w:val="0"/>
          <w:bCs/>
          <w:sz w:val="28"/>
          <w:szCs w:val="28"/>
        </w:rPr>
        <w:fldChar w:fldCharType="separate"/>
      </w:r>
      <w:r>
        <w:rPr>
          <w:rFonts w:hint="default" w:ascii="Times New Roman" w:hAnsi="Times New Roman" w:eastAsia="仿宋" w:cs="Times New Roman"/>
          <w:b w:val="0"/>
          <w:bCs/>
          <w:sz w:val="28"/>
          <w:szCs w:val="28"/>
        </w:rPr>
        <w:t>5</w:t>
      </w:r>
      <w:r>
        <w:rPr>
          <w:rFonts w:hint="default" w:ascii="Times New Roman" w:hAnsi="Times New Roman" w:eastAsia="仿宋" w:cs="Times New Roman"/>
          <w:b w:val="0"/>
          <w:bCs/>
          <w:sz w:val="28"/>
          <w:szCs w:val="28"/>
        </w:rPr>
        <w:fldChar w:fldCharType="end"/>
      </w:r>
      <w:r>
        <w:rPr>
          <w:rFonts w:hint="default" w:ascii="Times New Roman" w:hAnsi="Times New Roman" w:eastAsia="仿宋" w:cs="Times New Roman"/>
          <w:b w:val="0"/>
          <w:bCs/>
          <w:sz w:val="28"/>
          <w:szCs w:val="28"/>
          <w:highlight w:val="yellow"/>
        </w:rPr>
        <w:fldChar w:fldCharType="end"/>
      </w:r>
    </w:p>
    <w:p w14:paraId="64BAA007">
      <w:pPr>
        <w:pStyle w:val="20"/>
        <w:keepNext w:val="0"/>
        <w:keepLines w:val="0"/>
        <w:pageBreakBefore w:val="0"/>
        <w:widowControl w:val="0"/>
        <w:tabs>
          <w:tab w:val="right" w:leader="dot" w:pos="8278"/>
          <w:tab w:val="clear" w:pos="8296"/>
        </w:tabs>
        <w:kinsoku/>
        <w:wordWrap/>
        <w:overflowPunct/>
        <w:topLinePunct w:val="0"/>
        <w:autoSpaceDE/>
        <w:autoSpaceDN/>
        <w:bidi w:val="0"/>
        <w:adjustRightInd/>
        <w:snapToGrid/>
        <w:spacing w:line="450" w:lineRule="exact"/>
        <w:textAlignment w:val="auto"/>
        <w:rPr>
          <w:rFonts w:hint="default" w:ascii="Times New Roman" w:hAnsi="Times New Roman" w:eastAsia="仿宋" w:cs="Times New Roman"/>
          <w:b w:val="0"/>
          <w:bCs/>
          <w:sz w:val="28"/>
          <w:szCs w:val="28"/>
        </w:rPr>
      </w:pPr>
      <w:r>
        <w:rPr>
          <w:rFonts w:hint="default" w:ascii="Times New Roman" w:hAnsi="Times New Roman" w:eastAsia="仿宋" w:cs="Times New Roman"/>
          <w:b w:val="0"/>
          <w:bCs/>
          <w:sz w:val="28"/>
          <w:szCs w:val="28"/>
          <w:highlight w:val="yellow"/>
        </w:rPr>
        <w:fldChar w:fldCharType="begin"/>
      </w:r>
      <w:r>
        <w:rPr>
          <w:rFonts w:hint="default" w:ascii="Times New Roman" w:hAnsi="Times New Roman" w:eastAsia="仿宋" w:cs="Times New Roman"/>
          <w:b w:val="0"/>
          <w:bCs/>
          <w:sz w:val="28"/>
          <w:szCs w:val="28"/>
          <w:highlight w:val="yellow"/>
        </w:rPr>
        <w:instrText xml:space="preserve"> HYPERLINK \l _Toc25531 </w:instrText>
      </w:r>
      <w:r>
        <w:rPr>
          <w:rFonts w:hint="default" w:ascii="Times New Roman" w:hAnsi="Times New Roman" w:eastAsia="仿宋" w:cs="Times New Roman"/>
          <w:b w:val="0"/>
          <w:bCs/>
          <w:sz w:val="28"/>
          <w:szCs w:val="28"/>
          <w:highlight w:val="yellow"/>
        </w:rPr>
        <w:fldChar w:fldCharType="separate"/>
      </w:r>
      <w:r>
        <w:rPr>
          <w:rFonts w:hint="default" w:ascii="Times New Roman" w:hAnsi="Times New Roman" w:eastAsia="仿宋" w:cs="Times New Roman"/>
          <w:b w:val="0"/>
          <w:bCs/>
          <w:sz w:val="28"/>
          <w:szCs w:val="28"/>
          <w:highlight w:val="none"/>
        </w:rPr>
        <w:t>第</w:t>
      </w:r>
      <w:r>
        <w:rPr>
          <w:rFonts w:hint="default" w:ascii="Times New Roman" w:hAnsi="Times New Roman" w:eastAsia="仿宋" w:cs="Times New Roman"/>
          <w:b w:val="0"/>
          <w:bCs/>
          <w:sz w:val="28"/>
          <w:szCs w:val="28"/>
          <w:highlight w:val="none"/>
          <w:lang w:eastAsia="zh-CN"/>
        </w:rPr>
        <w:t>二</w:t>
      </w:r>
      <w:r>
        <w:rPr>
          <w:rFonts w:hint="default" w:ascii="Times New Roman" w:hAnsi="Times New Roman" w:eastAsia="仿宋" w:cs="Times New Roman"/>
          <w:b w:val="0"/>
          <w:bCs/>
          <w:sz w:val="28"/>
          <w:szCs w:val="28"/>
          <w:highlight w:val="none"/>
        </w:rPr>
        <w:t>章  规划总则</w:t>
      </w:r>
      <w:r>
        <w:rPr>
          <w:rFonts w:hint="default" w:ascii="Times New Roman" w:hAnsi="Times New Roman" w:eastAsia="仿宋" w:cs="Times New Roman"/>
          <w:b w:val="0"/>
          <w:bCs/>
          <w:sz w:val="28"/>
          <w:szCs w:val="28"/>
        </w:rPr>
        <w:tab/>
      </w:r>
      <w:r>
        <w:rPr>
          <w:rFonts w:hint="default" w:ascii="Times New Roman" w:hAnsi="Times New Roman" w:eastAsia="仿宋" w:cs="Times New Roman"/>
          <w:b w:val="0"/>
          <w:bCs/>
          <w:sz w:val="28"/>
          <w:szCs w:val="28"/>
        </w:rPr>
        <w:fldChar w:fldCharType="begin"/>
      </w:r>
      <w:r>
        <w:rPr>
          <w:rFonts w:hint="default" w:ascii="Times New Roman" w:hAnsi="Times New Roman" w:eastAsia="仿宋" w:cs="Times New Roman"/>
          <w:b w:val="0"/>
          <w:bCs/>
          <w:sz w:val="28"/>
          <w:szCs w:val="28"/>
        </w:rPr>
        <w:instrText xml:space="preserve"> PAGEREF _Toc25531 \h </w:instrText>
      </w:r>
      <w:r>
        <w:rPr>
          <w:rFonts w:hint="default" w:ascii="Times New Roman" w:hAnsi="Times New Roman" w:eastAsia="仿宋" w:cs="Times New Roman"/>
          <w:b w:val="0"/>
          <w:bCs/>
          <w:sz w:val="28"/>
          <w:szCs w:val="28"/>
        </w:rPr>
        <w:fldChar w:fldCharType="separate"/>
      </w:r>
      <w:r>
        <w:rPr>
          <w:rFonts w:hint="default" w:ascii="Times New Roman" w:hAnsi="Times New Roman" w:eastAsia="仿宋" w:cs="Times New Roman"/>
          <w:b w:val="0"/>
          <w:bCs/>
          <w:sz w:val="28"/>
          <w:szCs w:val="28"/>
        </w:rPr>
        <w:t>11</w:t>
      </w:r>
      <w:r>
        <w:rPr>
          <w:rFonts w:hint="default" w:ascii="Times New Roman" w:hAnsi="Times New Roman" w:eastAsia="仿宋" w:cs="Times New Roman"/>
          <w:b w:val="0"/>
          <w:bCs/>
          <w:sz w:val="28"/>
          <w:szCs w:val="28"/>
        </w:rPr>
        <w:fldChar w:fldCharType="end"/>
      </w:r>
      <w:r>
        <w:rPr>
          <w:rFonts w:hint="default" w:ascii="Times New Roman" w:hAnsi="Times New Roman" w:eastAsia="仿宋" w:cs="Times New Roman"/>
          <w:b w:val="0"/>
          <w:bCs/>
          <w:sz w:val="28"/>
          <w:szCs w:val="28"/>
          <w:highlight w:val="yellow"/>
        </w:rPr>
        <w:fldChar w:fldCharType="end"/>
      </w:r>
    </w:p>
    <w:p w14:paraId="14544180">
      <w:pPr>
        <w:pStyle w:val="21"/>
        <w:keepNext w:val="0"/>
        <w:keepLines w:val="0"/>
        <w:pageBreakBefore w:val="0"/>
        <w:widowControl w:val="0"/>
        <w:tabs>
          <w:tab w:val="right" w:leader="dot" w:pos="8278"/>
        </w:tabs>
        <w:kinsoku/>
        <w:wordWrap/>
        <w:overflowPunct/>
        <w:topLinePunct w:val="0"/>
        <w:autoSpaceDE/>
        <w:autoSpaceDN/>
        <w:bidi w:val="0"/>
        <w:adjustRightInd/>
        <w:snapToGrid/>
        <w:spacing w:line="450" w:lineRule="exact"/>
        <w:ind w:firstLine="0" w:firstLineChars="0"/>
        <w:textAlignment w:val="auto"/>
        <w:rPr>
          <w:rFonts w:hint="default" w:ascii="Times New Roman" w:hAnsi="Times New Roman" w:eastAsia="仿宋" w:cs="Times New Roman"/>
          <w:b w:val="0"/>
          <w:bCs/>
          <w:sz w:val="28"/>
          <w:szCs w:val="28"/>
        </w:rPr>
      </w:pPr>
      <w:r>
        <w:rPr>
          <w:rFonts w:hint="default" w:ascii="Times New Roman" w:hAnsi="Times New Roman" w:eastAsia="仿宋" w:cs="Times New Roman"/>
          <w:b w:val="0"/>
          <w:bCs/>
          <w:sz w:val="28"/>
          <w:szCs w:val="28"/>
          <w:highlight w:val="yellow"/>
        </w:rPr>
        <w:fldChar w:fldCharType="begin"/>
      </w:r>
      <w:r>
        <w:rPr>
          <w:rFonts w:hint="default" w:ascii="Times New Roman" w:hAnsi="Times New Roman" w:eastAsia="仿宋" w:cs="Times New Roman"/>
          <w:b w:val="0"/>
          <w:bCs/>
          <w:sz w:val="28"/>
          <w:szCs w:val="28"/>
          <w:highlight w:val="yellow"/>
        </w:rPr>
        <w:instrText xml:space="preserve"> HYPERLINK \l _Toc15320 </w:instrText>
      </w:r>
      <w:r>
        <w:rPr>
          <w:rFonts w:hint="default" w:ascii="Times New Roman" w:hAnsi="Times New Roman" w:eastAsia="仿宋" w:cs="Times New Roman"/>
          <w:b w:val="0"/>
          <w:bCs/>
          <w:sz w:val="28"/>
          <w:szCs w:val="28"/>
          <w:highlight w:val="yellow"/>
        </w:rPr>
        <w:fldChar w:fldCharType="separate"/>
      </w:r>
      <w:r>
        <w:rPr>
          <w:rFonts w:hint="default" w:ascii="Times New Roman" w:hAnsi="Times New Roman" w:eastAsia="仿宋" w:cs="Times New Roman"/>
          <w:b w:val="0"/>
          <w:bCs/>
          <w:sz w:val="28"/>
          <w:szCs w:val="28"/>
          <w:highlight w:val="none"/>
        </w:rPr>
        <w:t>一、指导思想</w:t>
      </w:r>
      <w:r>
        <w:rPr>
          <w:rFonts w:hint="default" w:ascii="Times New Roman" w:hAnsi="Times New Roman" w:eastAsia="仿宋" w:cs="Times New Roman"/>
          <w:b w:val="0"/>
          <w:bCs/>
          <w:sz w:val="28"/>
          <w:szCs w:val="28"/>
        </w:rPr>
        <w:tab/>
      </w:r>
      <w:r>
        <w:rPr>
          <w:rFonts w:hint="default" w:ascii="Times New Roman" w:hAnsi="Times New Roman" w:eastAsia="仿宋" w:cs="Times New Roman"/>
          <w:b w:val="0"/>
          <w:bCs/>
          <w:sz w:val="28"/>
          <w:szCs w:val="28"/>
        </w:rPr>
        <w:fldChar w:fldCharType="begin"/>
      </w:r>
      <w:r>
        <w:rPr>
          <w:rFonts w:hint="default" w:ascii="Times New Roman" w:hAnsi="Times New Roman" w:eastAsia="仿宋" w:cs="Times New Roman"/>
          <w:b w:val="0"/>
          <w:bCs/>
          <w:sz w:val="28"/>
          <w:szCs w:val="28"/>
        </w:rPr>
        <w:instrText xml:space="preserve"> PAGEREF _Toc15320 \h </w:instrText>
      </w:r>
      <w:r>
        <w:rPr>
          <w:rFonts w:hint="default" w:ascii="Times New Roman" w:hAnsi="Times New Roman" w:eastAsia="仿宋" w:cs="Times New Roman"/>
          <w:b w:val="0"/>
          <w:bCs/>
          <w:sz w:val="28"/>
          <w:szCs w:val="28"/>
        </w:rPr>
        <w:fldChar w:fldCharType="separate"/>
      </w:r>
      <w:r>
        <w:rPr>
          <w:rFonts w:hint="default" w:ascii="Times New Roman" w:hAnsi="Times New Roman" w:eastAsia="仿宋" w:cs="Times New Roman"/>
          <w:b w:val="0"/>
          <w:bCs/>
          <w:sz w:val="28"/>
          <w:szCs w:val="28"/>
        </w:rPr>
        <w:t>11</w:t>
      </w:r>
      <w:r>
        <w:rPr>
          <w:rFonts w:hint="default" w:ascii="Times New Roman" w:hAnsi="Times New Roman" w:eastAsia="仿宋" w:cs="Times New Roman"/>
          <w:b w:val="0"/>
          <w:bCs/>
          <w:sz w:val="28"/>
          <w:szCs w:val="28"/>
        </w:rPr>
        <w:fldChar w:fldCharType="end"/>
      </w:r>
      <w:r>
        <w:rPr>
          <w:rFonts w:hint="default" w:ascii="Times New Roman" w:hAnsi="Times New Roman" w:eastAsia="仿宋" w:cs="Times New Roman"/>
          <w:b w:val="0"/>
          <w:bCs/>
          <w:sz w:val="28"/>
          <w:szCs w:val="28"/>
          <w:highlight w:val="yellow"/>
        </w:rPr>
        <w:fldChar w:fldCharType="end"/>
      </w:r>
    </w:p>
    <w:p w14:paraId="743B36DD">
      <w:pPr>
        <w:pStyle w:val="21"/>
        <w:keepNext w:val="0"/>
        <w:keepLines w:val="0"/>
        <w:pageBreakBefore w:val="0"/>
        <w:widowControl w:val="0"/>
        <w:tabs>
          <w:tab w:val="right" w:leader="dot" w:pos="8278"/>
        </w:tabs>
        <w:kinsoku/>
        <w:wordWrap/>
        <w:overflowPunct/>
        <w:topLinePunct w:val="0"/>
        <w:autoSpaceDE/>
        <w:autoSpaceDN/>
        <w:bidi w:val="0"/>
        <w:adjustRightInd/>
        <w:snapToGrid/>
        <w:spacing w:line="450" w:lineRule="exact"/>
        <w:ind w:firstLine="0" w:firstLineChars="0"/>
        <w:textAlignment w:val="auto"/>
        <w:rPr>
          <w:rFonts w:hint="default" w:ascii="Times New Roman" w:hAnsi="Times New Roman" w:eastAsia="仿宋" w:cs="Times New Roman"/>
          <w:b w:val="0"/>
          <w:bCs/>
          <w:sz w:val="28"/>
          <w:szCs w:val="28"/>
        </w:rPr>
      </w:pPr>
      <w:r>
        <w:rPr>
          <w:rFonts w:hint="default" w:ascii="Times New Roman" w:hAnsi="Times New Roman" w:eastAsia="仿宋" w:cs="Times New Roman"/>
          <w:b w:val="0"/>
          <w:bCs/>
          <w:sz w:val="28"/>
          <w:szCs w:val="28"/>
          <w:highlight w:val="yellow"/>
        </w:rPr>
        <w:fldChar w:fldCharType="begin"/>
      </w:r>
      <w:r>
        <w:rPr>
          <w:rFonts w:hint="default" w:ascii="Times New Roman" w:hAnsi="Times New Roman" w:eastAsia="仿宋" w:cs="Times New Roman"/>
          <w:b w:val="0"/>
          <w:bCs/>
          <w:sz w:val="28"/>
          <w:szCs w:val="28"/>
          <w:highlight w:val="yellow"/>
        </w:rPr>
        <w:instrText xml:space="preserve"> HYPERLINK \l _Toc7990 </w:instrText>
      </w:r>
      <w:r>
        <w:rPr>
          <w:rFonts w:hint="default" w:ascii="Times New Roman" w:hAnsi="Times New Roman" w:eastAsia="仿宋" w:cs="Times New Roman"/>
          <w:b w:val="0"/>
          <w:bCs/>
          <w:sz w:val="28"/>
          <w:szCs w:val="28"/>
          <w:highlight w:val="yellow"/>
        </w:rPr>
        <w:fldChar w:fldCharType="separate"/>
      </w:r>
      <w:r>
        <w:rPr>
          <w:rFonts w:hint="default" w:ascii="Times New Roman" w:hAnsi="Times New Roman" w:eastAsia="仿宋" w:cs="Times New Roman"/>
          <w:b w:val="0"/>
          <w:bCs/>
          <w:sz w:val="28"/>
          <w:szCs w:val="28"/>
          <w:highlight w:val="none"/>
        </w:rPr>
        <w:t>二、</w:t>
      </w:r>
      <w:r>
        <w:rPr>
          <w:rFonts w:hint="default" w:ascii="Times New Roman" w:hAnsi="Times New Roman" w:eastAsia="仿宋" w:cs="Times New Roman"/>
          <w:b w:val="0"/>
          <w:bCs/>
          <w:sz w:val="28"/>
          <w:szCs w:val="28"/>
          <w:highlight w:val="none"/>
          <w:lang w:eastAsia="zh-CN"/>
        </w:rPr>
        <w:t>规划</w:t>
      </w:r>
      <w:r>
        <w:rPr>
          <w:rFonts w:hint="default" w:ascii="Times New Roman" w:hAnsi="Times New Roman" w:eastAsia="仿宋" w:cs="Times New Roman"/>
          <w:b w:val="0"/>
          <w:bCs/>
          <w:sz w:val="28"/>
          <w:szCs w:val="28"/>
          <w:highlight w:val="none"/>
        </w:rPr>
        <w:t>原则</w:t>
      </w:r>
      <w:r>
        <w:rPr>
          <w:rFonts w:hint="default" w:ascii="Times New Roman" w:hAnsi="Times New Roman" w:eastAsia="仿宋" w:cs="Times New Roman"/>
          <w:b w:val="0"/>
          <w:bCs/>
          <w:sz w:val="28"/>
          <w:szCs w:val="28"/>
        </w:rPr>
        <w:tab/>
      </w:r>
      <w:r>
        <w:rPr>
          <w:rFonts w:hint="default" w:ascii="Times New Roman" w:hAnsi="Times New Roman" w:eastAsia="仿宋" w:cs="Times New Roman"/>
          <w:b w:val="0"/>
          <w:bCs/>
          <w:sz w:val="28"/>
          <w:szCs w:val="28"/>
        </w:rPr>
        <w:fldChar w:fldCharType="begin"/>
      </w:r>
      <w:r>
        <w:rPr>
          <w:rFonts w:hint="default" w:ascii="Times New Roman" w:hAnsi="Times New Roman" w:eastAsia="仿宋" w:cs="Times New Roman"/>
          <w:b w:val="0"/>
          <w:bCs/>
          <w:sz w:val="28"/>
          <w:szCs w:val="28"/>
        </w:rPr>
        <w:instrText xml:space="preserve"> PAGEREF _Toc7990 \h </w:instrText>
      </w:r>
      <w:r>
        <w:rPr>
          <w:rFonts w:hint="default" w:ascii="Times New Roman" w:hAnsi="Times New Roman" w:eastAsia="仿宋" w:cs="Times New Roman"/>
          <w:b w:val="0"/>
          <w:bCs/>
          <w:sz w:val="28"/>
          <w:szCs w:val="28"/>
        </w:rPr>
        <w:fldChar w:fldCharType="separate"/>
      </w:r>
      <w:r>
        <w:rPr>
          <w:rFonts w:hint="default" w:ascii="Times New Roman" w:hAnsi="Times New Roman" w:eastAsia="仿宋" w:cs="Times New Roman"/>
          <w:b w:val="0"/>
          <w:bCs/>
          <w:sz w:val="28"/>
          <w:szCs w:val="28"/>
        </w:rPr>
        <w:t>12</w:t>
      </w:r>
      <w:r>
        <w:rPr>
          <w:rFonts w:hint="default" w:ascii="Times New Roman" w:hAnsi="Times New Roman" w:eastAsia="仿宋" w:cs="Times New Roman"/>
          <w:b w:val="0"/>
          <w:bCs/>
          <w:sz w:val="28"/>
          <w:szCs w:val="28"/>
        </w:rPr>
        <w:fldChar w:fldCharType="end"/>
      </w:r>
      <w:r>
        <w:rPr>
          <w:rFonts w:hint="default" w:ascii="Times New Roman" w:hAnsi="Times New Roman" w:eastAsia="仿宋" w:cs="Times New Roman"/>
          <w:b w:val="0"/>
          <w:bCs/>
          <w:sz w:val="28"/>
          <w:szCs w:val="28"/>
          <w:highlight w:val="yellow"/>
        </w:rPr>
        <w:fldChar w:fldCharType="end"/>
      </w:r>
    </w:p>
    <w:p w14:paraId="423E8359">
      <w:pPr>
        <w:pStyle w:val="21"/>
        <w:keepNext w:val="0"/>
        <w:keepLines w:val="0"/>
        <w:pageBreakBefore w:val="0"/>
        <w:widowControl w:val="0"/>
        <w:tabs>
          <w:tab w:val="right" w:leader="dot" w:pos="8278"/>
        </w:tabs>
        <w:kinsoku/>
        <w:wordWrap/>
        <w:overflowPunct/>
        <w:topLinePunct w:val="0"/>
        <w:autoSpaceDE/>
        <w:autoSpaceDN/>
        <w:bidi w:val="0"/>
        <w:adjustRightInd/>
        <w:snapToGrid/>
        <w:spacing w:line="450" w:lineRule="exact"/>
        <w:ind w:firstLine="0" w:firstLineChars="0"/>
        <w:textAlignment w:val="auto"/>
        <w:rPr>
          <w:rFonts w:hint="default" w:ascii="Times New Roman" w:hAnsi="Times New Roman" w:eastAsia="仿宋" w:cs="Times New Roman"/>
          <w:b w:val="0"/>
          <w:bCs/>
          <w:sz w:val="28"/>
          <w:szCs w:val="28"/>
        </w:rPr>
      </w:pPr>
      <w:r>
        <w:rPr>
          <w:rFonts w:hint="default" w:ascii="Times New Roman" w:hAnsi="Times New Roman" w:eastAsia="仿宋" w:cs="Times New Roman"/>
          <w:b w:val="0"/>
          <w:bCs/>
          <w:sz w:val="28"/>
          <w:szCs w:val="28"/>
          <w:highlight w:val="yellow"/>
        </w:rPr>
        <w:fldChar w:fldCharType="begin"/>
      </w:r>
      <w:r>
        <w:rPr>
          <w:rFonts w:hint="default" w:ascii="Times New Roman" w:hAnsi="Times New Roman" w:eastAsia="仿宋" w:cs="Times New Roman"/>
          <w:b w:val="0"/>
          <w:bCs/>
          <w:sz w:val="28"/>
          <w:szCs w:val="28"/>
          <w:highlight w:val="yellow"/>
        </w:rPr>
        <w:instrText xml:space="preserve"> HYPERLINK \l _Toc14573 </w:instrText>
      </w:r>
      <w:r>
        <w:rPr>
          <w:rFonts w:hint="default" w:ascii="Times New Roman" w:hAnsi="Times New Roman" w:eastAsia="仿宋" w:cs="Times New Roman"/>
          <w:b w:val="0"/>
          <w:bCs/>
          <w:sz w:val="28"/>
          <w:szCs w:val="28"/>
          <w:highlight w:val="yellow"/>
        </w:rPr>
        <w:fldChar w:fldCharType="separate"/>
      </w:r>
      <w:r>
        <w:rPr>
          <w:rFonts w:hint="default" w:ascii="Times New Roman" w:hAnsi="Times New Roman" w:eastAsia="仿宋" w:cs="Times New Roman"/>
          <w:b w:val="0"/>
          <w:bCs/>
          <w:sz w:val="28"/>
          <w:szCs w:val="28"/>
          <w:highlight w:val="none"/>
        </w:rPr>
        <w:t>三、</w:t>
      </w:r>
      <w:r>
        <w:rPr>
          <w:rFonts w:hint="default" w:ascii="Times New Roman" w:hAnsi="Times New Roman" w:eastAsia="仿宋" w:cs="Times New Roman"/>
          <w:b w:val="0"/>
          <w:bCs/>
          <w:sz w:val="28"/>
          <w:szCs w:val="28"/>
          <w:highlight w:val="none"/>
          <w:lang w:eastAsia="zh-CN"/>
        </w:rPr>
        <w:t>规划范围</w:t>
      </w:r>
      <w:r>
        <w:rPr>
          <w:rFonts w:hint="default" w:ascii="Times New Roman" w:hAnsi="Times New Roman" w:eastAsia="仿宋" w:cs="Times New Roman"/>
          <w:b w:val="0"/>
          <w:bCs/>
          <w:sz w:val="28"/>
          <w:szCs w:val="28"/>
        </w:rPr>
        <w:tab/>
      </w:r>
      <w:r>
        <w:rPr>
          <w:rFonts w:hint="default" w:ascii="Times New Roman" w:hAnsi="Times New Roman" w:eastAsia="仿宋" w:cs="Times New Roman"/>
          <w:b w:val="0"/>
          <w:bCs/>
          <w:sz w:val="28"/>
          <w:szCs w:val="28"/>
        </w:rPr>
        <w:fldChar w:fldCharType="begin"/>
      </w:r>
      <w:r>
        <w:rPr>
          <w:rFonts w:hint="default" w:ascii="Times New Roman" w:hAnsi="Times New Roman" w:eastAsia="仿宋" w:cs="Times New Roman"/>
          <w:b w:val="0"/>
          <w:bCs/>
          <w:sz w:val="28"/>
          <w:szCs w:val="28"/>
        </w:rPr>
        <w:instrText xml:space="preserve"> PAGEREF _Toc14573 \h </w:instrText>
      </w:r>
      <w:r>
        <w:rPr>
          <w:rFonts w:hint="default" w:ascii="Times New Roman" w:hAnsi="Times New Roman" w:eastAsia="仿宋" w:cs="Times New Roman"/>
          <w:b w:val="0"/>
          <w:bCs/>
          <w:sz w:val="28"/>
          <w:szCs w:val="28"/>
        </w:rPr>
        <w:fldChar w:fldCharType="separate"/>
      </w:r>
      <w:r>
        <w:rPr>
          <w:rFonts w:hint="default" w:ascii="Times New Roman" w:hAnsi="Times New Roman" w:eastAsia="仿宋" w:cs="Times New Roman"/>
          <w:b w:val="0"/>
          <w:bCs/>
          <w:sz w:val="28"/>
          <w:szCs w:val="28"/>
        </w:rPr>
        <w:t>13</w:t>
      </w:r>
      <w:r>
        <w:rPr>
          <w:rFonts w:hint="default" w:ascii="Times New Roman" w:hAnsi="Times New Roman" w:eastAsia="仿宋" w:cs="Times New Roman"/>
          <w:b w:val="0"/>
          <w:bCs/>
          <w:sz w:val="28"/>
          <w:szCs w:val="28"/>
        </w:rPr>
        <w:fldChar w:fldCharType="end"/>
      </w:r>
      <w:r>
        <w:rPr>
          <w:rFonts w:hint="default" w:ascii="Times New Roman" w:hAnsi="Times New Roman" w:eastAsia="仿宋" w:cs="Times New Roman"/>
          <w:b w:val="0"/>
          <w:bCs/>
          <w:sz w:val="28"/>
          <w:szCs w:val="28"/>
          <w:highlight w:val="yellow"/>
        </w:rPr>
        <w:fldChar w:fldCharType="end"/>
      </w:r>
    </w:p>
    <w:p w14:paraId="01F3BFD0">
      <w:pPr>
        <w:pStyle w:val="21"/>
        <w:keepNext w:val="0"/>
        <w:keepLines w:val="0"/>
        <w:pageBreakBefore w:val="0"/>
        <w:widowControl w:val="0"/>
        <w:tabs>
          <w:tab w:val="right" w:leader="dot" w:pos="8278"/>
        </w:tabs>
        <w:kinsoku/>
        <w:wordWrap/>
        <w:overflowPunct/>
        <w:topLinePunct w:val="0"/>
        <w:autoSpaceDE/>
        <w:autoSpaceDN/>
        <w:bidi w:val="0"/>
        <w:adjustRightInd/>
        <w:snapToGrid/>
        <w:spacing w:line="450" w:lineRule="exact"/>
        <w:ind w:firstLine="0" w:firstLineChars="0"/>
        <w:textAlignment w:val="auto"/>
        <w:rPr>
          <w:rFonts w:hint="default" w:ascii="Times New Roman" w:hAnsi="Times New Roman" w:eastAsia="仿宋" w:cs="Times New Roman"/>
          <w:b w:val="0"/>
          <w:bCs/>
          <w:sz w:val="28"/>
          <w:szCs w:val="28"/>
        </w:rPr>
      </w:pPr>
      <w:r>
        <w:rPr>
          <w:rFonts w:hint="default" w:ascii="Times New Roman" w:hAnsi="Times New Roman" w:eastAsia="仿宋" w:cs="Times New Roman"/>
          <w:b w:val="0"/>
          <w:bCs/>
          <w:sz w:val="28"/>
          <w:szCs w:val="28"/>
          <w:highlight w:val="yellow"/>
        </w:rPr>
        <w:fldChar w:fldCharType="begin"/>
      </w:r>
      <w:r>
        <w:rPr>
          <w:rFonts w:hint="default" w:ascii="Times New Roman" w:hAnsi="Times New Roman" w:eastAsia="仿宋" w:cs="Times New Roman"/>
          <w:b w:val="0"/>
          <w:bCs/>
          <w:sz w:val="28"/>
          <w:szCs w:val="28"/>
          <w:highlight w:val="yellow"/>
        </w:rPr>
        <w:instrText xml:space="preserve"> HYPERLINK \l _Toc19331 </w:instrText>
      </w:r>
      <w:r>
        <w:rPr>
          <w:rFonts w:hint="default" w:ascii="Times New Roman" w:hAnsi="Times New Roman" w:eastAsia="仿宋" w:cs="Times New Roman"/>
          <w:b w:val="0"/>
          <w:bCs/>
          <w:sz w:val="28"/>
          <w:szCs w:val="28"/>
          <w:highlight w:val="yellow"/>
        </w:rPr>
        <w:fldChar w:fldCharType="separate"/>
      </w:r>
      <w:r>
        <w:rPr>
          <w:rFonts w:hint="default" w:ascii="Times New Roman" w:hAnsi="Times New Roman" w:eastAsia="仿宋" w:cs="Times New Roman"/>
          <w:b w:val="0"/>
          <w:bCs/>
          <w:sz w:val="28"/>
          <w:szCs w:val="28"/>
          <w:highlight w:val="none"/>
        </w:rPr>
        <w:t>四、规划</w:t>
      </w:r>
      <w:r>
        <w:rPr>
          <w:rFonts w:hint="default" w:ascii="Times New Roman" w:hAnsi="Times New Roman" w:eastAsia="仿宋" w:cs="Times New Roman"/>
          <w:b w:val="0"/>
          <w:bCs/>
          <w:sz w:val="28"/>
          <w:szCs w:val="28"/>
          <w:highlight w:val="none"/>
          <w:lang w:eastAsia="zh-CN"/>
        </w:rPr>
        <w:t>期限</w:t>
      </w:r>
      <w:r>
        <w:rPr>
          <w:rFonts w:hint="default" w:ascii="Times New Roman" w:hAnsi="Times New Roman" w:eastAsia="仿宋" w:cs="Times New Roman"/>
          <w:b w:val="0"/>
          <w:bCs/>
          <w:sz w:val="28"/>
          <w:szCs w:val="28"/>
        </w:rPr>
        <w:tab/>
      </w:r>
      <w:r>
        <w:rPr>
          <w:rFonts w:hint="default" w:ascii="Times New Roman" w:hAnsi="Times New Roman" w:eastAsia="仿宋" w:cs="Times New Roman"/>
          <w:b w:val="0"/>
          <w:bCs/>
          <w:sz w:val="28"/>
          <w:szCs w:val="28"/>
        </w:rPr>
        <w:fldChar w:fldCharType="begin"/>
      </w:r>
      <w:r>
        <w:rPr>
          <w:rFonts w:hint="default" w:ascii="Times New Roman" w:hAnsi="Times New Roman" w:eastAsia="仿宋" w:cs="Times New Roman"/>
          <w:b w:val="0"/>
          <w:bCs/>
          <w:sz w:val="28"/>
          <w:szCs w:val="28"/>
        </w:rPr>
        <w:instrText xml:space="preserve"> PAGEREF _Toc19331 \h </w:instrText>
      </w:r>
      <w:r>
        <w:rPr>
          <w:rFonts w:hint="default" w:ascii="Times New Roman" w:hAnsi="Times New Roman" w:eastAsia="仿宋" w:cs="Times New Roman"/>
          <w:b w:val="0"/>
          <w:bCs/>
          <w:sz w:val="28"/>
          <w:szCs w:val="28"/>
        </w:rPr>
        <w:fldChar w:fldCharType="separate"/>
      </w:r>
      <w:r>
        <w:rPr>
          <w:rFonts w:hint="default" w:ascii="Times New Roman" w:hAnsi="Times New Roman" w:eastAsia="仿宋" w:cs="Times New Roman"/>
          <w:b w:val="0"/>
          <w:bCs/>
          <w:sz w:val="28"/>
          <w:szCs w:val="28"/>
        </w:rPr>
        <w:t>14</w:t>
      </w:r>
      <w:r>
        <w:rPr>
          <w:rFonts w:hint="default" w:ascii="Times New Roman" w:hAnsi="Times New Roman" w:eastAsia="仿宋" w:cs="Times New Roman"/>
          <w:b w:val="0"/>
          <w:bCs/>
          <w:sz w:val="28"/>
          <w:szCs w:val="28"/>
        </w:rPr>
        <w:fldChar w:fldCharType="end"/>
      </w:r>
      <w:r>
        <w:rPr>
          <w:rFonts w:hint="default" w:ascii="Times New Roman" w:hAnsi="Times New Roman" w:eastAsia="仿宋" w:cs="Times New Roman"/>
          <w:b w:val="0"/>
          <w:bCs/>
          <w:sz w:val="28"/>
          <w:szCs w:val="28"/>
          <w:highlight w:val="yellow"/>
        </w:rPr>
        <w:fldChar w:fldCharType="end"/>
      </w:r>
    </w:p>
    <w:p w14:paraId="0356D611">
      <w:pPr>
        <w:pStyle w:val="21"/>
        <w:keepNext w:val="0"/>
        <w:keepLines w:val="0"/>
        <w:pageBreakBefore w:val="0"/>
        <w:widowControl w:val="0"/>
        <w:tabs>
          <w:tab w:val="right" w:leader="dot" w:pos="8278"/>
        </w:tabs>
        <w:kinsoku/>
        <w:wordWrap/>
        <w:overflowPunct/>
        <w:topLinePunct w:val="0"/>
        <w:autoSpaceDE/>
        <w:autoSpaceDN/>
        <w:bidi w:val="0"/>
        <w:adjustRightInd/>
        <w:snapToGrid/>
        <w:spacing w:line="450" w:lineRule="exact"/>
        <w:ind w:firstLine="0" w:firstLineChars="0"/>
        <w:textAlignment w:val="auto"/>
        <w:rPr>
          <w:rFonts w:hint="default" w:ascii="Times New Roman" w:hAnsi="Times New Roman" w:eastAsia="仿宋" w:cs="Times New Roman"/>
          <w:b w:val="0"/>
          <w:bCs/>
          <w:sz w:val="28"/>
          <w:szCs w:val="28"/>
        </w:rPr>
      </w:pPr>
      <w:r>
        <w:rPr>
          <w:rFonts w:hint="default" w:ascii="Times New Roman" w:hAnsi="Times New Roman" w:eastAsia="仿宋" w:cs="Times New Roman"/>
          <w:b w:val="0"/>
          <w:bCs/>
          <w:sz w:val="28"/>
          <w:szCs w:val="28"/>
          <w:highlight w:val="yellow"/>
        </w:rPr>
        <w:fldChar w:fldCharType="begin"/>
      </w:r>
      <w:r>
        <w:rPr>
          <w:rFonts w:hint="default" w:ascii="Times New Roman" w:hAnsi="Times New Roman" w:eastAsia="仿宋" w:cs="Times New Roman"/>
          <w:b w:val="0"/>
          <w:bCs/>
          <w:sz w:val="28"/>
          <w:szCs w:val="28"/>
          <w:highlight w:val="yellow"/>
        </w:rPr>
        <w:instrText xml:space="preserve"> HYPERLINK \l _Toc13051 </w:instrText>
      </w:r>
      <w:r>
        <w:rPr>
          <w:rFonts w:hint="default" w:ascii="Times New Roman" w:hAnsi="Times New Roman" w:eastAsia="仿宋" w:cs="Times New Roman"/>
          <w:b w:val="0"/>
          <w:bCs/>
          <w:sz w:val="28"/>
          <w:szCs w:val="28"/>
          <w:highlight w:val="yellow"/>
        </w:rPr>
        <w:fldChar w:fldCharType="separate"/>
      </w:r>
      <w:r>
        <w:rPr>
          <w:rFonts w:hint="default" w:ascii="Times New Roman" w:hAnsi="Times New Roman" w:eastAsia="仿宋" w:cs="Times New Roman"/>
          <w:b w:val="0"/>
          <w:bCs/>
          <w:sz w:val="28"/>
          <w:szCs w:val="28"/>
          <w:highlight w:val="none"/>
          <w:lang w:eastAsia="zh-CN"/>
        </w:rPr>
        <w:t>五</w:t>
      </w:r>
      <w:r>
        <w:rPr>
          <w:rFonts w:hint="default" w:ascii="Times New Roman" w:hAnsi="Times New Roman" w:eastAsia="仿宋" w:cs="Times New Roman"/>
          <w:b w:val="0"/>
          <w:bCs/>
          <w:sz w:val="28"/>
          <w:szCs w:val="28"/>
          <w:highlight w:val="none"/>
        </w:rPr>
        <w:t>、规划</w:t>
      </w:r>
      <w:r>
        <w:rPr>
          <w:rFonts w:hint="default" w:ascii="Times New Roman" w:hAnsi="Times New Roman" w:eastAsia="仿宋" w:cs="Times New Roman"/>
          <w:b w:val="0"/>
          <w:bCs/>
          <w:sz w:val="28"/>
          <w:szCs w:val="28"/>
          <w:highlight w:val="none"/>
          <w:lang w:eastAsia="zh-CN"/>
        </w:rPr>
        <w:t>目标</w:t>
      </w:r>
      <w:r>
        <w:rPr>
          <w:rFonts w:hint="default" w:ascii="Times New Roman" w:hAnsi="Times New Roman" w:eastAsia="仿宋" w:cs="Times New Roman"/>
          <w:b w:val="0"/>
          <w:bCs/>
          <w:sz w:val="28"/>
          <w:szCs w:val="28"/>
        </w:rPr>
        <w:tab/>
      </w:r>
      <w:r>
        <w:rPr>
          <w:rFonts w:hint="default" w:ascii="Times New Roman" w:hAnsi="Times New Roman" w:eastAsia="仿宋" w:cs="Times New Roman"/>
          <w:b w:val="0"/>
          <w:bCs/>
          <w:sz w:val="28"/>
          <w:szCs w:val="28"/>
        </w:rPr>
        <w:fldChar w:fldCharType="begin"/>
      </w:r>
      <w:r>
        <w:rPr>
          <w:rFonts w:hint="default" w:ascii="Times New Roman" w:hAnsi="Times New Roman" w:eastAsia="仿宋" w:cs="Times New Roman"/>
          <w:b w:val="0"/>
          <w:bCs/>
          <w:sz w:val="28"/>
          <w:szCs w:val="28"/>
        </w:rPr>
        <w:instrText xml:space="preserve"> PAGEREF _Toc13051 \h </w:instrText>
      </w:r>
      <w:r>
        <w:rPr>
          <w:rFonts w:hint="default" w:ascii="Times New Roman" w:hAnsi="Times New Roman" w:eastAsia="仿宋" w:cs="Times New Roman"/>
          <w:b w:val="0"/>
          <w:bCs/>
          <w:sz w:val="28"/>
          <w:szCs w:val="28"/>
        </w:rPr>
        <w:fldChar w:fldCharType="separate"/>
      </w:r>
      <w:r>
        <w:rPr>
          <w:rFonts w:hint="default" w:ascii="Times New Roman" w:hAnsi="Times New Roman" w:eastAsia="仿宋" w:cs="Times New Roman"/>
          <w:b w:val="0"/>
          <w:bCs/>
          <w:sz w:val="28"/>
          <w:szCs w:val="28"/>
        </w:rPr>
        <w:t>14</w:t>
      </w:r>
      <w:r>
        <w:rPr>
          <w:rFonts w:hint="default" w:ascii="Times New Roman" w:hAnsi="Times New Roman" w:eastAsia="仿宋" w:cs="Times New Roman"/>
          <w:b w:val="0"/>
          <w:bCs/>
          <w:sz w:val="28"/>
          <w:szCs w:val="28"/>
        </w:rPr>
        <w:fldChar w:fldCharType="end"/>
      </w:r>
      <w:r>
        <w:rPr>
          <w:rFonts w:hint="default" w:ascii="Times New Roman" w:hAnsi="Times New Roman" w:eastAsia="仿宋" w:cs="Times New Roman"/>
          <w:b w:val="0"/>
          <w:bCs/>
          <w:sz w:val="28"/>
          <w:szCs w:val="28"/>
          <w:highlight w:val="yellow"/>
        </w:rPr>
        <w:fldChar w:fldCharType="end"/>
      </w:r>
    </w:p>
    <w:p w14:paraId="24444DB1">
      <w:pPr>
        <w:pStyle w:val="21"/>
        <w:keepNext w:val="0"/>
        <w:keepLines w:val="0"/>
        <w:pageBreakBefore w:val="0"/>
        <w:widowControl w:val="0"/>
        <w:tabs>
          <w:tab w:val="right" w:leader="dot" w:pos="8278"/>
        </w:tabs>
        <w:kinsoku/>
        <w:wordWrap/>
        <w:overflowPunct/>
        <w:topLinePunct w:val="0"/>
        <w:autoSpaceDE/>
        <w:autoSpaceDN/>
        <w:bidi w:val="0"/>
        <w:adjustRightInd/>
        <w:snapToGrid/>
        <w:spacing w:line="450" w:lineRule="exact"/>
        <w:ind w:firstLine="0" w:firstLineChars="0"/>
        <w:textAlignment w:val="auto"/>
        <w:rPr>
          <w:rFonts w:hint="default" w:ascii="Times New Roman" w:hAnsi="Times New Roman" w:eastAsia="仿宋" w:cs="Times New Roman"/>
          <w:b w:val="0"/>
          <w:bCs/>
          <w:sz w:val="28"/>
          <w:szCs w:val="28"/>
        </w:rPr>
      </w:pPr>
      <w:r>
        <w:rPr>
          <w:rFonts w:hint="default" w:ascii="Times New Roman" w:hAnsi="Times New Roman" w:eastAsia="仿宋" w:cs="Times New Roman"/>
          <w:b w:val="0"/>
          <w:bCs/>
          <w:sz w:val="28"/>
          <w:szCs w:val="28"/>
          <w:highlight w:val="yellow"/>
        </w:rPr>
        <w:fldChar w:fldCharType="begin"/>
      </w:r>
      <w:r>
        <w:rPr>
          <w:rFonts w:hint="default" w:ascii="Times New Roman" w:hAnsi="Times New Roman" w:eastAsia="仿宋" w:cs="Times New Roman"/>
          <w:b w:val="0"/>
          <w:bCs/>
          <w:sz w:val="28"/>
          <w:szCs w:val="28"/>
          <w:highlight w:val="yellow"/>
        </w:rPr>
        <w:instrText xml:space="preserve"> HYPERLINK \l _Toc9111 </w:instrText>
      </w:r>
      <w:r>
        <w:rPr>
          <w:rFonts w:hint="default" w:ascii="Times New Roman" w:hAnsi="Times New Roman" w:eastAsia="仿宋" w:cs="Times New Roman"/>
          <w:b w:val="0"/>
          <w:bCs/>
          <w:sz w:val="28"/>
          <w:szCs w:val="28"/>
          <w:highlight w:val="yellow"/>
        </w:rPr>
        <w:fldChar w:fldCharType="separate"/>
      </w:r>
      <w:r>
        <w:rPr>
          <w:rFonts w:hint="default" w:ascii="Times New Roman" w:hAnsi="Times New Roman" w:eastAsia="仿宋" w:cs="Times New Roman"/>
          <w:b w:val="0"/>
          <w:bCs/>
          <w:sz w:val="28"/>
          <w:szCs w:val="28"/>
          <w:highlight w:val="none"/>
          <w:lang w:eastAsia="zh-CN"/>
        </w:rPr>
        <w:t>六</w:t>
      </w:r>
      <w:r>
        <w:rPr>
          <w:rFonts w:hint="default" w:ascii="Times New Roman" w:hAnsi="Times New Roman" w:eastAsia="仿宋" w:cs="Times New Roman"/>
          <w:b w:val="0"/>
          <w:bCs/>
          <w:sz w:val="28"/>
          <w:szCs w:val="28"/>
          <w:highlight w:val="none"/>
        </w:rPr>
        <w:t>、</w:t>
      </w:r>
      <w:r>
        <w:rPr>
          <w:rFonts w:hint="default" w:ascii="Times New Roman" w:hAnsi="Times New Roman" w:eastAsia="仿宋" w:cs="Times New Roman"/>
          <w:b w:val="0"/>
          <w:bCs/>
          <w:sz w:val="28"/>
          <w:szCs w:val="28"/>
          <w:highlight w:val="none"/>
          <w:lang w:eastAsia="zh-CN"/>
        </w:rPr>
        <w:t>建设指标</w:t>
      </w:r>
      <w:r>
        <w:rPr>
          <w:rFonts w:hint="default" w:ascii="Times New Roman" w:hAnsi="Times New Roman" w:eastAsia="仿宋" w:cs="Times New Roman"/>
          <w:b w:val="0"/>
          <w:bCs/>
          <w:sz w:val="28"/>
          <w:szCs w:val="28"/>
        </w:rPr>
        <w:tab/>
      </w:r>
      <w:r>
        <w:rPr>
          <w:rFonts w:hint="default" w:ascii="Times New Roman" w:hAnsi="Times New Roman" w:eastAsia="仿宋" w:cs="Times New Roman"/>
          <w:b w:val="0"/>
          <w:bCs/>
          <w:sz w:val="28"/>
          <w:szCs w:val="28"/>
        </w:rPr>
        <w:fldChar w:fldCharType="begin"/>
      </w:r>
      <w:r>
        <w:rPr>
          <w:rFonts w:hint="default" w:ascii="Times New Roman" w:hAnsi="Times New Roman" w:eastAsia="仿宋" w:cs="Times New Roman"/>
          <w:b w:val="0"/>
          <w:bCs/>
          <w:sz w:val="28"/>
          <w:szCs w:val="28"/>
        </w:rPr>
        <w:instrText xml:space="preserve"> PAGEREF _Toc9111 \h </w:instrText>
      </w:r>
      <w:r>
        <w:rPr>
          <w:rFonts w:hint="default" w:ascii="Times New Roman" w:hAnsi="Times New Roman" w:eastAsia="仿宋" w:cs="Times New Roman"/>
          <w:b w:val="0"/>
          <w:bCs/>
          <w:sz w:val="28"/>
          <w:szCs w:val="28"/>
        </w:rPr>
        <w:fldChar w:fldCharType="separate"/>
      </w:r>
      <w:r>
        <w:rPr>
          <w:rFonts w:hint="default" w:ascii="Times New Roman" w:hAnsi="Times New Roman" w:eastAsia="仿宋" w:cs="Times New Roman"/>
          <w:b w:val="0"/>
          <w:bCs/>
          <w:sz w:val="28"/>
          <w:szCs w:val="28"/>
        </w:rPr>
        <w:t>15</w:t>
      </w:r>
      <w:r>
        <w:rPr>
          <w:rFonts w:hint="default" w:ascii="Times New Roman" w:hAnsi="Times New Roman" w:eastAsia="仿宋" w:cs="Times New Roman"/>
          <w:b w:val="0"/>
          <w:bCs/>
          <w:sz w:val="28"/>
          <w:szCs w:val="28"/>
        </w:rPr>
        <w:fldChar w:fldCharType="end"/>
      </w:r>
      <w:r>
        <w:rPr>
          <w:rFonts w:hint="default" w:ascii="Times New Roman" w:hAnsi="Times New Roman" w:eastAsia="仿宋" w:cs="Times New Roman"/>
          <w:b w:val="0"/>
          <w:bCs/>
          <w:sz w:val="28"/>
          <w:szCs w:val="28"/>
          <w:highlight w:val="yellow"/>
        </w:rPr>
        <w:fldChar w:fldCharType="end"/>
      </w:r>
    </w:p>
    <w:p w14:paraId="1CBFD397">
      <w:pPr>
        <w:pStyle w:val="20"/>
        <w:keepNext w:val="0"/>
        <w:keepLines w:val="0"/>
        <w:pageBreakBefore w:val="0"/>
        <w:widowControl w:val="0"/>
        <w:tabs>
          <w:tab w:val="right" w:leader="dot" w:pos="8278"/>
          <w:tab w:val="clear" w:pos="8296"/>
        </w:tabs>
        <w:kinsoku/>
        <w:wordWrap/>
        <w:overflowPunct/>
        <w:topLinePunct w:val="0"/>
        <w:autoSpaceDE/>
        <w:autoSpaceDN/>
        <w:bidi w:val="0"/>
        <w:adjustRightInd/>
        <w:snapToGrid/>
        <w:spacing w:line="450" w:lineRule="exact"/>
        <w:textAlignment w:val="auto"/>
        <w:rPr>
          <w:rFonts w:hint="default" w:ascii="Times New Roman" w:hAnsi="Times New Roman" w:eastAsia="仿宋" w:cs="Times New Roman"/>
          <w:b w:val="0"/>
          <w:bCs/>
          <w:sz w:val="28"/>
          <w:szCs w:val="28"/>
        </w:rPr>
      </w:pPr>
      <w:r>
        <w:rPr>
          <w:rFonts w:hint="default" w:ascii="Times New Roman" w:hAnsi="Times New Roman" w:eastAsia="仿宋" w:cs="Times New Roman"/>
          <w:b w:val="0"/>
          <w:bCs/>
          <w:sz w:val="28"/>
          <w:szCs w:val="28"/>
          <w:highlight w:val="yellow"/>
        </w:rPr>
        <w:fldChar w:fldCharType="begin"/>
      </w:r>
      <w:r>
        <w:rPr>
          <w:rFonts w:hint="default" w:ascii="Times New Roman" w:hAnsi="Times New Roman" w:eastAsia="仿宋" w:cs="Times New Roman"/>
          <w:b w:val="0"/>
          <w:bCs/>
          <w:sz w:val="28"/>
          <w:szCs w:val="28"/>
          <w:highlight w:val="yellow"/>
        </w:rPr>
        <w:instrText xml:space="preserve"> HYPERLINK \l _Toc3753 </w:instrText>
      </w:r>
      <w:r>
        <w:rPr>
          <w:rFonts w:hint="default" w:ascii="Times New Roman" w:hAnsi="Times New Roman" w:eastAsia="仿宋" w:cs="Times New Roman"/>
          <w:b w:val="0"/>
          <w:bCs/>
          <w:sz w:val="28"/>
          <w:szCs w:val="28"/>
          <w:highlight w:val="yellow"/>
        </w:rPr>
        <w:fldChar w:fldCharType="separate"/>
      </w:r>
      <w:r>
        <w:rPr>
          <w:rFonts w:hint="default" w:ascii="Times New Roman" w:hAnsi="Times New Roman" w:eastAsia="仿宋" w:cs="Times New Roman"/>
          <w:b w:val="0"/>
          <w:bCs/>
          <w:sz w:val="28"/>
          <w:szCs w:val="28"/>
          <w:highlight w:val="none"/>
        </w:rPr>
        <w:t>第</w:t>
      </w:r>
      <w:r>
        <w:rPr>
          <w:rFonts w:hint="default" w:ascii="Times New Roman" w:hAnsi="Times New Roman" w:eastAsia="仿宋" w:cs="Times New Roman"/>
          <w:b w:val="0"/>
          <w:bCs/>
          <w:sz w:val="28"/>
          <w:szCs w:val="28"/>
          <w:highlight w:val="none"/>
          <w:lang w:eastAsia="zh-CN"/>
        </w:rPr>
        <w:t>三</w:t>
      </w:r>
      <w:r>
        <w:rPr>
          <w:rFonts w:hint="default" w:ascii="Times New Roman" w:hAnsi="Times New Roman" w:eastAsia="仿宋" w:cs="Times New Roman"/>
          <w:b w:val="0"/>
          <w:bCs/>
          <w:sz w:val="28"/>
          <w:szCs w:val="28"/>
          <w:highlight w:val="none"/>
        </w:rPr>
        <w:t>章  规划任务</w:t>
      </w:r>
      <w:r>
        <w:rPr>
          <w:rFonts w:hint="default" w:ascii="Times New Roman" w:hAnsi="Times New Roman" w:eastAsia="仿宋" w:cs="Times New Roman"/>
          <w:b w:val="0"/>
          <w:bCs/>
          <w:sz w:val="28"/>
          <w:szCs w:val="28"/>
          <w:highlight w:val="none"/>
          <w:lang w:eastAsia="zh-CN"/>
        </w:rPr>
        <w:t>与措施</w:t>
      </w:r>
      <w:r>
        <w:rPr>
          <w:rFonts w:hint="default" w:ascii="Times New Roman" w:hAnsi="Times New Roman" w:eastAsia="仿宋" w:cs="Times New Roman"/>
          <w:b w:val="0"/>
          <w:bCs/>
          <w:sz w:val="28"/>
          <w:szCs w:val="28"/>
        </w:rPr>
        <w:tab/>
      </w:r>
      <w:r>
        <w:rPr>
          <w:rFonts w:hint="default" w:ascii="Times New Roman" w:hAnsi="Times New Roman" w:eastAsia="仿宋" w:cs="Times New Roman"/>
          <w:b w:val="0"/>
          <w:bCs/>
          <w:sz w:val="28"/>
          <w:szCs w:val="28"/>
        </w:rPr>
        <w:fldChar w:fldCharType="begin"/>
      </w:r>
      <w:r>
        <w:rPr>
          <w:rFonts w:hint="default" w:ascii="Times New Roman" w:hAnsi="Times New Roman" w:eastAsia="仿宋" w:cs="Times New Roman"/>
          <w:b w:val="0"/>
          <w:bCs/>
          <w:sz w:val="28"/>
          <w:szCs w:val="28"/>
        </w:rPr>
        <w:instrText xml:space="preserve"> PAGEREF _Toc3753 \h </w:instrText>
      </w:r>
      <w:r>
        <w:rPr>
          <w:rFonts w:hint="default" w:ascii="Times New Roman" w:hAnsi="Times New Roman" w:eastAsia="仿宋" w:cs="Times New Roman"/>
          <w:b w:val="0"/>
          <w:bCs/>
          <w:sz w:val="28"/>
          <w:szCs w:val="28"/>
        </w:rPr>
        <w:fldChar w:fldCharType="separate"/>
      </w:r>
      <w:r>
        <w:rPr>
          <w:rFonts w:hint="default" w:ascii="Times New Roman" w:hAnsi="Times New Roman" w:eastAsia="仿宋" w:cs="Times New Roman"/>
          <w:b w:val="0"/>
          <w:bCs/>
          <w:sz w:val="28"/>
          <w:szCs w:val="28"/>
        </w:rPr>
        <w:t>22</w:t>
      </w:r>
      <w:r>
        <w:rPr>
          <w:rFonts w:hint="default" w:ascii="Times New Roman" w:hAnsi="Times New Roman" w:eastAsia="仿宋" w:cs="Times New Roman"/>
          <w:b w:val="0"/>
          <w:bCs/>
          <w:sz w:val="28"/>
          <w:szCs w:val="28"/>
        </w:rPr>
        <w:fldChar w:fldCharType="end"/>
      </w:r>
      <w:r>
        <w:rPr>
          <w:rFonts w:hint="default" w:ascii="Times New Roman" w:hAnsi="Times New Roman" w:eastAsia="仿宋" w:cs="Times New Roman"/>
          <w:b w:val="0"/>
          <w:bCs/>
          <w:sz w:val="28"/>
          <w:szCs w:val="28"/>
          <w:highlight w:val="yellow"/>
        </w:rPr>
        <w:fldChar w:fldCharType="end"/>
      </w:r>
    </w:p>
    <w:p w14:paraId="7E014ADF">
      <w:pPr>
        <w:pStyle w:val="21"/>
        <w:keepNext w:val="0"/>
        <w:keepLines w:val="0"/>
        <w:pageBreakBefore w:val="0"/>
        <w:widowControl w:val="0"/>
        <w:tabs>
          <w:tab w:val="right" w:leader="dot" w:pos="8278"/>
        </w:tabs>
        <w:kinsoku/>
        <w:wordWrap/>
        <w:overflowPunct/>
        <w:topLinePunct w:val="0"/>
        <w:autoSpaceDE/>
        <w:autoSpaceDN/>
        <w:bidi w:val="0"/>
        <w:adjustRightInd/>
        <w:snapToGrid/>
        <w:spacing w:line="450" w:lineRule="exact"/>
        <w:ind w:firstLine="0" w:firstLineChars="0"/>
        <w:textAlignment w:val="auto"/>
        <w:rPr>
          <w:rFonts w:hint="default" w:ascii="Times New Roman" w:hAnsi="Times New Roman" w:eastAsia="仿宋" w:cs="Times New Roman"/>
          <w:b w:val="0"/>
          <w:bCs/>
          <w:sz w:val="28"/>
          <w:szCs w:val="28"/>
        </w:rPr>
      </w:pPr>
      <w:r>
        <w:rPr>
          <w:rFonts w:hint="default" w:ascii="Times New Roman" w:hAnsi="Times New Roman" w:eastAsia="仿宋" w:cs="Times New Roman"/>
          <w:b w:val="0"/>
          <w:bCs/>
          <w:sz w:val="28"/>
          <w:szCs w:val="28"/>
          <w:highlight w:val="yellow"/>
        </w:rPr>
        <w:fldChar w:fldCharType="begin"/>
      </w:r>
      <w:r>
        <w:rPr>
          <w:rFonts w:hint="default" w:ascii="Times New Roman" w:hAnsi="Times New Roman" w:eastAsia="仿宋" w:cs="Times New Roman"/>
          <w:b w:val="0"/>
          <w:bCs/>
          <w:sz w:val="28"/>
          <w:szCs w:val="28"/>
          <w:highlight w:val="yellow"/>
        </w:rPr>
        <w:instrText xml:space="preserve"> HYPERLINK \l _Toc16628 </w:instrText>
      </w:r>
      <w:r>
        <w:rPr>
          <w:rFonts w:hint="default" w:ascii="Times New Roman" w:hAnsi="Times New Roman" w:eastAsia="仿宋" w:cs="Times New Roman"/>
          <w:b w:val="0"/>
          <w:bCs/>
          <w:sz w:val="28"/>
          <w:szCs w:val="28"/>
          <w:highlight w:val="yellow"/>
        </w:rPr>
        <w:fldChar w:fldCharType="separate"/>
      </w:r>
      <w:r>
        <w:rPr>
          <w:rFonts w:hint="default" w:ascii="Times New Roman" w:hAnsi="Times New Roman" w:eastAsia="仿宋" w:cs="Times New Roman"/>
          <w:b w:val="0"/>
          <w:bCs/>
          <w:sz w:val="28"/>
          <w:szCs w:val="28"/>
          <w:highlight w:val="none"/>
        </w:rPr>
        <w:t>一、</w:t>
      </w:r>
      <w:r>
        <w:rPr>
          <w:rFonts w:hint="default" w:ascii="Times New Roman" w:hAnsi="Times New Roman" w:eastAsia="仿宋" w:cs="Times New Roman"/>
          <w:b w:val="0"/>
          <w:bCs/>
          <w:sz w:val="28"/>
          <w:szCs w:val="28"/>
          <w:highlight w:val="none"/>
          <w:lang w:eastAsia="zh-CN"/>
        </w:rPr>
        <w:t>生态制度体系建设</w:t>
      </w:r>
      <w:r>
        <w:rPr>
          <w:rFonts w:hint="default" w:ascii="Times New Roman" w:hAnsi="Times New Roman" w:eastAsia="仿宋" w:cs="Times New Roman"/>
          <w:b w:val="0"/>
          <w:bCs/>
          <w:sz w:val="28"/>
          <w:szCs w:val="28"/>
        </w:rPr>
        <w:tab/>
      </w:r>
      <w:r>
        <w:rPr>
          <w:rFonts w:hint="default" w:ascii="Times New Roman" w:hAnsi="Times New Roman" w:eastAsia="仿宋" w:cs="Times New Roman"/>
          <w:b w:val="0"/>
          <w:bCs/>
          <w:sz w:val="28"/>
          <w:szCs w:val="28"/>
        </w:rPr>
        <w:fldChar w:fldCharType="begin"/>
      </w:r>
      <w:r>
        <w:rPr>
          <w:rFonts w:hint="default" w:ascii="Times New Roman" w:hAnsi="Times New Roman" w:eastAsia="仿宋" w:cs="Times New Roman"/>
          <w:b w:val="0"/>
          <w:bCs/>
          <w:sz w:val="28"/>
          <w:szCs w:val="28"/>
        </w:rPr>
        <w:instrText xml:space="preserve"> PAGEREF _Toc16628 \h </w:instrText>
      </w:r>
      <w:r>
        <w:rPr>
          <w:rFonts w:hint="default" w:ascii="Times New Roman" w:hAnsi="Times New Roman" w:eastAsia="仿宋" w:cs="Times New Roman"/>
          <w:b w:val="0"/>
          <w:bCs/>
          <w:sz w:val="28"/>
          <w:szCs w:val="28"/>
        </w:rPr>
        <w:fldChar w:fldCharType="separate"/>
      </w:r>
      <w:r>
        <w:rPr>
          <w:rFonts w:hint="default" w:ascii="Times New Roman" w:hAnsi="Times New Roman" w:eastAsia="仿宋" w:cs="Times New Roman"/>
          <w:b w:val="0"/>
          <w:bCs/>
          <w:sz w:val="28"/>
          <w:szCs w:val="28"/>
        </w:rPr>
        <w:t>22</w:t>
      </w:r>
      <w:r>
        <w:rPr>
          <w:rFonts w:hint="default" w:ascii="Times New Roman" w:hAnsi="Times New Roman" w:eastAsia="仿宋" w:cs="Times New Roman"/>
          <w:b w:val="0"/>
          <w:bCs/>
          <w:sz w:val="28"/>
          <w:szCs w:val="28"/>
        </w:rPr>
        <w:fldChar w:fldCharType="end"/>
      </w:r>
      <w:r>
        <w:rPr>
          <w:rFonts w:hint="default" w:ascii="Times New Roman" w:hAnsi="Times New Roman" w:eastAsia="仿宋" w:cs="Times New Roman"/>
          <w:b w:val="0"/>
          <w:bCs/>
          <w:sz w:val="28"/>
          <w:szCs w:val="28"/>
          <w:highlight w:val="yellow"/>
        </w:rPr>
        <w:fldChar w:fldCharType="end"/>
      </w:r>
    </w:p>
    <w:p w14:paraId="6B3B5BCD">
      <w:pPr>
        <w:pStyle w:val="21"/>
        <w:keepNext w:val="0"/>
        <w:keepLines w:val="0"/>
        <w:pageBreakBefore w:val="0"/>
        <w:widowControl w:val="0"/>
        <w:tabs>
          <w:tab w:val="right" w:leader="dot" w:pos="8278"/>
        </w:tabs>
        <w:kinsoku/>
        <w:wordWrap/>
        <w:overflowPunct/>
        <w:topLinePunct w:val="0"/>
        <w:autoSpaceDE/>
        <w:autoSpaceDN/>
        <w:bidi w:val="0"/>
        <w:adjustRightInd/>
        <w:snapToGrid/>
        <w:spacing w:line="450" w:lineRule="exact"/>
        <w:ind w:firstLine="0" w:firstLineChars="0"/>
        <w:textAlignment w:val="auto"/>
        <w:rPr>
          <w:rFonts w:hint="default" w:ascii="Times New Roman" w:hAnsi="Times New Roman" w:eastAsia="仿宋" w:cs="Times New Roman"/>
          <w:b w:val="0"/>
          <w:bCs/>
          <w:sz w:val="28"/>
          <w:szCs w:val="28"/>
        </w:rPr>
      </w:pPr>
      <w:r>
        <w:rPr>
          <w:rFonts w:hint="default" w:ascii="Times New Roman" w:hAnsi="Times New Roman" w:eastAsia="仿宋" w:cs="Times New Roman"/>
          <w:b w:val="0"/>
          <w:bCs/>
          <w:sz w:val="28"/>
          <w:szCs w:val="28"/>
          <w:highlight w:val="yellow"/>
        </w:rPr>
        <w:fldChar w:fldCharType="begin"/>
      </w:r>
      <w:r>
        <w:rPr>
          <w:rFonts w:hint="default" w:ascii="Times New Roman" w:hAnsi="Times New Roman" w:eastAsia="仿宋" w:cs="Times New Roman"/>
          <w:b w:val="0"/>
          <w:bCs/>
          <w:sz w:val="28"/>
          <w:szCs w:val="28"/>
          <w:highlight w:val="yellow"/>
        </w:rPr>
        <w:instrText xml:space="preserve"> HYPERLINK \l _Toc4351 </w:instrText>
      </w:r>
      <w:r>
        <w:rPr>
          <w:rFonts w:hint="default" w:ascii="Times New Roman" w:hAnsi="Times New Roman" w:eastAsia="仿宋" w:cs="Times New Roman"/>
          <w:b w:val="0"/>
          <w:bCs/>
          <w:sz w:val="28"/>
          <w:szCs w:val="28"/>
          <w:highlight w:val="yellow"/>
        </w:rPr>
        <w:fldChar w:fldCharType="separate"/>
      </w:r>
      <w:r>
        <w:rPr>
          <w:rFonts w:hint="default" w:ascii="Times New Roman" w:hAnsi="Times New Roman" w:eastAsia="仿宋" w:cs="Times New Roman"/>
          <w:b w:val="0"/>
          <w:bCs/>
          <w:sz w:val="28"/>
          <w:szCs w:val="28"/>
          <w:highlight w:val="none"/>
        </w:rPr>
        <w:t>二、</w:t>
      </w:r>
      <w:r>
        <w:rPr>
          <w:rFonts w:hint="default" w:ascii="Times New Roman" w:hAnsi="Times New Roman" w:eastAsia="仿宋" w:cs="Times New Roman"/>
          <w:b w:val="0"/>
          <w:bCs/>
          <w:sz w:val="28"/>
          <w:szCs w:val="28"/>
          <w:highlight w:val="none"/>
          <w:lang w:eastAsia="zh-CN"/>
        </w:rPr>
        <w:t>生态安全体系建设</w:t>
      </w:r>
      <w:r>
        <w:rPr>
          <w:rFonts w:hint="default" w:ascii="Times New Roman" w:hAnsi="Times New Roman" w:eastAsia="仿宋" w:cs="Times New Roman"/>
          <w:b w:val="0"/>
          <w:bCs/>
          <w:sz w:val="28"/>
          <w:szCs w:val="28"/>
        </w:rPr>
        <w:tab/>
      </w:r>
      <w:r>
        <w:rPr>
          <w:rFonts w:hint="default" w:ascii="Times New Roman" w:hAnsi="Times New Roman" w:eastAsia="仿宋" w:cs="Times New Roman"/>
          <w:b w:val="0"/>
          <w:bCs/>
          <w:sz w:val="28"/>
          <w:szCs w:val="28"/>
        </w:rPr>
        <w:fldChar w:fldCharType="begin"/>
      </w:r>
      <w:r>
        <w:rPr>
          <w:rFonts w:hint="default" w:ascii="Times New Roman" w:hAnsi="Times New Roman" w:eastAsia="仿宋" w:cs="Times New Roman"/>
          <w:b w:val="0"/>
          <w:bCs/>
          <w:sz w:val="28"/>
          <w:szCs w:val="28"/>
        </w:rPr>
        <w:instrText xml:space="preserve"> PAGEREF _Toc4351 \h </w:instrText>
      </w:r>
      <w:r>
        <w:rPr>
          <w:rFonts w:hint="default" w:ascii="Times New Roman" w:hAnsi="Times New Roman" w:eastAsia="仿宋" w:cs="Times New Roman"/>
          <w:b w:val="0"/>
          <w:bCs/>
          <w:sz w:val="28"/>
          <w:szCs w:val="28"/>
        </w:rPr>
        <w:fldChar w:fldCharType="separate"/>
      </w:r>
      <w:r>
        <w:rPr>
          <w:rFonts w:hint="default" w:ascii="Times New Roman" w:hAnsi="Times New Roman" w:eastAsia="仿宋" w:cs="Times New Roman"/>
          <w:b w:val="0"/>
          <w:bCs/>
          <w:sz w:val="28"/>
          <w:szCs w:val="28"/>
        </w:rPr>
        <w:t>29</w:t>
      </w:r>
      <w:r>
        <w:rPr>
          <w:rFonts w:hint="default" w:ascii="Times New Roman" w:hAnsi="Times New Roman" w:eastAsia="仿宋" w:cs="Times New Roman"/>
          <w:b w:val="0"/>
          <w:bCs/>
          <w:sz w:val="28"/>
          <w:szCs w:val="28"/>
        </w:rPr>
        <w:fldChar w:fldCharType="end"/>
      </w:r>
      <w:r>
        <w:rPr>
          <w:rFonts w:hint="default" w:ascii="Times New Roman" w:hAnsi="Times New Roman" w:eastAsia="仿宋" w:cs="Times New Roman"/>
          <w:b w:val="0"/>
          <w:bCs/>
          <w:sz w:val="28"/>
          <w:szCs w:val="28"/>
          <w:highlight w:val="yellow"/>
        </w:rPr>
        <w:fldChar w:fldCharType="end"/>
      </w:r>
    </w:p>
    <w:p w14:paraId="650924BE">
      <w:pPr>
        <w:pStyle w:val="21"/>
        <w:keepNext w:val="0"/>
        <w:keepLines w:val="0"/>
        <w:pageBreakBefore w:val="0"/>
        <w:widowControl w:val="0"/>
        <w:tabs>
          <w:tab w:val="right" w:leader="dot" w:pos="8278"/>
        </w:tabs>
        <w:kinsoku/>
        <w:wordWrap/>
        <w:overflowPunct/>
        <w:topLinePunct w:val="0"/>
        <w:autoSpaceDE/>
        <w:autoSpaceDN/>
        <w:bidi w:val="0"/>
        <w:adjustRightInd/>
        <w:snapToGrid/>
        <w:spacing w:line="450" w:lineRule="exact"/>
        <w:ind w:firstLine="0" w:firstLineChars="0"/>
        <w:textAlignment w:val="auto"/>
        <w:rPr>
          <w:rFonts w:hint="default" w:ascii="Times New Roman" w:hAnsi="Times New Roman" w:eastAsia="仿宋" w:cs="Times New Roman"/>
          <w:b w:val="0"/>
          <w:bCs/>
          <w:sz w:val="28"/>
          <w:szCs w:val="28"/>
        </w:rPr>
      </w:pPr>
      <w:r>
        <w:rPr>
          <w:rFonts w:hint="default" w:ascii="Times New Roman" w:hAnsi="Times New Roman" w:eastAsia="仿宋" w:cs="Times New Roman"/>
          <w:b w:val="0"/>
          <w:bCs/>
          <w:sz w:val="28"/>
          <w:szCs w:val="28"/>
          <w:highlight w:val="yellow"/>
        </w:rPr>
        <w:fldChar w:fldCharType="begin"/>
      </w:r>
      <w:r>
        <w:rPr>
          <w:rFonts w:hint="default" w:ascii="Times New Roman" w:hAnsi="Times New Roman" w:eastAsia="仿宋" w:cs="Times New Roman"/>
          <w:b w:val="0"/>
          <w:bCs/>
          <w:sz w:val="28"/>
          <w:szCs w:val="28"/>
          <w:highlight w:val="yellow"/>
        </w:rPr>
        <w:instrText xml:space="preserve"> HYPERLINK \l _Toc26571 </w:instrText>
      </w:r>
      <w:r>
        <w:rPr>
          <w:rFonts w:hint="default" w:ascii="Times New Roman" w:hAnsi="Times New Roman" w:eastAsia="仿宋" w:cs="Times New Roman"/>
          <w:b w:val="0"/>
          <w:bCs/>
          <w:sz w:val="28"/>
          <w:szCs w:val="28"/>
          <w:highlight w:val="yellow"/>
        </w:rPr>
        <w:fldChar w:fldCharType="separate"/>
      </w:r>
      <w:r>
        <w:rPr>
          <w:rFonts w:hint="default" w:ascii="Times New Roman" w:hAnsi="Times New Roman" w:eastAsia="仿宋" w:cs="Times New Roman"/>
          <w:b w:val="0"/>
          <w:bCs/>
          <w:sz w:val="28"/>
          <w:szCs w:val="28"/>
          <w:highlight w:val="none"/>
        </w:rPr>
        <w:t>三、</w:t>
      </w:r>
      <w:r>
        <w:rPr>
          <w:rFonts w:hint="default" w:ascii="Times New Roman" w:hAnsi="Times New Roman" w:eastAsia="仿宋" w:cs="Times New Roman"/>
          <w:b w:val="0"/>
          <w:bCs/>
          <w:sz w:val="28"/>
          <w:szCs w:val="28"/>
          <w:highlight w:val="none"/>
          <w:lang w:eastAsia="zh-CN"/>
        </w:rPr>
        <w:t>生态空间体系建设</w:t>
      </w:r>
      <w:r>
        <w:rPr>
          <w:rFonts w:hint="default" w:ascii="Times New Roman" w:hAnsi="Times New Roman" w:eastAsia="仿宋" w:cs="Times New Roman"/>
          <w:b w:val="0"/>
          <w:bCs/>
          <w:sz w:val="28"/>
          <w:szCs w:val="28"/>
        </w:rPr>
        <w:tab/>
      </w:r>
      <w:r>
        <w:rPr>
          <w:rFonts w:hint="default" w:ascii="Times New Roman" w:hAnsi="Times New Roman" w:eastAsia="仿宋" w:cs="Times New Roman"/>
          <w:b w:val="0"/>
          <w:bCs/>
          <w:sz w:val="28"/>
          <w:szCs w:val="28"/>
        </w:rPr>
        <w:fldChar w:fldCharType="begin"/>
      </w:r>
      <w:r>
        <w:rPr>
          <w:rFonts w:hint="default" w:ascii="Times New Roman" w:hAnsi="Times New Roman" w:eastAsia="仿宋" w:cs="Times New Roman"/>
          <w:b w:val="0"/>
          <w:bCs/>
          <w:sz w:val="28"/>
          <w:szCs w:val="28"/>
        </w:rPr>
        <w:instrText xml:space="preserve"> PAGEREF _Toc26571 \h </w:instrText>
      </w:r>
      <w:r>
        <w:rPr>
          <w:rFonts w:hint="default" w:ascii="Times New Roman" w:hAnsi="Times New Roman" w:eastAsia="仿宋" w:cs="Times New Roman"/>
          <w:b w:val="0"/>
          <w:bCs/>
          <w:sz w:val="28"/>
          <w:szCs w:val="28"/>
        </w:rPr>
        <w:fldChar w:fldCharType="separate"/>
      </w:r>
      <w:r>
        <w:rPr>
          <w:rFonts w:hint="default" w:ascii="Times New Roman" w:hAnsi="Times New Roman" w:eastAsia="仿宋" w:cs="Times New Roman"/>
          <w:b w:val="0"/>
          <w:bCs/>
          <w:sz w:val="28"/>
          <w:szCs w:val="28"/>
        </w:rPr>
        <w:t>52</w:t>
      </w:r>
      <w:r>
        <w:rPr>
          <w:rFonts w:hint="default" w:ascii="Times New Roman" w:hAnsi="Times New Roman" w:eastAsia="仿宋" w:cs="Times New Roman"/>
          <w:b w:val="0"/>
          <w:bCs/>
          <w:sz w:val="28"/>
          <w:szCs w:val="28"/>
        </w:rPr>
        <w:fldChar w:fldCharType="end"/>
      </w:r>
      <w:r>
        <w:rPr>
          <w:rFonts w:hint="default" w:ascii="Times New Roman" w:hAnsi="Times New Roman" w:eastAsia="仿宋" w:cs="Times New Roman"/>
          <w:b w:val="0"/>
          <w:bCs/>
          <w:sz w:val="28"/>
          <w:szCs w:val="28"/>
          <w:highlight w:val="yellow"/>
        </w:rPr>
        <w:fldChar w:fldCharType="end"/>
      </w:r>
    </w:p>
    <w:p w14:paraId="4C7EBEF5">
      <w:pPr>
        <w:pStyle w:val="21"/>
        <w:keepNext w:val="0"/>
        <w:keepLines w:val="0"/>
        <w:pageBreakBefore w:val="0"/>
        <w:widowControl w:val="0"/>
        <w:tabs>
          <w:tab w:val="right" w:leader="dot" w:pos="8278"/>
        </w:tabs>
        <w:kinsoku/>
        <w:wordWrap/>
        <w:overflowPunct/>
        <w:topLinePunct w:val="0"/>
        <w:autoSpaceDE/>
        <w:autoSpaceDN/>
        <w:bidi w:val="0"/>
        <w:adjustRightInd/>
        <w:snapToGrid/>
        <w:spacing w:line="450" w:lineRule="exact"/>
        <w:ind w:firstLine="0" w:firstLineChars="0"/>
        <w:textAlignment w:val="auto"/>
        <w:rPr>
          <w:rFonts w:hint="default" w:ascii="Times New Roman" w:hAnsi="Times New Roman" w:eastAsia="仿宋" w:cs="Times New Roman"/>
          <w:b w:val="0"/>
          <w:bCs/>
          <w:sz w:val="28"/>
          <w:szCs w:val="28"/>
        </w:rPr>
      </w:pPr>
      <w:r>
        <w:rPr>
          <w:rFonts w:hint="default" w:ascii="Times New Roman" w:hAnsi="Times New Roman" w:eastAsia="仿宋" w:cs="Times New Roman"/>
          <w:b w:val="0"/>
          <w:bCs/>
          <w:sz w:val="28"/>
          <w:szCs w:val="28"/>
          <w:highlight w:val="yellow"/>
        </w:rPr>
        <w:fldChar w:fldCharType="begin"/>
      </w:r>
      <w:r>
        <w:rPr>
          <w:rFonts w:hint="default" w:ascii="Times New Roman" w:hAnsi="Times New Roman" w:eastAsia="仿宋" w:cs="Times New Roman"/>
          <w:b w:val="0"/>
          <w:bCs/>
          <w:sz w:val="28"/>
          <w:szCs w:val="28"/>
          <w:highlight w:val="yellow"/>
        </w:rPr>
        <w:instrText xml:space="preserve"> HYPERLINK \l _Toc23436 </w:instrText>
      </w:r>
      <w:r>
        <w:rPr>
          <w:rFonts w:hint="default" w:ascii="Times New Roman" w:hAnsi="Times New Roman" w:eastAsia="仿宋" w:cs="Times New Roman"/>
          <w:b w:val="0"/>
          <w:bCs/>
          <w:sz w:val="28"/>
          <w:szCs w:val="28"/>
          <w:highlight w:val="yellow"/>
        </w:rPr>
        <w:fldChar w:fldCharType="separate"/>
      </w:r>
      <w:r>
        <w:rPr>
          <w:rFonts w:hint="default" w:ascii="Times New Roman" w:hAnsi="Times New Roman" w:eastAsia="仿宋" w:cs="Times New Roman"/>
          <w:b w:val="0"/>
          <w:bCs/>
          <w:sz w:val="28"/>
          <w:szCs w:val="28"/>
          <w:highlight w:val="none"/>
        </w:rPr>
        <w:t>四、</w:t>
      </w:r>
      <w:r>
        <w:rPr>
          <w:rFonts w:hint="default" w:ascii="Times New Roman" w:hAnsi="Times New Roman" w:eastAsia="仿宋" w:cs="Times New Roman"/>
          <w:b w:val="0"/>
          <w:bCs/>
          <w:sz w:val="28"/>
          <w:szCs w:val="28"/>
          <w:highlight w:val="none"/>
          <w:lang w:eastAsia="zh-CN"/>
        </w:rPr>
        <w:t>生态经济体系建设</w:t>
      </w:r>
      <w:r>
        <w:rPr>
          <w:rFonts w:hint="default" w:ascii="Times New Roman" w:hAnsi="Times New Roman" w:eastAsia="仿宋" w:cs="Times New Roman"/>
          <w:b w:val="0"/>
          <w:bCs/>
          <w:sz w:val="28"/>
          <w:szCs w:val="28"/>
        </w:rPr>
        <w:tab/>
      </w:r>
      <w:r>
        <w:rPr>
          <w:rFonts w:hint="default" w:ascii="Times New Roman" w:hAnsi="Times New Roman" w:eastAsia="仿宋" w:cs="Times New Roman"/>
          <w:b w:val="0"/>
          <w:bCs/>
          <w:sz w:val="28"/>
          <w:szCs w:val="28"/>
        </w:rPr>
        <w:fldChar w:fldCharType="begin"/>
      </w:r>
      <w:r>
        <w:rPr>
          <w:rFonts w:hint="default" w:ascii="Times New Roman" w:hAnsi="Times New Roman" w:eastAsia="仿宋" w:cs="Times New Roman"/>
          <w:b w:val="0"/>
          <w:bCs/>
          <w:sz w:val="28"/>
          <w:szCs w:val="28"/>
        </w:rPr>
        <w:instrText xml:space="preserve"> PAGEREF _Toc23436 \h </w:instrText>
      </w:r>
      <w:r>
        <w:rPr>
          <w:rFonts w:hint="default" w:ascii="Times New Roman" w:hAnsi="Times New Roman" w:eastAsia="仿宋" w:cs="Times New Roman"/>
          <w:b w:val="0"/>
          <w:bCs/>
          <w:sz w:val="28"/>
          <w:szCs w:val="28"/>
        </w:rPr>
        <w:fldChar w:fldCharType="separate"/>
      </w:r>
      <w:r>
        <w:rPr>
          <w:rFonts w:hint="default" w:ascii="Times New Roman" w:hAnsi="Times New Roman" w:eastAsia="仿宋" w:cs="Times New Roman"/>
          <w:b w:val="0"/>
          <w:bCs/>
          <w:sz w:val="28"/>
          <w:szCs w:val="28"/>
        </w:rPr>
        <w:t>54</w:t>
      </w:r>
      <w:r>
        <w:rPr>
          <w:rFonts w:hint="default" w:ascii="Times New Roman" w:hAnsi="Times New Roman" w:eastAsia="仿宋" w:cs="Times New Roman"/>
          <w:b w:val="0"/>
          <w:bCs/>
          <w:sz w:val="28"/>
          <w:szCs w:val="28"/>
        </w:rPr>
        <w:fldChar w:fldCharType="end"/>
      </w:r>
      <w:r>
        <w:rPr>
          <w:rFonts w:hint="default" w:ascii="Times New Roman" w:hAnsi="Times New Roman" w:eastAsia="仿宋" w:cs="Times New Roman"/>
          <w:b w:val="0"/>
          <w:bCs/>
          <w:sz w:val="28"/>
          <w:szCs w:val="28"/>
          <w:highlight w:val="yellow"/>
        </w:rPr>
        <w:fldChar w:fldCharType="end"/>
      </w:r>
    </w:p>
    <w:p w14:paraId="339C9576">
      <w:pPr>
        <w:pStyle w:val="21"/>
        <w:keepNext w:val="0"/>
        <w:keepLines w:val="0"/>
        <w:pageBreakBefore w:val="0"/>
        <w:widowControl w:val="0"/>
        <w:tabs>
          <w:tab w:val="right" w:leader="dot" w:pos="8278"/>
        </w:tabs>
        <w:kinsoku/>
        <w:wordWrap/>
        <w:overflowPunct/>
        <w:topLinePunct w:val="0"/>
        <w:autoSpaceDE/>
        <w:autoSpaceDN/>
        <w:bidi w:val="0"/>
        <w:adjustRightInd/>
        <w:snapToGrid/>
        <w:spacing w:line="450" w:lineRule="exact"/>
        <w:ind w:firstLine="0" w:firstLineChars="0"/>
        <w:textAlignment w:val="auto"/>
        <w:rPr>
          <w:rFonts w:hint="default" w:ascii="Times New Roman" w:hAnsi="Times New Roman" w:eastAsia="仿宋" w:cs="Times New Roman"/>
          <w:b w:val="0"/>
          <w:bCs/>
          <w:sz w:val="28"/>
          <w:szCs w:val="28"/>
        </w:rPr>
      </w:pPr>
      <w:r>
        <w:rPr>
          <w:rFonts w:hint="default" w:ascii="Times New Roman" w:hAnsi="Times New Roman" w:eastAsia="仿宋" w:cs="Times New Roman"/>
          <w:b w:val="0"/>
          <w:bCs/>
          <w:sz w:val="28"/>
          <w:szCs w:val="28"/>
          <w:highlight w:val="yellow"/>
        </w:rPr>
        <w:fldChar w:fldCharType="begin"/>
      </w:r>
      <w:r>
        <w:rPr>
          <w:rFonts w:hint="default" w:ascii="Times New Roman" w:hAnsi="Times New Roman" w:eastAsia="仿宋" w:cs="Times New Roman"/>
          <w:b w:val="0"/>
          <w:bCs/>
          <w:sz w:val="28"/>
          <w:szCs w:val="28"/>
          <w:highlight w:val="yellow"/>
        </w:rPr>
        <w:instrText xml:space="preserve"> HYPERLINK \l _Toc28939 </w:instrText>
      </w:r>
      <w:r>
        <w:rPr>
          <w:rFonts w:hint="default" w:ascii="Times New Roman" w:hAnsi="Times New Roman" w:eastAsia="仿宋" w:cs="Times New Roman"/>
          <w:b w:val="0"/>
          <w:bCs/>
          <w:sz w:val="28"/>
          <w:szCs w:val="28"/>
          <w:highlight w:val="yellow"/>
        </w:rPr>
        <w:fldChar w:fldCharType="separate"/>
      </w:r>
      <w:r>
        <w:rPr>
          <w:rFonts w:hint="default" w:ascii="Times New Roman" w:hAnsi="Times New Roman" w:eastAsia="仿宋" w:cs="Times New Roman"/>
          <w:b w:val="0"/>
          <w:bCs/>
          <w:sz w:val="28"/>
          <w:szCs w:val="28"/>
          <w:highlight w:val="none"/>
        </w:rPr>
        <w:t>五、</w:t>
      </w:r>
      <w:r>
        <w:rPr>
          <w:rFonts w:hint="default" w:ascii="Times New Roman" w:hAnsi="Times New Roman" w:eastAsia="仿宋" w:cs="Times New Roman"/>
          <w:b w:val="0"/>
          <w:bCs/>
          <w:sz w:val="28"/>
          <w:szCs w:val="28"/>
          <w:highlight w:val="none"/>
          <w:lang w:eastAsia="zh-CN"/>
        </w:rPr>
        <w:t>生态</w:t>
      </w:r>
      <w:r>
        <w:rPr>
          <w:rFonts w:hint="default" w:ascii="Times New Roman" w:hAnsi="Times New Roman" w:eastAsia="仿宋" w:cs="Times New Roman"/>
          <w:b w:val="0"/>
          <w:bCs/>
          <w:sz w:val="28"/>
          <w:szCs w:val="28"/>
          <w:highlight w:val="none"/>
        </w:rPr>
        <w:t>生活</w:t>
      </w:r>
      <w:r>
        <w:rPr>
          <w:rFonts w:hint="default" w:ascii="Times New Roman" w:hAnsi="Times New Roman" w:eastAsia="仿宋" w:cs="Times New Roman"/>
          <w:b w:val="0"/>
          <w:bCs/>
          <w:sz w:val="28"/>
          <w:szCs w:val="28"/>
          <w:highlight w:val="none"/>
          <w:lang w:eastAsia="zh-CN"/>
        </w:rPr>
        <w:t>体系建设</w:t>
      </w:r>
      <w:r>
        <w:rPr>
          <w:rFonts w:hint="default" w:ascii="Times New Roman" w:hAnsi="Times New Roman" w:eastAsia="仿宋" w:cs="Times New Roman"/>
          <w:b w:val="0"/>
          <w:bCs/>
          <w:sz w:val="28"/>
          <w:szCs w:val="28"/>
        </w:rPr>
        <w:tab/>
      </w:r>
      <w:r>
        <w:rPr>
          <w:rFonts w:hint="default" w:ascii="Times New Roman" w:hAnsi="Times New Roman" w:eastAsia="仿宋" w:cs="Times New Roman"/>
          <w:b w:val="0"/>
          <w:bCs/>
          <w:sz w:val="28"/>
          <w:szCs w:val="28"/>
        </w:rPr>
        <w:fldChar w:fldCharType="begin"/>
      </w:r>
      <w:r>
        <w:rPr>
          <w:rFonts w:hint="default" w:ascii="Times New Roman" w:hAnsi="Times New Roman" w:eastAsia="仿宋" w:cs="Times New Roman"/>
          <w:b w:val="0"/>
          <w:bCs/>
          <w:sz w:val="28"/>
          <w:szCs w:val="28"/>
        </w:rPr>
        <w:instrText xml:space="preserve"> PAGEREF _Toc28939 \h </w:instrText>
      </w:r>
      <w:r>
        <w:rPr>
          <w:rFonts w:hint="default" w:ascii="Times New Roman" w:hAnsi="Times New Roman" w:eastAsia="仿宋" w:cs="Times New Roman"/>
          <w:b w:val="0"/>
          <w:bCs/>
          <w:sz w:val="28"/>
          <w:szCs w:val="28"/>
        </w:rPr>
        <w:fldChar w:fldCharType="separate"/>
      </w:r>
      <w:r>
        <w:rPr>
          <w:rFonts w:hint="default" w:ascii="Times New Roman" w:hAnsi="Times New Roman" w:eastAsia="仿宋" w:cs="Times New Roman"/>
          <w:b w:val="0"/>
          <w:bCs/>
          <w:sz w:val="28"/>
          <w:szCs w:val="28"/>
        </w:rPr>
        <w:t>65</w:t>
      </w:r>
      <w:r>
        <w:rPr>
          <w:rFonts w:hint="default" w:ascii="Times New Roman" w:hAnsi="Times New Roman" w:eastAsia="仿宋" w:cs="Times New Roman"/>
          <w:b w:val="0"/>
          <w:bCs/>
          <w:sz w:val="28"/>
          <w:szCs w:val="28"/>
        </w:rPr>
        <w:fldChar w:fldCharType="end"/>
      </w:r>
      <w:r>
        <w:rPr>
          <w:rFonts w:hint="default" w:ascii="Times New Roman" w:hAnsi="Times New Roman" w:eastAsia="仿宋" w:cs="Times New Roman"/>
          <w:b w:val="0"/>
          <w:bCs/>
          <w:sz w:val="28"/>
          <w:szCs w:val="28"/>
          <w:highlight w:val="yellow"/>
        </w:rPr>
        <w:fldChar w:fldCharType="end"/>
      </w:r>
    </w:p>
    <w:p w14:paraId="5C974F84">
      <w:pPr>
        <w:pStyle w:val="21"/>
        <w:keepNext w:val="0"/>
        <w:keepLines w:val="0"/>
        <w:pageBreakBefore w:val="0"/>
        <w:widowControl w:val="0"/>
        <w:tabs>
          <w:tab w:val="right" w:leader="dot" w:pos="8278"/>
        </w:tabs>
        <w:kinsoku/>
        <w:wordWrap/>
        <w:overflowPunct/>
        <w:topLinePunct w:val="0"/>
        <w:autoSpaceDE/>
        <w:autoSpaceDN/>
        <w:bidi w:val="0"/>
        <w:adjustRightInd/>
        <w:snapToGrid/>
        <w:spacing w:line="450" w:lineRule="exact"/>
        <w:ind w:firstLine="0" w:firstLineChars="0"/>
        <w:textAlignment w:val="auto"/>
        <w:rPr>
          <w:rFonts w:hint="default" w:ascii="Times New Roman" w:hAnsi="Times New Roman" w:eastAsia="仿宋" w:cs="Times New Roman"/>
          <w:b w:val="0"/>
          <w:bCs/>
          <w:sz w:val="28"/>
          <w:szCs w:val="28"/>
        </w:rPr>
      </w:pPr>
      <w:r>
        <w:rPr>
          <w:rFonts w:hint="default" w:ascii="Times New Roman" w:hAnsi="Times New Roman" w:eastAsia="仿宋" w:cs="Times New Roman"/>
          <w:b w:val="0"/>
          <w:bCs/>
          <w:sz w:val="28"/>
          <w:szCs w:val="28"/>
          <w:highlight w:val="yellow"/>
        </w:rPr>
        <w:fldChar w:fldCharType="begin"/>
      </w:r>
      <w:r>
        <w:rPr>
          <w:rFonts w:hint="default" w:ascii="Times New Roman" w:hAnsi="Times New Roman" w:eastAsia="仿宋" w:cs="Times New Roman"/>
          <w:b w:val="0"/>
          <w:bCs/>
          <w:sz w:val="28"/>
          <w:szCs w:val="28"/>
          <w:highlight w:val="yellow"/>
        </w:rPr>
        <w:instrText xml:space="preserve"> HYPERLINK \l _Toc4792 </w:instrText>
      </w:r>
      <w:r>
        <w:rPr>
          <w:rFonts w:hint="default" w:ascii="Times New Roman" w:hAnsi="Times New Roman" w:eastAsia="仿宋" w:cs="Times New Roman"/>
          <w:b w:val="0"/>
          <w:bCs/>
          <w:sz w:val="28"/>
          <w:szCs w:val="28"/>
          <w:highlight w:val="yellow"/>
        </w:rPr>
        <w:fldChar w:fldCharType="separate"/>
      </w:r>
      <w:r>
        <w:rPr>
          <w:rFonts w:hint="default" w:ascii="Times New Roman" w:hAnsi="Times New Roman" w:eastAsia="仿宋" w:cs="Times New Roman"/>
          <w:b w:val="0"/>
          <w:bCs/>
          <w:sz w:val="28"/>
          <w:szCs w:val="28"/>
          <w:highlight w:val="none"/>
        </w:rPr>
        <w:t>六、</w:t>
      </w:r>
      <w:r>
        <w:rPr>
          <w:rFonts w:hint="default" w:ascii="Times New Roman" w:hAnsi="Times New Roman" w:eastAsia="仿宋" w:cs="Times New Roman"/>
          <w:b w:val="0"/>
          <w:bCs/>
          <w:sz w:val="28"/>
          <w:szCs w:val="28"/>
          <w:highlight w:val="none"/>
          <w:lang w:eastAsia="zh-CN"/>
        </w:rPr>
        <w:t>生态文化体系建设</w:t>
      </w:r>
      <w:r>
        <w:rPr>
          <w:rFonts w:hint="default" w:ascii="Times New Roman" w:hAnsi="Times New Roman" w:eastAsia="仿宋" w:cs="Times New Roman"/>
          <w:b w:val="0"/>
          <w:bCs/>
          <w:sz w:val="28"/>
          <w:szCs w:val="28"/>
        </w:rPr>
        <w:tab/>
      </w:r>
      <w:r>
        <w:rPr>
          <w:rFonts w:hint="default" w:ascii="Times New Roman" w:hAnsi="Times New Roman" w:eastAsia="仿宋" w:cs="Times New Roman"/>
          <w:b w:val="0"/>
          <w:bCs/>
          <w:sz w:val="28"/>
          <w:szCs w:val="28"/>
        </w:rPr>
        <w:fldChar w:fldCharType="begin"/>
      </w:r>
      <w:r>
        <w:rPr>
          <w:rFonts w:hint="default" w:ascii="Times New Roman" w:hAnsi="Times New Roman" w:eastAsia="仿宋" w:cs="Times New Roman"/>
          <w:b w:val="0"/>
          <w:bCs/>
          <w:sz w:val="28"/>
          <w:szCs w:val="28"/>
        </w:rPr>
        <w:instrText xml:space="preserve"> PAGEREF _Toc4792 \h </w:instrText>
      </w:r>
      <w:r>
        <w:rPr>
          <w:rFonts w:hint="default" w:ascii="Times New Roman" w:hAnsi="Times New Roman" w:eastAsia="仿宋" w:cs="Times New Roman"/>
          <w:b w:val="0"/>
          <w:bCs/>
          <w:sz w:val="28"/>
          <w:szCs w:val="28"/>
        </w:rPr>
        <w:fldChar w:fldCharType="separate"/>
      </w:r>
      <w:r>
        <w:rPr>
          <w:rFonts w:hint="default" w:ascii="Times New Roman" w:hAnsi="Times New Roman" w:eastAsia="仿宋" w:cs="Times New Roman"/>
          <w:b w:val="0"/>
          <w:bCs/>
          <w:sz w:val="28"/>
          <w:szCs w:val="28"/>
        </w:rPr>
        <w:t>71</w:t>
      </w:r>
      <w:r>
        <w:rPr>
          <w:rFonts w:hint="default" w:ascii="Times New Roman" w:hAnsi="Times New Roman" w:eastAsia="仿宋" w:cs="Times New Roman"/>
          <w:b w:val="0"/>
          <w:bCs/>
          <w:sz w:val="28"/>
          <w:szCs w:val="28"/>
        </w:rPr>
        <w:fldChar w:fldCharType="end"/>
      </w:r>
      <w:r>
        <w:rPr>
          <w:rFonts w:hint="default" w:ascii="Times New Roman" w:hAnsi="Times New Roman" w:eastAsia="仿宋" w:cs="Times New Roman"/>
          <w:b w:val="0"/>
          <w:bCs/>
          <w:sz w:val="28"/>
          <w:szCs w:val="28"/>
          <w:highlight w:val="yellow"/>
        </w:rPr>
        <w:fldChar w:fldCharType="end"/>
      </w:r>
    </w:p>
    <w:p w14:paraId="758BB376">
      <w:pPr>
        <w:pStyle w:val="20"/>
        <w:keepNext w:val="0"/>
        <w:keepLines w:val="0"/>
        <w:pageBreakBefore w:val="0"/>
        <w:widowControl w:val="0"/>
        <w:tabs>
          <w:tab w:val="right" w:leader="dot" w:pos="8278"/>
          <w:tab w:val="clear" w:pos="8296"/>
        </w:tabs>
        <w:kinsoku/>
        <w:wordWrap/>
        <w:overflowPunct/>
        <w:topLinePunct w:val="0"/>
        <w:autoSpaceDE/>
        <w:autoSpaceDN/>
        <w:bidi w:val="0"/>
        <w:adjustRightInd/>
        <w:snapToGrid/>
        <w:spacing w:line="450" w:lineRule="exact"/>
        <w:textAlignment w:val="auto"/>
        <w:rPr>
          <w:rFonts w:hint="default" w:ascii="Times New Roman" w:hAnsi="Times New Roman" w:eastAsia="仿宋" w:cs="Times New Roman"/>
          <w:b w:val="0"/>
          <w:bCs/>
          <w:sz w:val="28"/>
          <w:szCs w:val="28"/>
        </w:rPr>
      </w:pPr>
      <w:r>
        <w:rPr>
          <w:rFonts w:hint="default" w:ascii="Times New Roman" w:hAnsi="Times New Roman" w:eastAsia="仿宋" w:cs="Times New Roman"/>
          <w:b w:val="0"/>
          <w:bCs/>
          <w:sz w:val="28"/>
          <w:szCs w:val="28"/>
          <w:highlight w:val="yellow"/>
        </w:rPr>
        <w:fldChar w:fldCharType="begin"/>
      </w:r>
      <w:r>
        <w:rPr>
          <w:rFonts w:hint="default" w:ascii="Times New Roman" w:hAnsi="Times New Roman" w:eastAsia="仿宋" w:cs="Times New Roman"/>
          <w:b w:val="0"/>
          <w:bCs/>
          <w:sz w:val="28"/>
          <w:szCs w:val="28"/>
          <w:highlight w:val="yellow"/>
        </w:rPr>
        <w:instrText xml:space="preserve"> HYPERLINK \l _Toc10727 </w:instrText>
      </w:r>
      <w:r>
        <w:rPr>
          <w:rFonts w:hint="default" w:ascii="Times New Roman" w:hAnsi="Times New Roman" w:eastAsia="仿宋" w:cs="Times New Roman"/>
          <w:b w:val="0"/>
          <w:bCs/>
          <w:sz w:val="28"/>
          <w:szCs w:val="28"/>
          <w:highlight w:val="yellow"/>
        </w:rPr>
        <w:fldChar w:fldCharType="separate"/>
      </w:r>
      <w:r>
        <w:rPr>
          <w:rFonts w:hint="default" w:ascii="Times New Roman" w:hAnsi="Times New Roman" w:eastAsia="仿宋" w:cs="Times New Roman"/>
          <w:b w:val="0"/>
          <w:bCs/>
          <w:sz w:val="28"/>
          <w:szCs w:val="28"/>
          <w:highlight w:val="none"/>
        </w:rPr>
        <w:t>第</w:t>
      </w:r>
      <w:r>
        <w:rPr>
          <w:rFonts w:hint="default" w:ascii="Times New Roman" w:hAnsi="Times New Roman" w:eastAsia="仿宋" w:cs="Times New Roman"/>
          <w:b w:val="0"/>
          <w:bCs/>
          <w:sz w:val="28"/>
          <w:szCs w:val="28"/>
          <w:highlight w:val="none"/>
          <w:lang w:eastAsia="zh-CN"/>
        </w:rPr>
        <w:t>四</w:t>
      </w:r>
      <w:r>
        <w:rPr>
          <w:rFonts w:hint="default" w:ascii="Times New Roman" w:hAnsi="Times New Roman" w:eastAsia="仿宋" w:cs="Times New Roman"/>
          <w:b w:val="0"/>
          <w:bCs/>
          <w:sz w:val="28"/>
          <w:szCs w:val="28"/>
          <w:highlight w:val="none"/>
        </w:rPr>
        <w:t>章  重点工程与效益分析</w:t>
      </w:r>
      <w:r>
        <w:rPr>
          <w:rFonts w:hint="default" w:ascii="Times New Roman" w:hAnsi="Times New Roman" w:eastAsia="仿宋" w:cs="Times New Roman"/>
          <w:b w:val="0"/>
          <w:bCs/>
          <w:sz w:val="28"/>
          <w:szCs w:val="28"/>
        </w:rPr>
        <w:tab/>
      </w:r>
      <w:r>
        <w:rPr>
          <w:rFonts w:hint="default" w:ascii="Times New Roman" w:hAnsi="Times New Roman" w:eastAsia="仿宋" w:cs="Times New Roman"/>
          <w:b w:val="0"/>
          <w:bCs/>
          <w:sz w:val="28"/>
          <w:szCs w:val="28"/>
        </w:rPr>
        <w:fldChar w:fldCharType="begin"/>
      </w:r>
      <w:r>
        <w:rPr>
          <w:rFonts w:hint="default" w:ascii="Times New Roman" w:hAnsi="Times New Roman" w:eastAsia="仿宋" w:cs="Times New Roman"/>
          <w:b w:val="0"/>
          <w:bCs/>
          <w:sz w:val="28"/>
          <w:szCs w:val="28"/>
        </w:rPr>
        <w:instrText xml:space="preserve"> PAGEREF _Toc10727 \h </w:instrText>
      </w:r>
      <w:r>
        <w:rPr>
          <w:rFonts w:hint="default" w:ascii="Times New Roman" w:hAnsi="Times New Roman" w:eastAsia="仿宋" w:cs="Times New Roman"/>
          <w:b w:val="0"/>
          <w:bCs/>
          <w:sz w:val="28"/>
          <w:szCs w:val="28"/>
        </w:rPr>
        <w:fldChar w:fldCharType="separate"/>
      </w:r>
      <w:r>
        <w:rPr>
          <w:rFonts w:hint="default" w:ascii="Times New Roman" w:hAnsi="Times New Roman" w:eastAsia="仿宋" w:cs="Times New Roman"/>
          <w:b w:val="0"/>
          <w:bCs/>
          <w:sz w:val="28"/>
          <w:szCs w:val="28"/>
        </w:rPr>
        <w:t>77</w:t>
      </w:r>
      <w:r>
        <w:rPr>
          <w:rFonts w:hint="default" w:ascii="Times New Roman" w:hAnsi="Times New Roman" w:eastAsia="仿宋" w:cs="Times New Roman"/>
          <w:b w:val="0"/>
          <w:bCs/>
          <w:sz w:val="28"/>
          <w:szCs w:val="28"/>
        </w:rPr>
        <w:fldChar w:fldCharType="end"/>
      </w:r>
      <w:r>
        <w:rPr>
          <w:rFonts w:hint="default" w:ascii="Times New Roman" w:hAnsi="Times New Roman" w:eastAsia="仿宋" w:cs="Times New Roman"/>
          <w:b w:val="0"/>
          <w:bCs/>
          <w:sz w:val="28"/>
          <w:szCs w:val="28"/>
          <w:highlight w:val="yellow"/>
        </w:rPr>
        <w:fldChar w:fldCharType="end"/>
      </w:r>
    </w:p>
    <w:p w14:paraId="4447B512">
      <w:pPr>
        <w:pStyle w:val="21"/>
        <w:keepNext w:val="0"/>
        <w:keepLines w:val="0"/>
        <w:pageBreakBefore w:val="0"/>
        <w:widowControl w:val="0"/>
        <w:tabs>
          <w:tab w:val="right" w:leader="dot" w:pos="8278"/>
        </w:tabs>
        <w:kinsoku/>
        <w:wordWrap/>
        <w:overflowPunct/>
        <w:topLinePunct w:val="0"/>
        <w:autoSpaceDE/>
        <w:autoSpaceDN/>
        <w:bidi w:val="0"/>
        <w:adjustRightInd/>
        <w:snapToGrid/>
        <w:spacing w:line="450" w:lineRule="exact"/>
        <w:ind w:firstLine="0" w:firstLineChars="0"/>
        <w:textAlignment w:val="auto"/>
        <w:rPr>
          <w:rFonts w:hint="default" w:ascii="Times New Roman" w:hAnsi="Times New Roman" w:eastAsia="仿宋" w:cs="Times New Roman"/>
          <w:b w:val="0"/>
          <w:bCs/>
          <w:sz w:val="28"/>
          <w:szCs w:val="28"/>
        </w:rPr>
      </w:pPr>
      <w:r>
        <w:rPr>
          <w:rFonts w:hint="default" w:ascii="Times New Roman" w:hAnsi="Times New Roman" w:eastAsia="仿宋" w:cs="Times New Roman"/>
          <w:b w:val="0"/>
          <w:bCs/>
          <w:sz w:val="28"/>
          <w:szCs w:val="28"/>
          <w:highlight w:val="yellow"/>
        </w:rPr>
        <w:fldChar w:fldCharType="begin"/>
      </w:r>
      <w:r>
        <w:rPr>
          <w:rFonts w:hint="default" w:ascii="Times New Roman" w:hAnsi="Times New Roman" w:eastAsia="仿宋" w:cs="Times New Roman"/>
          <w:b w:val="0"/>
          <w:bCs/>
          <w:sz w:val="28"/>
          <w:szCs w:val="28"/>
          <w:highlight w:val="yellow"/>
        </w:rPr>
        <w:instrText xml:space="preserve"> HYPERLINK \l _Toc18346 </w:instrText>
      </w:r>
      <w:r>
        <w:rPr>
          <w:rFonts w:hint="default" w:ascii="Times New Roman" w:hAnsi="Times New Roman" w:eastAsia="仿宋" w:cs="Times New Roman"/>
          <w:b w:val="0"/>
          <w:bCs/>
          <w:sz w:val="28"/>
          <w:szCs w:val="28"/>
          <w:highlight w:val="yellow"/>
        </w:rPr>
        <w:fldChar w:fldCharType="separate"/>
      </w:r>
      <w:r>
        <w:rPr>
          <w:rFonts w:hint="default" w:ascii="Times New Roman" w:hAnsi="Times New Roman" w:eastAsia="仿宋" w:cs="Times New Roman"/>
          <w:b w:val="0"/>
          <w:bCs/>
          <w:sz w:val="28"/>
          <w:szCs w:val="28"/>
          <w:highlight w:val="none"/>
        </w:rPr>
        <w:t>一、</w:t>
      </w:r>
      <w:r>
        <w:rPr>
          <w:rFonts w:hint="default" w:ascii="Times New Roman" w:hAnsi="Times New Roman" w:eastAsia="仿宋" w:cs="Times New Roman"/>
          <w:b w:val="0"/>
          <w:bCs/>
          <w:sz w:val="28"/>
          <w:szCs w:val="28"/>
          <w:highlight w:val="none"/>
          <w:lang w:eastAsia="zh-CN"/>
        </w:rPr>
        <w:t>工程内容与投资估算</w:t>
      </w:r>
      <w:r>
        <w:rPr>
          <w:rFonts w:hint="default" w:ascii="Times New Roman" w:hAnsi="Times New Roman" w:eastAsia="仿宋" w:cs="Times New Roman"/>
          <w:b w:val="0"/>
          <w:bCs/>
          <w:sz w:val="28"/>
          <w:szCs w:val="28"/>
        </w:rPr>
        <w:tab/>
      </w:r>
      <w:r>
        <w:rPr>
          <w:rFonts w:hint="default" w:ascii="Times New Roman" w:hAnsi="Times New Roman" w:eastAsia="仿宋" w:cs="Times New Roman"/>
          <w:b w:val="0"/>
          <w:bCs/>
          <w:sz w:val="28"/>
          <w:szCs w:val="28"/>
        </w:rPr>
        <w:fldChar w:fldCharType="begin"/>
      </w:r>
      <w:r>
        <w:rPr>
          <w:rFonts w:hint="default" w:ascii="Times New Roman" w:hAnsi="Times New Roman" w:eastAsia="仿宋" w:cs="Times New Roman"/>
          <w:b w:val="0"/>
          <w:bCs/>
          <w:sz w:val="28"/>
          <w:szCs w:val="28"/>
        </w:rPr>
        <w:instrText xml:space="preserve"> PAGEREF _Toc18346 \h </w:instrText>
      </w:r>
      <w:r>
        <w:rPr>
          <w:rFonts w:hint="default" w:ascii="Times New Roman" w:hAnsi="Times New Roman" w:eastAsia="仿宋" w:cs="Times New Roman"/>
          <w:b w:val="0"/>
          <w:bCs/>
          <w:sz w:val="28"/>
          <w:szCs w:val="28"/>
        </w:rPr>
        <w:fldChar w:fldCharType="separate"/>
      </w:r>
      <w:r>
        <w:rPr>
          <w:rFonts w:hint="default" w:ascii="Times New Roman" w:hAnsi="Times New Roman" w:eastAsia="仿宋" w:cs="Times New Roman"/>
          <w:b w:val="0"/>
          <w:bCs/>
          <w:sz w:val="28"/>
          <w:szCs w:val="28"/>
        </w:rPr>
        <w:t>77</w:t>
      </w:r>
      <w:r>
        <w:rPr>
          <w:rFonts w:hint="default" w:ascii="Times New Roman" w:hAnsi="Times New Roman" w:eastAsia="仿宋" w:cs="Times New Roman"/>
          <w:b w:val="0"/>
          <w:bCs/>
          <w:sz w:val="28"/>
          <w:szCs w:val="28"/>
        </w:rPr>
        <w:fldChar w:fldCharType="end"/>
      </w:r>
      <w:r>
        <w:rPr>
          <w:rFonts w:hint="default" w:ascii="Times New Roman" w:hAnsi="Times New Roman" w:eastAsia="仿宋" w:cs="Times New Roman"/>
          <w:b w:val="0"/>
          <w:bCs/>
          <w:sz w:val="28"/>
          <w:szCs w:val="28"/>
          <w:highlight w:val="yellow"/>
        </w:rPr>
        <w:fldChar w:fldCharType="end"/>
      </w:r>
    </w:p>
    <w:p w14:paraId="6643859C">
      <w:pPr>
        <w:pStyle w:val="21"/>
        <w:keepNext w:val="0"/>
        <w:keepLines w:val="0"/>
        <w:pageBreakBefore w:val="0"/>
        <w:widowControl w:val="0"/>
        <w:tabs>
          <w:tab w:val="right" w:leader="dot" w:pos="8278"/>
        </w:tabs>
        <w:kinsoku/>
        <w:wordWrap/>
        <w:overflowPunct/>
        <w:topLinePunct w:val="0"/>
        <w:autoSpaceDE/>
        <w:autoSpaceDN/>
        <w:bidi w:val="0"/>
        <w:adjustRightInd/>
        <w:snapToGrid/>
        <w:spacing w:line="450" w:lineRule="exact"/>
        <w:ind w:firstLine="0" w:firstLineChars="0"/>
        <w:textAlignment w:val="auto"/>
        <w:rPr>
          <w:rFonts w:hint="default" w:ascii="Times New Roman" w:hAnsi="Times New Roman" w:eastAsia="仿宋" w:cs="Times New Roman"/>
          <w:b w:val="0"/>
          <w:bCs/>
          <w:sz w:val="28"/>
          <w:szCs w:val="28"/>
        </w:rPr>
      </w:pPr>
      <w:r>
        <w:rPr>
          <w:rFonts w:hint="default" w:ascii="Times New Roman" w:hAnsi="Times New Roman" w:eastAsia="仿宋" w:cs="Times New Roman"/>
          <w:b w:val="0"/>
          <w:bCs/>
          <w:sz w:val="28"/>
          <w:szCs w:val="28"/>
          <w:highlight w:val="yellow"/>
        </w:rPr>
        <w:fldChar w:fldCharType="begin"/>
      </w:r>
      <w:r>
        <w:rPr>
          <w:rFonts w:hint="default" w:ascii="Times New Roman" w:hAnsi="Times New Roman" w:eastAsia="仿宋" w:cs="Times New Roman"/>
          <w:b w:val="0"/>
          <w:bCs/>
          <w:sz w:val="28"/>
          <w:szCs w:val="28"/>
          <w:highlight w:val="yellow"/>
        </w:rPr>
        <w:instrText xml:space="preserve"> HYPERLINK \l _Toc31904 </w:instrText>
      </w:r>
      <w:r>
        <w:rPr>
          <w:rFonts w:hint="default" w:ascii="Times New Roman" w:hAnsi="Times New Roman" w:eastAsia="仿宋" w:cs="Times New Roman"/>
          <w:b w:val="0"/>
          <w:bCs/>
          <w:sz w:val="28"/>
          <w:szCs w:val="28"/>
          <w:highlight w:val="yellow"/>
        </w:rPr>
        <w:fldChar w:fldCharType="separate"/>
      </w:r>
      <w:r>
        <w:rPr>
          <w:rFonts w:hint="default" w:ascii="Times New Roman" w:hAnsi="Times New Roman" w:eastAsia="仿宋" w:cs="Times New Roman"/>
          <w:b w:val="0"/>
          <w:bCs/>
          <w:sz w:val="28"/>
          <w:szCs w:val="28"/>
          <w:highlight w:val="none"/>
        </w:rPr>
        <w:t>二、效益分析</w:t>
      </w:r>
      <w:r>
        <w:rPr>
          <w:rFonts w:hint="default" w:ascii="Times New Roman" w:hAnsi="Times New Roman" w:eastAsia="仿宋" w:cs="Times New Roman"/>
          <w:b w:val="0"/>
          <w:bCs/>
          <w:sz w:val="28"/>
          <w:szCs w:val="28"/>
        </w:rPr>
        <w:tab/>
      </w:r>
      <w:r>
        <w:rPr>
          <w:rFonts w:hint="default" w:ascii="Times New Roman" w:hAnsi="Times New Roman" w:eastAsia="仿宋" w:cs="Times New Roman"/>
          <w:b w:val="0"/>
          <w:bCs/>
          <w:sz w:val="28"/>
          <w:szCs w:val="28"/>
        </w:rPr>
        <w:fldChar w:fldCharType="begin"/>
      </w:r>
      <w:r>
        <w:rPr>
          <w:rFonts w:hint="default" w:ascii="Times New Roman" w:hAnsi="Times New Roman" w:eastAsia="仿宋" w:cs="Times New Roman"/>
          <w:b w:val="0"/>
          <w:bCs/>
          <w:sz w:val="28"/>
          <w:szCs w:val="28"/>
        </w:rPr>
        <w:instrText xml:space="preserve"> PAGEREF _Toc31904 \h </w:instrText>
      </w:r>
      <w:r>
        <w:rPr>
          <w:rFonts w:hint="default" w:ascii="Times New Roman" w:hAnsi="Times New Roman" w:eastAsia="仿宋" w:cs="Times New Roman"/>
          <w:b w:val="0"/>
          <w:bCs/>
          <w:sz w:val="28"/>
          <w:szCs w:val="28"/>
        </w:rPr>
        <w:fldChar w:fldCharType="separate"/>
      </w:r>
      <w:r>
        <w:rPr>
          <w:rFonts w:hint="default" w:ascii="Times New Roman" w:hAnsi="Times New Roman" w:eastAsia="仿宋" w:cs="Times New Roman"/>
          <w:b w:val="0"/>
          <w:bCs/>
          <w:sz w:val="28"/>
          <w:szCs w:val="28"/>
        </w:rPr>
        <w:t>78</w:t>
      </w:r>
      <w:r>
        <w:rPr>
          <w:rFonts w:hint="default" w:ascii="Times New Roman" w:hAnsi="Times New Roman" w:eastAsia="仿宋" w:cs="Times New Roman"/>
          <w:b w:val="0"/>
          <w:bCs/>
          <w:sz w:val="28"/>
          <w:szCs w:val="28"/>
        </w:rPr>
        <w:fldChar w:fldCharType="end"/>
      </w:r>
      <w:r>
        <w:rPr>
          <w:rFonts w:hint="default" w:ascii="Times New Roman" w:hAnsi="Times New Roman" w:eastAsia="仿宋" w:cs="Times New Roman"/>
          <w:b w:val="0"/>
          <w:bCs/>
          <w:sz w:val="28"/>
          <w:szCs w:val="28"/>
          <w:highlight w:val="yellow"/>
        </w:rPr>
        <w:fldChar w:fldCharType="end"/>
      </w:r>
    </w:p>
    <w:p w14:paraId="393B5EA8">
      <w:pPr>
        <w:pStyle w:val="20"/>
        <w:keepNext w:val="0"/>
        <w:keepLines w:val="0"/>
        <w:pageBreakBefore w:val="0"/>
        <w:widowControl w:val="0"/>
        <w:tabs>
          <w:tab w:val="right" w:leader="dot" w:pos="8278"/>
          <w:tab w:val="clear" w:pos="8296"/>
        </w:tabs>
        <w:kinsoku/>
        <w:wordWrap/>
        <w:overflowPunct/>
        <w:topLinePunct w:val="0"/>
        <w:autoSpaceDE/>
        <w:autoSpaceDN/>
        <w:bidi w:val="0"/>
        <w:adjustRightInd/>
        <w:snapToGrid/>
        <w:spacing w:line="450" w:lineRule="exact"/>
        <w:textAlignment w:val="auto"/>
        <w:rPr>
          <w:rFonts w:hint="default" w:ascii="Times New Roman" w:hAnsi="Times New Roman" w:eastAsia="仿宋" w:cs="Times New Roman"/>
          <w:b w:val="0"/>
          <w:bCs/>
          <w:sz w:val="28"/>
          <w:szCs w:val="28"/>
        </w:rPr>
      </w:pPr>
      <w:r>
        <w:rPr>
          <w:rFonts w:hint="default" w:ascii="Times New Roman" w:hAnsi="Times New Roman" w:eastAsia="仿宋" w:cs="Times New Roman"/>
          <w:b w:val="0"/>
          <w:bCs/>
          <w:sz w:val="28"/>
          <w:szCs w:val="28"/>
          <w:highlight w:val="yellow"/>
        </w:rPr>
        <w:fldChar w:fldCharType="begin"/>
      </w:r>
      <w:r>
        <w:rPr>
          <w:rFonts w:hint="default" w:ascii="Times New Roman" w:hAnsi="Times New Roman" w:eastAsia="仿宋" w:cs="Times New Roman"/>
          <w:b w:val="0"/>
          <w:bCs/>
          <w:sz w:val="28"/>
          <w:szCs w:val="28"/>
          <w:highlight w:val="yellow"/>
        </w:rPr>
        <w:instrText xml:space="preserve"> HYPERLINK \l _Toc19056 </w:instrText>
      </w:r>
      <w:r>
        <w:rPr>
          <w:rFonts w:hint="default" w:ascii="Times New Roman" w:hAnsi="Times New Roman" w:eastAsia="仿宋" w:cs="Times New Roman"/>
          <w:b w:val="0"/>
          <w:bCs/>
          <w:sz w:val="28"/>
          <w:szCs w:val="28"/>
          <w:highlight w:val="yellow"/>
        </w:rPr>
        <w:fldChar w:fldCharType="separate"/>
      </w:r>
      <w:r>
        <w:rPr>
          <w:rFonts w:hint="default" w:ascii="Times New Roman" w:hAnsi="Times New Roman" w:eastAsia="仿宋" w:cs="Times New Roman"/>
          <w:b w:val="0"/>
          <w:bCs/>
          <w:sz w:val="28"/>
          <w:szCs w:val="28"/>
          <w:highlight w:val="none"/>
        </w:rPr>
        <w:t>第</w:t>
      </w:r>
      <w:r>
        <w:rPr>
          <w:rFonts w:hint="default" w:ascii="Times New Roman" w:hAnsi="Times New Roman" w:eastAsia="仿宋" w:cs="Times New Roman"/>
          <w:b w:val="0"/>
          <w:bCs/>
          <w:sz w:val="28"/>
          <w:szCs w:val="28"/>
          <w:highlight w:val="none"/>
          <w:lang w:eastAsia="zh-CN"/>
        </w:rPr>
        <w:t>五</w:t>
      </w:r>
      <w:r>
        <w:rPr>
          <w:rFonts w:hint="default" w:ascii="Times New Roman" w:hAnsi="Times New Roman" w:eastAsia="仿宋" w:cs="Times New Roman"/>
          <w:b w:val="0"/>
          <w:bCs/>
          <w:sz w:val="28"/>
          <w:szCs w:val="28"/>
          <w:highlight w:val="none"/>
        </w:rPr>
        <w:t>章  保障措施</w:t>
      </w:r>
      <w:r>
        <w:rPr>
          <w:rFonts w:hint="default" w:ascii="Times New Roman" w:hAnsi="Times New Roman" w:eastAsia="仿宋" w:cs="Times New Roman"/>
          <w:b w:val="0"/>
          <w:bCs/>
          <w:sz w:val="28"/>
          <w:szCs w:val="28"/>
        </w:rPr>
        <w:tab/>
      </w:r>
      <w:r>
        <w:rPr>
          <w:rFonts w:hint="default" w:ascii="Times New Roman" w:hAnsi="Times New Roman" w:eastAsia="仿宋" w:cs="Times New Roman"/>
          <w:b w:val="0"/>
          <w:bCs/>
          <w:sz w:val="28"/>
          <w:szCs w:val="28"/>
        </w:rPr>
        <w:fldChar w:fldCharType="begin"/>
      </w:r>
      <w:r>
        <w:rPr>
          <w:rFonts w:hint="default" w:ascii="Times New Roman" w:hAnsi="Times New Roman" w:eastAsia="仿宋" w:cs="Times New Roman"/>
          <w:b w:val="0"/>
          <w:bCs/>
          <w:sz w:val="28"/>
          <w:szCs w:val="28"/>
        </w:rPr>
        <w:instrText xml:space="preserve"> PAGEREF _Toc19056 \h </w:instrText>
      </w:r>
      <w:r>
        <w:rPr>
          <w:rFonts w:hint="default" w:ascii="Times New Roman" w:hAnsi="Times New Roman" w:eastAsia="仿宋" w:cs="Times New Roman"/>
          <w:b w:val="0"/>
          <w:bCs/>
          <w:sz w:val="28"/>
          <w:szCs w:val="28"/>
        </w:rPr>
        <w:fldChar w:fldCharType="separate"/>
      </w:r>
      <w:r>
        <w:rPr>
          <w:rFonts w:hint="default" w:ascii="Times New Roman" w:hAnsi="Times New Roman" w:eastAsia="仿宋" w:cs="Times New Roman"/>
          <w:b w:val="0"/>
          <w:bCs/>
          <w:sz w:val="28"/>
          <w:szCs w:val="28"/>
        </w:rPr>
        <w:t>82</w:t>
      </w:r>
      <w:r>
        <w:rPr>
          <w:rFonts w:hint="default" w:ascii="Times New Roman" w:hAnsi="Times New Roman" w:eastAsia="仿宋" w:cs="Times New Roman"/>
          <w:b w:val="0"/>
          <w:bCs/>
          <w:sz w:val="28"/>
          <w:szCs w:val="28"/>
        </w:rPr>
        <w:fldChar w:fldCharType="end"/>
      </w:r>
      <w:r>
        <w:rPr>
          <w:rFonts w:hint="default" w:ascii="Times New Roman" w:hAnsi="Times New Roman" w:eastAsia="仿宋" w:cs="Times New Roman"/>
          <w:b w:val="0"/>
          <w:bCs/>
          <w:sz w:val="28"/>
          <w:szCs w:val="28"/>
          <w:highlight w:val="yellow"/>
        </w:rPr>
        <w:fldChar w:fldCharType="end"/>
      </w:r>
    </w:p>
    <w:p w14:paraId="60EDD002">
      <w:pPr>
        <w:pStyle w:val="21"/>
        <w:keepNext w:val="0"/>
        <w:keepLines w:val="0"/>
        <w:pageBreakBefore w:val="0"/>
        <w:widowControl w:val="0"/>
        <w:tabs>
          <w:tab w:val="right" w:leader="dot" w:pos="8278"/>
        </w:tabs>
        <w:kinsoku/>
        <w:wordWrap/>
        <w:overflowPunct/>
        <w:topLinePunct w:val="0"/>
        <w:autoSpaceDE/>
        <w:autoSpaceDN/>
        <w:bidi w:val="0"/>
        <w:adjustRightInd/>
        <w:snapToGrid/>
        <w:spacing w:line="450" w:lineRule="exact"/>
        <w:ind w:firstLine="0" w:firstLineChars="0"/>
        <w:textAlignment w:val="auto"/>
        <w:rPr>
          <w:rFonts w:hint="default" w:ascii="Times New Roman" w:hAnsi="Times New Roman" w:eastAsia="仿宋" w:cs="Times New Roman"/>
          <w:b w:val="0"/>
          <w:bCs/>
          <w:sz w:val="28"/>
          <w:szCs w:val="28"/>
        </w:rPr>
      </w:pPr>
      <w:r>
        <w:rPr>
          <w:rFonts w:hint="default" w:ascii="Times New Roman" w:hAnsi="Times New Roman" w:eastAsia="仿宋" w:cs="Times New Roman"/>
          <w:b w:val="0"/>
          <w:bCs/>
          <w:sz w:val="28"/>
          <w:szCs w:val="28"/>
          <w:highlight w:val="yellow"/>
        </w:rPr>
        <w:fldChar w:fldCharType="begin"/>
      </w:r>
      <w:r>
        <w:rPr>
          <w:rFonts w:hint="default" w:ascii="Times New Roman" w:hAnsi="Times New Roman" w:eastAsia="仿宋" w:cs="Times New Roman"/>
          <w:b w:val="0"/>
          <w:bCs/>
          <w:sz w:val="28"/>
          <w:szCs w:val="28"/>
          <w:highlight w:val="yellow"/>
        </w:rPr>
        <w:instrText xml:space="preserve"> HYPERLINK \l _Toc5273 </w:instrText>
      </w:r>
      <w:r>
        <w:rPr>
          <w:rFonts w:hint="default" w:ascii="Times New Roman" w:hAnsi="Times New Roman" w:eastAsia="仿宋" w:cs="Times New Roman"/>
          <w:b w:val="0"/>
          <w:bCs/>
          <w:sz w:val="28"/>
          <w:szCs w:val="28"/>
          <w:highlight w:val="yellow"/>
        </w:rPr>
        <w:fldChar w:fldCharType="separate"/>
      </w:r>
      <w:r>
        <w:rPr>
          <w:rFonts w:hint="default" w:ascii="Times New Roman" w:hAnsi="Times New Roman" w:eastAsia="仿宋" w:cs="Times New Roman"/>
          <w:b w:val="0"/>
          <w:bCs/>
          <w:sz w:val="28"/>
          <w:szCs w:val="28"/>
          <w:highlight w:val="none"/>
        </w:rPr>
        <w:t>一、</w:t>
      </w:r>
      <w:r>
        <w:rPr>
          <w:rFonts w:hint="default" w:ascii="Times New Roman" w:hAnsi="Times New Roman" w:eastAsia="仿宋" w:cs="Times New Roman"/>
          <w:b w:val="0"/>
          <w:bCs/>
          <w:sz w:val="28"/>
          <w:szCs w:val="28"/>
          <w:highlight w:val="none"/>
          <w:lang w:eastAsia="zh-CN"/>
        </w:rPr>
        <w:t>组织领导</w:t>
      </w:r>
      <w:r>
        <w:rPr>
          <w:rFonts w:hint="default" w:ascii="Times New Roman" w:hAnsi="Times New Roman" w:eastAsia="仿宋" w:cs="Times New Roman"/>
          <w:b w:val="0"/>
          <w:bCs/>
          <w:sz w:val="28"/>
          <w:szCs w:val="28"/>
        </w:rPr>
        <w:tab/>
      </w:r>
      <w:r>
        <w:rPr>
          <w:rFonts w:hint="default" w:ascii="Times New Roman" w:hAnsi="Times New Roman" w:eastAsia="仿宋" w:cs="Times New Roman"/>
          <w:b w:val="0"/>
          <w:bCs/>
          <w:sz w:val="28"/>
          <w:szCs w:val="28"/>
        </w:rPr>
        <w:fldChar w:fldCharType="begin"/>
      </w:r>
      <w:r>
        <w:rPr>
          <w:rFonts w:hint="default" w:ascii="Times New Roman" w:hAnsi="Times New Roman" w:eastAsia="仿宋" w:cs="Times New Roman"/>
          <w:b w:val="0"/>
          <w:bCs/>
          <w:sz w:val="28"/>
          <w:szCs w:val="28"/>
        </w:rPr>
        <w:instrText xml:space="preserve"> PAGEREF _Toc5273 \h </w:instrText>
      </w:r>
      <w:r>
        <w:rPr>
          <w:rFonts w:hint="default" w:ascii="Times New Roman" w:hAnsi="Times New Roman" w:eastAsia="仿宋" w:cs="Times New Roman"/>
          <w:b w:val="0"/>
          <w:bCs/>
          <w:sz w:val="28"/>
          <w:szCs w:val="28"/>
        </w:rPr>
        <w:fldChar w:fldCharType="separate"/>
      </w:r>
      <w:r>
        <w:rPr>
          <w:rFonts w:hint="default" w:ascii="Times New Roman" w:hAnsi="Times New Roman" w:eastAsia="仿宋" w:cs="Times New Roman"/>
          <w:b w:val="0"/>
          <w:bCs/>
          <w:sz w:val="28"/>
          <w:szCs w:val="28"/>
        </w:rPr>
        <w:t>82</w:t>
      </w:r>
      <w:r>
        <w:rPr>
          <w:rFonts w:hint="default" w:ascii="Times New Roman" w:hAnsi="Times New Roman" w:eastAsia="仿宋" w:cs="Times New Roman"/>
          <w:b w:val="0"/>
          <w:bCs/>
          <w:sz w:val="28"/>
          <w:szCs w:val="28"/>
        </w:rPr>
        <w:fldChar w:fldCharType="end"/>
      </w:r>
      <w:r>
        <w:rPr>
          <w:rFonts w:hint="default" w:ascii="Times New Roman" w:hAnsi="Times New Roman" w:eastAsia="仿宋" w:cs="Times New Roman"/>
          <w:b w:val="0"/>
          <w:bCs/>
          <w:sz w:val="28"/>
          <w:szCs w:val="28"/>
          <w:highlight w:val="yellow"/>
        </w:rPr>
        <w:fldChar w:fldCharType="end"/>
      </w:r>
    </w:p>
    <w:p w14:paraId="18DA3DBD">
      <w:pPr>
        <w:pStyle w:val="21"/>
        <w:keepNext w:val="0"/>
        <w:keepLines w:val="0"/>
        <w:pageBreakBefore w:val="0"/>
        <w:widowControl w:val="0"/>
        <w:tabs>
          <w:tab w:val="right" w:leader="dot" w:pos="8278"/>
        </w:tabs>
        <w:kinsoku/>
        <w:wordWrap/>
        <w:overflowPunct/>
        <w:topLinePunct w:val="0"/>
        <w:autoSpaceDE/>
        <w:autoSpaceDN/>
        <w:bidi w:val="0"/>
        <w:adjustRightInd/>
        <w:snapToGrid/>
        <w:spacing w:line="450" w:lineRule="exact"/>
        <w:ind w:firstLine="0" w:firstLineChars="0"/>
        <w:textAlignment w:val="auto"/>
        <w:rPr>
          <w:rFonts w:hint="default" w:ascii="Times New Roman" w:hAnsi="Times New Roman" w:eastAsia="仿宋" w:cs="Times New Roman"/>
          <w:b w:val="0"/>
          <w:bCs/>
          <w:sz w:val="28"/>
          <w:szCs w:val="28"/>
        </w:rPr>
      </w:pPr>
      <w:r>
        <w:rPr>
          <w:rFonts w:hint="default" w:ascii="Times New Roman" w:hAnsi="Times New Roman" w:eastAsia="仿宋" w:cs="Times New Roman"/>
          <w:b w:val="0"/>
          <w:bCs/>
          <w:sz w:val="28"/>
          <w:szCs w:val="28"/>
          <w:highlight w:val="yellow"/>
        </w:rPr>
        <w:fldChar w:fldCharType="begin"/>
      </w:r>
      <w:r>
        <w:rPr>
          <w:rFonts w:hint="default" w:ascii="Times New Roman" w:hAnsi="Times New Roman" w:eastAsia="仿宋" w:cs="Times New Roman"/>
          <w:b w:val="0"/>
          <w:bCs/>
          <w:sz w:val="28"/>
          <w:szCs w:val="28"/>
          <w:highlight w:val="yellow"/>
        </w:rPr>
        <w:instrText xml:space="preserve"> HYPERLINK \l _Toc28230 </w:instrText>
      </w:r>
      <w:r>
        <w:rPr>
          <w:rFonts w:hint="default" w:ascii="Times New Roman" w:hAnsi="Times New Roman" w:eastAsia="仿宋" w:cs="Times New Roman"/>
          <w:b w:val="0"/>
          <w:bCs/>
          <w:sz w:val="28"/>
          <w:szCs w:val="28"/>
          <w:highlight w:val="yellow"/>
        </w:rPr>
        <w:fldChar w:fldCharType="separate"/>
      </w:r>
      <w:r>
        <w:rPr>
          <w:rFonts w:hint="default" w:ascii="Times New Roman" w:hAnsi="Times New Roman" w:eastAsia="仿宋" w:cs="Times New Roman"/>
          <w:b w:val="0"/>
          <w:bCs/>
          <w:sz w:val="28"/>
          <w:szCs w:val="28"/>
          <w:highlight w:val="none"/>
        </w:rPr>
        <w:t>二、</w:t>
      </w:r>
      <w:r>
        <w:rPr>
          <w:rFonts w:hint="default" w:ascii="Times New Roman" w:hAnsi="Times New Roman" w:eastAsia="仿宋" w:cs="Times New Roman"/>
          <w:b w:val="0"/>
          <w:bCs/>
          <w:sz w:val="28"/>
          <w:szCs w:val="28"/>
          <w:highlight w:val="none"/>
          <w:lang w:eastAsia="zh-CN"/>
        </w:rPr>
        <w:t>监督考核</w:t>
      </w:r>
      <w:r>
        <w:rPr>
          <w:rFonts w:hint="default" w:ascii="Times New Roman" w:hAnsi="Times New Roman" w:eastAsia="仿宋" w:cs="Times New Roman"/>
          <w:b w:val="0"/>
          <w:bCs/>
          <w:sz w:val="28"/>
          <w:szCs w:val="28"/>
        </w:rPr>
        <w:tab/>
      </w:r>
      <w:r>
        <w:rPr>
          <w:rFonts w:hint="default" w:ascii="Times New Roman" w:hAnsi="Times New Roman" w:eastAsia="仿宋" w:cs="Times New Roman"/>
          <w:b w:val="0"/>
          <w:bCs/>
          <w:sz w:val="28"/>
          <w:szCs w:val="28"/>
        </w:rPr>
        <w:fldChar w:fldCharType="begin"/>
      </w:r>
      <w:r>
        <w:rPr>
          <w:rFonts w:hint="default" w:ascii="Times New Roman" w:hAnsi="Times New Roman" w:eastAsia="仿宋" w:cs="Times New Roman"/>
          <w:b w:val="0"/>
          <w:bCs/>
          <w:sz w:val="28"/>
          <w:szCs w:val="28"/>
        </w:rPr>
        <w:instrText xml:space="preserve"> PAGEREF _Toc28230 \h </w:instrText>
      </w:r>
      <w:r>
        <w:rPr>
          <w:rFonts w:hint="default" w:ascii="Times New Roman" w:hAnsi="Times New Roman" w:eastAsia="仿宋" w:cs="Times New Roman"/>
          <w:b w:val="0"/>
          <w:bCs/>
          <w:sz w:val="28"/>
          <w:szCs w:val="28"/>
        </w:rPr>
        <w:fldChar w:fldCharType="separate"/>
      </w:r>
      <w:r>
        <w:rPr>
          <w:rFonts w:hint="default" w:ascii="Times New Roman" w:hAnsi="Times New Roman" w:eastAsia="仿宋" w:cs="Times New Roman"/>
          <w:b w:val="0"/>
          <w:bCs/>
          <w:sz w:val="28"/>
          <w:szCs w:val="28"/>
        </w:rPr>
        <w:t>83</w:t>
      </w:r>
      <w:r>
        <w:rPr>
          <w:rFonts w:hint="default" w:ascii="Times New Roman" w:hAnsi="Times New Roman" w:eastAsia="仿宋" w:cs="Times New Roman"/>
          <w:b w:val="0"/>
          <w:bCs/>
          <w:sz w:val="28"/>
          <w:szCs w:val="28"/>
        </w:rPr>
        <w:fldChar w:fldCharType="end"/>
      </w:r>
      <w:r>
        <w:rPr>
          <w:rFonts w:hint="default" w:ascii="Times New Roman" w:hAnsi="Times New Roman" w:eastAsia="仿宋" w:cs="Times New Roman"/>
          <w:b w:val="0"/>
          <w:bCs/>
          <w:sz w:val="28"/>
          <w:szCs w:val="28"/>
          <w:highlight w:val="yellow"/>
        </w:rPr>
        <w:fldChar w:fldCharType="end"/>
      </w:r>
    </w:p>
    <w:p w14:paraId="323C06D5">
      <w:pPr>
        <w:pStyle w:val="21"/>
        <w:keepNext w:val="0"/>
        <w:keepLines w:val="0"/>
        <w:pageBreakBefore w:val="0"/>
        <w:widowControl w:val="0"/>
        <w:tabs>
          <w:tab w:val="right" w:leader="dot" w:pos="8278"/>
        </w:tabs>
        <w:kinsoku/>
        <w:wordWrap/>
        <w:overflowPunct/>
        <w:topLinePunct w:val="0"/>
        <w:autoSpaceDE/>
        <w:autoSpaceDN/>
        <w:bidi w:val="0"/>
        <w:adjustRightInd/>
        <w:snapToGrid/>
        <w:spacing w:line="450" w:lineRule="exact"/>
        <w:ind w:firstLine="0" w:firstLineChars="0"/>
        <w:textAlignment w:val="auto"/>
        <w:rPr>
          <w:rFonts w:hint="default" w:ascii="Times New Roman" w:hAnsi="Times New Roman" w:eastAsia="仿宋" w:cs="Times New Roman"/>
          <w:b w:val="0"/>
          <w:bCs/>
          <w:sz w:val="28"/>
          <w:szCs w:val="28"/>
        </w:rPr>
      </w:pPr>
      <w:r>
        <w:rPr>
          <w:rFonts w:hint="default" w:ascii="Times New Roman" w:hAnsi="Times New Roman" w:eastAsia="仿宋" w:cs="Times New Roman"/>
          <w:b w:val="0"/>
          <w:bCs/>
          <w:sz w:val="28"/>
          <w:szCs w:val="28"/>
          <w:highlight w:val="yellow"/>
        </w:rPr>
        <w:fldChar w:fldCharType="begin"/>
      </w:r>
      <w:r>
        <w:rPr>
          <w:rFonts w:hint="default" w:ascii="Times New Roman" w:hAnsi="Times New Roman" w:eastAsia="仿宋" w:cs="Times New Roman"/>
          <w:b w:val="0"/>
          <w:bCs/>
          <w:sz w:val="28"/>
          <w:szCs w:val="28"/>
          <w:highlight w:val="yellow"/>
        </w:rPr>
        <w:instrText xml:space="preserve"> HYPERLINK \l _Toc32758 </w:instrText>
      </w:r>
      <w:r>
        <w:rPr>
          <w:rFonts w:hint="default" w:ascii="Times New Roman" w:hAnsi="Times New Roman" w:eastAsia="仿宋" w:cs="Times New Roman"/>
          <w:b w:val="0"/>
          <w:bCs/>
          <w:sz w:val="28"/>
          <w:szCs w:val="28"/>
          <w:highlight w:val="yellow"/>
        </w:rPr>
        <w:fldChar w:fldCharType="separate"/>
      </w:r>
      <w:r>
        <w:rPr>
          <w:rFonts w:hint="default" w:ascii="Times New Roman" w:hAnsi="Times New Roman" w:eastAsia="仿宋" w:cs="Times New Roman"/>
          <w:b w:val="0"/>
          <w:bCs/>
          <w:sz w:val="28"/>
          <w:szCs w:val="28"/>
          <w:highlight w:val="none"/>
        </w:rPr>
        <w:t>三、资金</w:t>
      </w:r>
      <w:r>
        <w:rPr>
          <w:rFonts w:hint="default" w:ascii="Times New Roman" w:hAnsi="Times New Roman" w:eastAsia="仿宋" w:cs="Times New Roman"/>
          <w:b w:val="0"/>
          <w:bCs/>
          <w:sz w:val="28"/>
          <w:szCs w:val="28"/>
          <w:highlight w:val="none"/>
          <w:lang w:eastAsia="zh-CN"/>
        </w:rPr>
        <w:t>统筹</w:t>
      </w:r>
      <w:r>
        <w:rPr>
          <w:rFonts w:hint="default" w:ascii="Times New Roman" w:hAnsi="Times New Roman" w:eastAsia="仿宋" w:cs="Times New Roman"/>
          <w:b w:val="0"/>
          <w:bCs/>
          <w:sz w:val="28"/>
          <w:szCs w:val="28"/>
        </w:rPr>
        <w:tab/>
      </w:r>
      <w:r>
        <w:rPr>
          <w:rFonts w:hint="default" w:ascii="Times New Roman" w:hAnsi="Times New Roman" w:eastAsia="仿宋" w:cs="Times New Roman"/>
          <w:b w:val="0"/>
          <w:bCs/>
          <w:sz w:val="28"/>
          <w:szCs w:val="28"/>
        </w:rPr>
        <w:fldChar w:fldCharType="begin"/>
      </w:r>
      <w:r>
        <w:rPr>
          <w:rFonts w:hint="default" w:ascii="Times New Roman" w:hAnsi="Times New Roman" w:eastAsia="仿宋" w:cs="Times New Roman"/>
          <w:b w:val="0"/>
          <w:bCs/>
          <w:sz w:val="28"/>
          <w:szCs w:val="28"/>
        </w:rPr>
        <w:instrText xml:space="preserve"> PAGEREF _Toc32758 \h </w:instrText>
      </w:r>
      <w:r>
        <w:rPr>
          <w:rFonts w:hint="default" w:ascii="Times New Roman" w:hAnsi="Times New Roman" w:eastAsia="仿宋" w:cs="Times New Roman"/>
          <w:b w:val="0"/>
          <w:bCs/>
          <w:sz w:val="28"/>
          <w:szCs w:val="28"/>
        </w:rPr>
        <w:fldChar w:fldCharType="separate"/>
      </w:r>
      <w:r>
        <w:rPr>
          <w:rFonts w:hint="default" w:ascii="Times New Roman" w:hAnsi="Times New Roman" w:eastAsia="仿宋" w:cs="Times New Roman"/>
          <w:b w:val="0"/>
          <w:bCs/>
          <w:sz w:val="28"/>
          <w:szCs w:val="28"/>
        </w:rPr>
        <w:t>83</w:t>
      </w:r>
      <w:r>
        <w:rPr>
          <w:rFonts w:hint="default" w:ascii="Times New Roman" w:hAnsi="Times New Roman" w:eastAsia="仿宋" w:cs="Times New Roman"/>
          <w:b w:val="0"/>
          <w:bCs/>
          <w:sz w:val="28"/>
          <w:szCs w:val="28"/>
        </w:rPr>
        <w:fldChar w:fldCharType="end"/>
      </w:r>
      <w:r>
        <w:rPr>
          <w:rFonts w:hint="default" w:ascii="Times New Roman" w:hAnsi="Times New Roman" w:eastAsia="仿宋" w:cs="Times New Roman"/>
          <w:b w:val="0"/>
          <w:bCs/>
          <w:sz w:val="28"/>
          <w:szCs w:val="28"/>
          <w:highlight w:val="yellow"/>
        </w:rPr>
        <w:fldChar w:fldCharType="end"/>
      </w:r>
    </w:p>
    <w:p w14:paraId="5549B62E">
      <w:pPr>
        <w:pStyle w:val="21"/>
        <w:keepNext w:val="0"/>
        <w:keepLines w:val="0"/>
        <w:pageBreakBefore w:val="0"/>
        <w:widowControl w:val="0"/>
        <w:tabs>
          <w:tab w:val="right" w:leader="dot" w:pos="8278"/>
        </w:tabs>
        <w:kinsoku/>
        <w:wordWrap/>
        <w:overflowPunct/>
        <w:topLinePunct w:val="0"/>
        <w:autoSpaceDE/>
        <w:autoSpaceDN/>
        <w:bidi w:val="0"/>
        <w:adjustRightInd/>
        <w:snapToGrid/>
        <w:spacing w:line="450" w:lineRule="exact"/>
        <w:ind w:firstLine="0" w:firstLineChars="0"/>
        <w:textAlignment w:val="auto"/>
        <w:rPr>
          <w:rFonts w:hint="default" w:ascii="Times New Roman" w:hAnsi="Times New Roman" w:eastAsia="仿宋" w:cs="Times New Roman"/>
          <w:b w:val="0"/>
          <w:bCs/>
          <w:sz w:val="28"/>
          <w:szCs w:val="28"/>
        </w:rPr>
      </w:pPr>
      <w:r>
        <w:rPr>
          <w:rFonts w:hint="default" w:ascii="Times New Roman" w:hAnsi="Times New Roman" w:eastAsia="仿宋" w:cs="Times New Roman"/>
          <w:b w:val="0"/>
          <w:bCs/>
          <w:sz w:val="28"/>
          <w:szCs w:val="28"/>
          <w:highlight w:val="yellow"/>
        </w:rPr>
        <w:fldChar w:fldCharType="begin"/>
      </w:r>
      <w:r>
        <w:rPr>
          <w:rFonts w:hint="default" w:ascii="Times New Roman" w:hAnsi="Times New Roman" w:eastAsia="仿宋" w:cs="Times New Roman"/>
          <w:b w:val="0"/>
          <w:bCs/>
          <w:sz w:val="28"/>
          <w:szCs w:val="28"/>
          <w:highlight w:val="yellow"/>
        </w:rPr>
        <w:instrText xml:space="preserve"> HYPERLINK \l _Toc22830 </w:instrText>
      </w:r>
      <w:r>
        <w:rPr>
          <w:rFonts w:hint="default" w:ascii="Times New Roman" w:hAnsi="Times New Roman" w:eastAsia="仿宋" w:cs="Times New Roman"/>
          <w:b w:val="0"/>
          <w:bCs/>
          <w:sz w:val="28"/>
          <w:szCs w:val="28"/>
          <w:highlight w:val="yellow"/>
        </w:rPr>
        <w:fldChar w:fldCharType="separate"/>
      </w:r>
      <w:r>
        <w:rPr>
          <w:rFonts w:hint="default" w:ascii="Times New Roman" w:hAnsi="Times New Roman" w:eastAsia="仿宋" w:cs="Times New Roman"/>
          <w:b w:val="0"/>
          <w:bCs/>
          <w:sz w:val="28"/>
          <w:szCs w:val="28"/>
          <w:highlight w:val="none"/>
        </w:rPr>
        <w:t>四、</w:t>
      </w:r>
      <w:r>
        <w:rPr>
          <w:rFonts w:hint="default" w:ascii="Times New Roman" w:hAnsi="Times New Roman" w:eastAsia="仿宋" w:cs="Times New Roman"/>
          <w:b w:val="0"/>
          <w:bCs/>
          <w:sz w:val="28"/>
          <w:szCs w:val="28"/>
          <w:highlight w:val="none"/>
          <w:lang w:eastAsia="zh-CN"/>
        </w:rPr>
        <w:t>科技创新</w:t>
      </w:r>
      <w:r>
        <w:rPr>
          <w:rFonts w:hint="default" w:ascii="Times New Roman" w:hAnsi="Times New Roman" w:eastAsia="仿宋" w:cs="Times New Roman"/>
          <w:b w:val="0"/>
          <w:bCs/>
          <w:sz w:val="28"/>
          <w:szCs w:val="28"/>
        </w:rPr>
        <w:tab/>
      </w:r>
      <w:r>
        <w:rPr>
          <w:rFonts w:hint="default" w:ascii="Times New Roman" w:hAnsi="Times New Roman" w:eastAsia="仿宋" w:cs="Times New Roman"/>
          <w:b w:val="0"/>
          <w:bCs/>
          <w:sz w:val="28"/>
          <w:szCs w:val="28"/>
        </w:rPr>
        <w:fldChar w:fldCharType="begin"/>
      </w:r>
      <w:r>
        <w:rPr>
          <w:rFonts w:hint="default" w:ascii="Times New Roman" w:hAnsi="Times New Roman" w:eastAsia="仿宋" w:cs="Times New Roman"/>
          <w:b w:val="0"/>
          <w:bCs/>
          <w:sz w:val="28"/>
          <w:szCs w:val="28"/>
        </w:rPr>
        <w:instrText xml:space="preserve"> PAGEREF _Toc22830 \h </w:instrText>
      </w:r>
      <w:r>
        <w:rPr>
          <w:rFonts w:hint="default" w:ascii="Times New Roman" w:hAnsi="Times New Roman" w:eastAsia="仿宋" w:cs="Times New Roman"/>
          <w:b w:val="0"/>
          <w:bCs/>
          <w:sz w:val="28"/>
          <w:szCs w:val="28"/>
        </w:rPr>
        <w:fldChar w:fldCharType="separate"/>
      </w:r>
      <w:r>
        <w:rPr>
          <w:rFonts w:hint="default" w:ascii="Times New Roman" w:hAnsi="Times New Roman" w:eastAsia="仿宋" w:cs="Times New Roman"/>
          <w:b w:val="0"/>
          <w:bCs/>
          <w:sz w:val="28"/>
          <w:szCs w:val="28"/>
        </w:rPr>
        <w:t>84</w:t>
      </w:r>
      <w:r>
        <w:rPr>
          <w:rFonts w:hint="default" w:ascii="Times New Roman" w:hAnsi="Times New Roman" w:eastAsia="仿宋" w:cs="Times New Roman"/>
          <w:b w:val="0"/>
          <w:bCs/>
          <w:sz w:val="28"/>
          <w:szCs w:val="28"/>
        </w:rPr>
        <w:fldChar w:fldCharType="end"/>
      </w:r>
      <w:r>
        <w:rPr>
          <w:rFonts w:hint="default" w:ascii="Times New Roman" w:hAnsi="Times New Roman" w:eastAsia="仿宋" w:cs="Times New Roman"/>
          <w:b w:val="0"/>
          <w:bCs/>
          <w:sz w:val="28"/>
          <w:szCs w:val="28"/>
          <w:highlight w:val="yellow"/>
        </w:rPr>
        <w:fldChar w:fldCharType="end"/>
      </w:r>
    </w:p>
    <w:p w14:paraId="3DF09652">
      <w:pPr>
        <w:pStyle w:val="21"/>
        <w:keepNext w:val="0"/>
        <w:keepLines w:val="0"/>
        <w:pageBreakBefore w:val="0"/>
        <w:widowControl w:val="0"/>
        <w:tabs>
          <w:tab w:val="right" w:leader="dot" w:pos="8278"/>
        </w:tabs>
        <w:kinsoku/>
        <w:wordWrap/>
        <w:overflowPunct/>
        <w:topLinePunct w:val="0"/>
        <w:autoSpaceDE/>
        <w:autoSpaceDN/>
        <w:bidi w:val="0"/>
        <w:adjustRightInd/>
        <w:snapToGrid/>
        <w:spacing w:line="450" w:lineRule="exact"/>
        <w:ind w:firstLine="0" w:firstLineChars="0"/>
        <w:textAlignment w:val="auto"/>
        <w:rPr>
          <w:rFonts w:hint="default" w:ascii="Times New Roman" w:hAnsi="Times New Roman" w:eastAsia="仿宋" w:cs="Times New Roman"/>
          <w:b w:val="0"/>
          <w:bCs/>
          <w:sz w:val="28"/>
          <w:szCs w:val="28"/>
        </w:rPr>
      </w:pPr>
      <w:r>
        <w:rPr>
          <w:rFonts w:hint="default" w:ascii="Times New Roman" w:hAnsi="Times New Roman" w:eastAsia="仿宋" w:cs="Times New Roman"/>
          <w:b w:val="0"/>
          <w:bCs/>
          <w:sz w:val="28"/>
          <w:szCs w:val="28"/>
          <w:highlight w:val="yellow"/>
        </w:rPr>
        <w:fldChar w:fldCharType="begin"/>
      </w:r>
      <w:r>
        <w:rPr>
          <w:rFonts w:hint="default" w:ascii="Times New Roman" w:hAnsi="Times New Roman" w:eastAsia="仿宋" w:cs="Times New Roman"/>
          <w:b w:val="0"/>
          <w:bCs/>
          <w:sz w:val="28"/>
          <w:szCs w:val="28"/>
          <w:highlight w:val="yellow"/>
        </w:rPr>
        <w:instrText xml:space="preserve"> HYPERLINK \l _Toc9053 </w:instrText>
      </w:r>
      <w:r>
        <w:rPr>
          <w:rFonts w:hint="default" w:ascii="Times New Roman" w:hAnsi="Times New Roman" w:eastAsia="仿宋" w:cs="Times New Roman"/>
          <w:b w:val="0"/>
          <w:bCs/>
          <w:sz w:val="28"/>
          <w:szCs w:val="28"/>
          <w:highlight w:val="yellow"/>
        </w:rPr>
        <w:fldChar w:fldCharType="separate"/>
      </w:r>
      <w:r>
        <w:rPr>
          <w:rFonts w:hint="default" w:ascii="Times New Roman" w:hAnsi="Times New Roman" w:eastAsia="仿宋" w:cs="Times New Roman"/>
          <w:b w:val="0"/>
          <w:bCs/>
          <w:sz w:val="28"/>
          <w:szCs w:val="28"/>
          <w:highlight w:val="none"/>
        </w:rPr>
        <w:t>五、社会</w:t>
      </w:r>
      <w:r>
        <w:rPr>
          <w:rFonts w:hint="default" w:ascii="Times New Roman" w:hAnsi="Times New Roman" w:eastAsia="仿宋" w:cs="Times New Roman"/>
          <w:b w:val="0"/>
          <w:bCs/>
          <w:sz w:val="28"/>
          <w:szCs w:val="28"/>
          <w:highlight w:val="none"/>
          <w:lang w:eastAsia="zh-CN"/>
        </w:rPr>
        <w:t>参与</w:t>
      </w:r>
      <w:r>
        <w:rPr>
          <w:rFonts w:hint="default" w:ascii="Times New Roman" w:hAnsi="Times New Roman" w:eastAsia="仿宋" w:cs="Times New Roman"/>
          <w:b w:val="0"/>
          <w:bCs/>
          <w:sz w:val="28"/>
          <w:szCs w:val="28"/>
        </w:rPr>
        <w:tab/>
      </w:r>
      <w:r>
        <w:rPr>
          <w:rFonts w:hint="default" w:ascii="Times New Roman" w:hAnsi="Times New Roman" w:eastAsia="仿宋" w:cs="Times New Roman"/>
          <w:b w:val="0"/>
          <w:bCs/>
          <w:sz w:val="28"/>
          <w:szCs w:val="28"/>
        </w:rPr>
        <w:fldChar w:fldCharType="begin"/>
      </w:r>
      <w:r>
        <w:rPr>
          <w:rFonts w:hint="default" w:ascii="Times New Roman" w:hAnsi="Times New Roman" w:eastAsia="仿宋" w:cs="Times New Roman"/>
          <w:b w:val="0"/>
          <w:bCs/>
          <w:sz w:val="28"/>
          <w:szCs w:val="28"/>
        </w:rPr>
        <w:instrText xml:space="preserve"> PAGEREF _Toc9053 \h </w:instrText>
      </w:r>
      <w:r>
        <w:rPr>
          <w:rFonts w:hint="default" w:ascii="Times New Roman" w:hAnsi="Times New Roman" w:eastAsia="仿宋" w:cs="Times New Roman"/>
          <w:b w:val="0"/>
          <w:bCs/>
          <w:sz w:val="28"/>
          <w:szCs w:val="28"/>
        </w:rPr>
        <w:fldChar w:fldCharType="separate"/>
      </w:r>
      <w:r>
        <w:rPr>
          <w:rFonts w:hint="default" w:ascii="Times New Roman" w:hAnsi="Times New Roman" w:eastAsia="仿宋" w:cs="Times New Roman"/>
          <w:b w:val="0"/>
          <w:bCs/>
          <w:sz w:val="28"/>
          <w:szCs w:val="28"/>
        </w:rPr>
        <w:t>86</w:t>
      </w:r>
      <w:r>
        <w:rPr>
          <w:rFonts w:hint="default" w:ascii="Times New Roman" w:hAnsi="Times New Roman" w:eastAsia="仿宋" w:cs="Times New Roman"/>
          <w:b w:val="0"/>
          <w:bCs/>
          <w:sz w:val="28"/>
          <w:szCs w:val="28"/>
        </w:rPr>
        <w:fldChar w:fldCharType="end"/>
      </w:r>
      <w:r>
        <w:rPr>
          <w:rFonts w:hint="default" w:ascii="Times New Roman" w:hAnsi="Times New Roman" w:eastAsia="仿宋" w:cs="Times New Roman"/>
          <w:b w:val="0"/>
          <w:bCs/>
          <w:sz w:val="28"/>
          <w:szCs w:val="28"/>
          <w:highlight w:val="yellow"/>
        </w:rPr>
        <w:fldChar w:fldCharType="end"/>
      </w:r>
    </w:p>
    <w:p w14:paraId="1EFCD61C">
      <w:pPr>
        <w:pStyle w:val="20"/>
        <w:keepNext w:val="0"/>
        <w:keepLines w:val="0"/>
        <w:pageBreakBefore w:val="0"/>
        <w:widowControl w:val="0"/>
        <w:tabs>
          <w:tab w:val="right" w:leader="dot" w:pos="8278"/>
          <w:tab w:val="clear" w:pos="8296"/>
        </w:tabs>
        <w:kinsoku/>
        <w:wordWrap/>
        <w:overflowPunct/>
        <w:topLinePunct w:val="0"/>
        <w:autoSpaceDE/>
        <w:autoSpaceDN/>
        <w:bidi w:val="0"/>
        <w:adjustRightInd/>
        <w:snapToGrid/>
        <w:spacing w:line="450" w:lineRule="exact"/>
        <w:textAlignment w:val="auto"/>
        <w:rPr>
          <w:rFonts w:hint="default" w:ascii="Times New Roman" w:hAnsi="Times New Roman" w:eastAsia="仿宋" w:cs="Times New Roman"/>
          <w:b w:val="0"/>
          <w:bCs/>
        </w:rPr>
      </w:pPr>
      <w:r>
        <w:rPr>
          <w:rFonts w:hint="default" w:ascii="Times New Roman" w:hAnsi="Times New Roman" w:eastAsia="仿宋" w:cs="Times New Roman"/>
          <w:b w:val="0"/>
          <w:bCs/>
          <w:sz w:val="28"/>
          <w:szCs w:val="28"/>
          <w:highlight w:val="yellow"/>
        </w:rPr>
        <w:fldChar w:fldCharType="begin"/>
      </w:r>
      <w:r>
        <w:rPr>
          <w:rFonts w:hint="default" w:ascii="Times New Roman" w:hAnsi="Times New Roman" w:eastAsia="仿宋" w:cs="Times New Roman"/>
          <w:b w:val="0"/>
          <w:bCs/>
          <w:sz w:val="28"/>
          <w:szCs w:val="28"/>
          <w:highlight w:val="yellow"/>
        </w:rPr>
        <w:instrText xml:space="preserve"> HYPERLINK \l _Toc314 </w:instrText>
      </w:r>
      <w:r>
        <w:rPr>
          <w:rFonts w:hint="default" w:ascii="Times New Roman" w:hAnsi="Times New Roman" w:eastAsia="仿宋" w:cs="Times New Roman"/>
          <w:b w:val="0"/>
          <w:bCs/>
          <w:sz w:val="28"/>
          <w:szCs w:val="28"/>
          <w:highlight w:val="yellow"/>
        </w:rPr>
        <w:fldChar w:fldCharType="separate"/>
      </w:r>
      <w:r>
        <w:rPr>
          <w:rFonts w:hint="default" w:ascii="Times New Roman" w:hAnsi="Times New Roman" w:eastAsia="仿宋" w:cs="Times New Roman"/>
          <w:b w:val="0"/>
          <w:bCs/>
          <w:sz w:val="28"/>
          <w:szCs w:val="28"/>
          <w:highlight w:val="none"/>
        </w:rPr>
        <w:t xml:space="preserve">附表1   </w:t>
      </w:r>
      <w:r>
        <w:rPr>
          <w:rFonts w:hint="default" w:ascii="Times New Roman" w:hAnsi="Times New Roman" w:eastAsia="仿宋" w:cs="Times New Roman"/>
          <w:b w:val="0"/>
          <w:bCs/>
          <w:sz w:val="28"/>
          <w:szCs w:val="28"/>
          <w:highlight w:val="none"/>
          <w:lang w:eastAsia="zh-CN"/>
        </w:rPr>
        <w:t>柳江区生态文明建设规划重点工程项目表</w:t>
      </w:r>
      <w:r>
        <w:rPr>
          <w:rFonts w:hint="default" w:ascii="Times New Roman" w:hAnsi="Times New Roman" w:eastAsia="仿宋" w:cs="Times New Roman"/>
          <w:b w:val="0"/>
          <w:bCs/>
          <w:sz w:val="28"/>
          <w:szCs w:val="28"/>
        </w:rPr>
        <w:tab/>
      </w:r>
      <w:r>
        <w:rPr>
          <w:rFonts w:hint="default" w:ascii="Times New Roman" w:hAnsi="Times New Roman" w:eastAsia="仿宋" w:cs="Times New Roman"/>
          <w:b w:val="0"/>
          <w:bCs/>
          <w:sz w:val="28"/>
          <w:szCs w:val="28"/>
        </w:rPr>
        <w:fldChar w:fldCharType="begin"/>
      </w:r>
      <w:r>
        <w:rPr>
          <w:rFonts w:hint="default" w:ascii="Times New Roman" w:hAnsi="Times New Roman" w:eastAsia="仿宋" w:cs="Times New Roman"/>
          <w:b w:val="0"/>
          <w:bCs/>
          <w:sz w:val="28"/>
          <w:szCs w:val="28"/>
        </w:rPr>
        <w:instrText xml:space="preserve"> PAGEREF _Toc314 \h </w:instrText>
      </w:r>
      <w:r>
        <w:rPr>
          <w:rFonts w:hint="default" w:ascii="Times New Roman" w:hAnsi="Times New Roman" w:eastAsia="仿宋" w:cs="Times New Roman"/>
          <w:b w:val="0"/>
          <w:bCs/>
          <w:sz w:val="28"/>
          <w:szCs w:val="28"/>
        </w:rPr>
        <w:fldChar w:fldCharType="separate"/>
      </w:r>
      <w:r>
        <w:rPr>
          <w:rFonts w:hint="default" w:ascii="Times New Roman" w:hAnsi="Times New Roman" w:eastAsia="仿宋" w:cs="Times New Roman"/>
          <w:b w:val="0"/>
          <w:bCs/>
          <w:sz w:val="28"/>
          <w:szCs w:val="28"/>
        </w:rPr>
        <w:t>88</w:t>
      </w:r>
      <w:r>
        <w:rPr>
          <w:rFonts w:hint="default" w:ascii="Times New Roman" w:hAnsi="Times New Roman" w:eastAsia="仿宋" w:cs="Times New Roman"/>
          <w:b w:val="0"/>
          <w:bCs/>
          <w:sz w:val="28"/>
          <w:szCs w:val="28"/>
        </w:rPr>
        <w:fldChar w:fldCharType="end"/>
      </w:r>
      <w:r>
        <w:rPr>
          <w:rFonts w:hint="default" w:ascii="Times New Roman" w:hAnsi="Times New Roman" w:eastAsia="仿宋" w:cs="Times New Roman"/>
          <w:b w:val="0"/>
          <w:bCs/>
          <w:sz w:val="28"/>
          <w:szCs w:val="28"/>
          <w:highlight w:val="yellow"/>
        </w:rPr>
        <w:fldChar w:fldCharType="end"/>
      </w:r>
    </w:p>
    <w:p w14:paraId="41D3F985">
      <w:pPr>
        <w:pStyle w:val="20"/>
        <w:pageBreakBefore w:val="0"/>
        <w:tabs>
          <w:tab w:val="right" w:leader="dot" w:pos="8278"/>
          <w:tab w:val="clear" w:pos="8296"/>
        </w:tabs>
        <w:kinsoku/>
        <w:wordWrap/>
        <w:overflowPunct/>
        <w:topLinePunct w:val="0"/>
        <w:autoSpaceDE/>
        <w:autoSpaceDN/>
        <w:bidi w:val="0"/>
        <w:ind w:left="0" w:leftChars="0" w:right="0" w:rightChars="0"/>
        <w:rPr>
          <w:rFonts w:hint="default" w:ascii="Times New Roman" w:hAnsi="Times New Roman" w:eastAsia="黑体" w:cs="Times New Roman"/>
          <w:sz w:val="36"/>
          <w:szCs w:val="36"/>
          <w:highlight w:val="yellow"/>
        </w:rPr>
      </w:pPr>
      <w:r>
        <w:rPr>
          <w:rFonts w:hint="default" w:ascii="Times New Roman" w:hAnsi="Times New Roman" w:eastAsia="仿宋" w:cs="Times New Roman"/>
          <w:b w:val="0"/>
          <w:bCs/>
          <w:szCs w:val="28"/>
          <w:highlight w:val="yellow"/>
        </w:rPr>
        <w:fldChar w:fldCharType="end"/>
      </w:r>
    </w:p>
    <w:p w14:paraId="3B54274E">
      <w:pPr>
        <w:pStyle w:val="20"/>
        <w:pageBreakBefore w:val="0"/>
        <w:tabs>
          <w:tab w:val="right" w:leader="dot" w:pos="8278"/>
          <w:tab w:val="clear" w:pos="8296"/>
        </w:tabs>
        <w:kinsoku/>
        <w:wordWrap/>
        <w:overflowPunct/>
        <w:topLinePunct w:val="0"/>
        <w:autoSpaceDE/>
        <w:autoSpaceDN/>
        <w:bidi w:val="0"/>
        <w:ind w:left="0" w:leftChars="0" w:right="0" w:rightChars="0"/>
        <w:rPr>
          <w:rFonts w:ascii="黑体" w:hAnsi="黑体" w:eastAsia="黑体"/>
          <w:sz w:val="36"/>
          <w:szCs w:val="36"/>
          <w:highlight w:val="yellow"/>
        </w:rPr>
      </w:pPr>
    </w:p>
    <w:p w14:paraId="49080E9E">
      <w:pPr>
        <w:pStyle w:val="21"/>
        <w:pageBreakBefore w:val="0"/>
        <w:tabs>
          <w:tab w:val="right" w:leader="dot" w:pos="8268"/>
        </w:tabs>
        <w:kinsoku/>
        <w:wordWrap/>
        <w:overflowPunct/>
        <w:topLinePunct w:val="0"/>
        <w:autoSpaceDE/>
        <w:autoSpaceDN/>
        <w:bidi w:val="0"/>
        <w:ind w:left="0" w:leftChars="0" w:right="0" w:rightChars="0" w:firstLine="0" w:firstLineChars="0"/>
        <w:rPr>
          <w:rFonts w:ascii="黑体" w:hAnsi="黑体" w:eastAsia="黑体"/>
          <w:b/>
          <w:sz w:val="36"/>
          <w:szCs w:val="36"/>
          <w:highlight w:val="yellow"/>
        </w:rPr>
      </w:pPr>
    </w:p>
    <w:p w14:paraId="753E134B">
      <w:pPr>
        <w:pageBreakBefore w:val="0"/>
        <w:kinsoku/>
        <w:wordWrap/>
        <w:overflowPunct/>
        <w:topLinePunct w:val="0"/>
        <w:autoSpaceDE/>
        <w:autoSpaceDN/>
        <w:bidi w:val="0"/>
        <w:spacing w:after="240"/>
        <w:ind w:left="0" w:leftChars="0" w:right="0" w:rightChars="0" w:firstLine="0" w:firstLineChars="0"/>
        <w:rPr>
          <w:rFonts w:ascii="黑体" w:hAnsi="黑体" w:eastAsia="黑体"/>
          <w:b/>
          <w:sz w:val="36"/>
          <w:szCs w:val="36"/>
          <w:highlight w:val="yellow"/>
        </w:rPr>
      </w:pPr>
    </w:p>
    <w:p w14:paraId="0FD31624">
      <w:pPr>
        <w:pStyle w:val="12"/>
        <w:pageBreakBefore w:val="0"/>
        <w:kinsoku/>
        <w:wordWrap/>
        <w:overflowPunct/>
        <w:topLinePunct w:val="0"/>
        <w:autoSpaceDE/>
        <w:autoSpaceDN/>
        <w:bidi w:val="0"/>
        <w:ind w:left="0" w:leftChars="0" w:right="0" w:rightChars="0" w:firstLine="560"/>
        <w:rPr>
          <w:highlight w:val="yellow"/>
        </w:rPr>
        <w:sectPr>
          <w:footerReference r:id="rId13" w:type="default"/>
          <w:pgSz w:w="11905" w:h="16838"/>
          <w:pgMar w:top="2098" w:right="1474" w:bottom="1984" w:left="1587" w:header="1417" w:footer="1304" w:gutter="0"/>
          <w:pgNumType w:fmt="upperRoman"/>
          <w:cols w:space="0" w:num="1"/>
          <w:rtlGutter w:val="0"/>
          <w:docGrid w:type="linesAndChars" w:linePitch="439" w:charSpace="1433"/>
        </w:sectPr>
      </w:pPr>
    </w:p>
    <w:p w14:paraId="0B7D95C2">
      <w:pPr>
        <w:pStyle w:val="7"/>
        <w:pageBreakBefore w:val="0"/>
        <w:kinsoku/>
        <w:wordWrap/>
        <w:overflowPunct/>
        <w:topLinePunct w:val="0"/>
        <w:autoSpaceDE/>
        <w:autoSpaceDN/>
        <w:bidi w:val="0"/>
        <w:spacing w:line="560" w:lineRule="exact"/>
        <w:ind w:left="0" w:leftChars="0" w:right="0" w:rightChars="0" w:firstLine="200" w:firstLineChars="45"/>
        <w:jc w:val="center"/>
        <w:rPr>
          <w:rFonts w:hint="eastAsia" w:ascii="方正小标宋简体" w:hAnsi="方正小标宋简体" w:eastAsia="方正小标宋简体" w:cs="方正小标宋简体"/>
          <w:b w:val="0"/>
          <w:bCs w:val="0"/>
          <w:highlight w:val="none"/>
          <w:lang w:eastAsia="zh-CN"/>
        </w:rPr>
      </w:pPr>
      <w:bookmarkStart w:id="6" w:name="_Toc19509"/>
      <w:bookmarkStart w:id="7" w:name="_Toc3714"/>
      <w:bookmarkStart w:id="8" w:name="_Toc26643"/>
      <w:bookmarkStart w:id="9" w:name="_Toc28711"/>
      <w:bookmarkStart w:id="10" w:name="_Toc24737"/>
      <w:bookmarkStart w:id="11" w:name="_Toc9255"/>
      <w:bookmarkStart w:id="12" w:name="_Toc24448"/>
      <w:bookmarkStart w:id="13" w:name="_Toc11032"/>
      <w:bookmarkStart w:id="14" w:name="_Toc467616556"/>
      <w:bookmarkStart w:id="15" w:name="_Toc491434533"/>
      <w:bookmarkStart w:id="16" w:name="_Toc491434475"/>
      <w:r>
        <w:rPr>
          <w:rFonts w:hint="eastAsia" w:ascii="方正小标宋简体" w:hAnsi="方正小标宋简体" w:eastAsia="方正小标宋简体" w:cs="方正小标宋简体"/>
          <w:b w:val="0"/>
          <w:bCs w:val="0"/>
          <w:highlight w:val="none"/>
        </w:rPr>
        <w:t xml:space="preserve">第一章  </w:t>
      </w:r>
      <w:r>
        <w:rPr>
          <w:rFonts w:hint="eastAsia" w:ascii="方正小标宋简体" w:hAnsi="方正小标宋简体" w:eastAsia="方正小标宋简体" w:cs="方正小标宋简体"/>
          <w:b w:val="0"/>
          <w:bCs w:val="0"/>
          <w:highlight w:val="none"/>
          <w:lang w:eastAsia="zh-CN"/>
        </w:rPr>
        <w:t>工作基础与形势分析</w:t>
      </w:r>
      <w:bookmarkEnd w:id="6"/>
    </w:p>
    <w:p w14:paraId="361145A0">
      <w:pPr>
        <w:pStyle w:val="8"/>
        <w:pageBreakBefore w:val="0"/>
        <w:kinsoku/>
        <w:wordWrap/>
        <w:overflowPunct/>
        <w:topLinePunct w:val="0"/>
        <w:autoSpaceDE/>
        <w:autoSpaceDN/>
        <w:bidi w:val="0"/>
        <w:spacing w:line="560" w:lineRule="exact"/>
        <w:ind w:left="0" w:leftChars="0" w:right="0" w:rightChars="0" w:firstLine="652" w:firstLineChars="200"/>
        <w:rPr>
          <w:b w:val="0"/>
          <w:bCs w:val="0"/>
          <w:highlight w:val="none"/>
        </w:rPr>
      </w:pPr>
      <w:bookmarkStart w:id="17" w:name="_Toc24890"/>
      <w:r>
        <w:rPr>
          <w:rFonts w:hint="eastAsia"/>
          <w:b w:val="0"/>
          <w:bCs w:val="0"/>
          <w:highlight w:val="none"/>
        </w:rPr>
        <w:t>一、</w:t>
      </w:r>
      <w:r>
        <w:rPr>
          <w:rFonts w:hint="eastAsia"/>
          <w:b w:val="0"/>
          <w:bCs w:val="0"/>
          <w:highlight w:val="none"/>
          <w:lang w:eastAsia="zh-CN"/>
        </w:rPr>
        <w:t>建设基础</w:t>
      </w:r>
      <w:bookmarkEnd w:id="17"/>
    </w:p>
    <w:p w14:paraId="6B7A3585">
      <w:pPr>
        <w:pStyle w:val="9"/>
        <w:pageBreakBefore w:val="0"/>
        <w:kinsoku/>
        <w:wordWrap/>
        <w:overflowPunct/>
        <w:topLinePunct w:val="0"/>
        <w:autoSpaceDE/>
        <w:autoSpaceDN/>
        <w:bidi w:val="0"/>
        <w:spacing w:line="560" w:lineRule="exact"/>
        <w:ind w:left="0" w:leftChars="0" w:right="0" w:rightChars="0" w:firstLine="640"/>
        <w:rPr>
          <w:rFonts w:ascii="楷体_GB2312" w:hAnsi="楷体_GB2312" w:eastAsia="楷体_GB2312" w:cs="楷体_GB2312"/>
          <w:b/>
          <w:bCs w:val="0"/>
          <w:highlight w:val="none"/>
        </w:rPr>
      </w:pPr>
      <w:r>
        <w:rPr>
          <w:rFonts w:hint="eastAsia" w:ascii="楷体_GB2312" w:hAnsi="楷体_GB2312" w:eastAsia="楷体_GB2312" w:cs="楷体_GB2312"/>
          <w:b/>
          <w:bCs w:val="0"/>
          <w:highlight w:val="none"/>
        </w:rPr>
        <w:t>（一）</w:t>
      </w:r>
      <w:r>
        <w:rPr>
          <w:rFonts w:hint="eastAsia" w:ascii="楷体_GB2312" w:hAnsi="楷体_GB2312" w:eastAsia="楷体_GB2312" w:cs="楷体_GB2312"/>
          <w:b/>
          <w:bCs w:val="0"/>
          <w:highlight w:val="none"/>
          <w:lang w:eastAsia="zh-CN"/>
        </w:rPr>
        <w:t>区域特征</w:t>
      </w:r>
    </w:p>
    <w:p w14:paraId="1198A0A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rPr>
          <w:rFonts w:eastAsia="仿宋_GB2312" w:cs="Times New Roman"/>
          <w:highlight w:val="none"/>
        </w:rPr>
      </w:pPr>
      <w:r>
        <w:rPr>
          <w:rFonts w:eastAsia="仿宋_GB2312" w:cs="Times New Roman"/>
          <w:highlight w:val="none"/>
        </w:rPr>
        <w:t>1.</w:t>
      </w:r>
      <w:r>
        <w:rPr>
          <w:rFonts w:hint="eastAsia" w:eastAsia="仿宋_GB2312" w:cs="Times New Roman"/>
          <w:highlight w:val="none"/>
          <w:lang w:eastAsia="zh-CN"/>
        </w:rPr>
        <w:t>区位优势突出</w:t>
      </w:r>
    </w:p>
    <w:p w14:paraId="595C07E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rPr>
          <w:rFonts w:hint="eastAsia" w:eastAsia="仿宋_GB2312" w:cs="Times New Roman"/>
          <w:highlight w:val="none"/>
          <w:lang w:eastAsia="zh-CN"/>
        </w:rPr>
      </w:pPr>
      <w:r>
        <w:rPr>
          <w:rFonts w:eastAsia="仿宋_GB2312" w:cs="Times New Roman"/>
          <w:highlight w:val="none"/>
        </w:rPr>
        <w:t>柳江区</w:t>
      </w:r>
      <w:r>
        <w:rPr>
          <w:rFonts w:hint="eastAsia" w:eastAsia="仿宋_GB2312" w:cs="Times New Roman"/>
          <w:highlight w:val="none"/>
        </w:rPr>
        <w:t>区域优势十分明显，地处中国南方交通枢纽、西南出海大通道要塞，拥有水、陆、空立体交通网络。新柳南高速公路通车后，基本实现镇镇通高速，交通优势十分突出。</w:t>
      </w:r>
      <w:r>
        <w:rPr>
          <w:rFonts w:eastAsia="仿宋_GB2312" w:cs="Times New Roman"/>
          <w:highlight w:val="none"/>
        </w:rPr>
        <w:t>对外交通方便快捷，为构造</w:t>
      </w:r>
      <w:r>
        <w:rPr>
          <w:rFonts w:hint="eastAsia" w:eastAsia="仿宋_GB2312" w:cs="Times New Roman"/>
          <w:highlight w:val="none"/>
          <w:lang w:eastAsia="zh-CN"/>
        </w:rPr>
        <w:t>“</w:t>
      </w:r>
      <w:r>
        <w:rPr>
          <w:rFonts w:eastAsia="仿宋_GB2312" w:cs="Times New Roman"/>
          <w:highlight w:val="none"/>
        </w:rPr>
        <w:t>内外衔接、城乡相连、快速便捷、功能完善</w:t>
      </w:r>
      <w:r>
        <w:rPr>
          <w:rFonts w:hint="eastAsia" w:eastAsia="仿宋_GB2312" w:cs="Times New Roman"/>
          <w:highlight w:val="none"/>
          <w:lang w:eastAsia="zh-CN"/>
        </w:rPr>
        <w:t>”</w:t>
      </w:r>
      <w:r>
        <w:rPr>
          <w:rFonts w:eastAsia="仿宋_GB2312" w:cs="Times New Roman"/>
          <w:highlight w:val="none"/>
        </w:rPr>
        <w:t>现代交通体系提供重要支撑</w:t>
      </w:r>
      <w:r>
        <w:rPr>
          <w:rFonts w:hint="eastAsia" w:eastAsia="仿宋_GB2312" w:cs="Times New Roman"/>
          <w:highlight w:val="none"/>
          <w:lang w:eastAsia="zh-CN"/>
        </w:rPr>
        <w:t>。</w:t>
      </w:r>
    </w:p>
    <w:p w14:paraId="7EE2544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rPr>
          <w:rFonts w:eastAsia="仿宋_GB2312" w:cs="Times New Roman"/>
          <w:highlight w:val="none"/>
        </w:rPr>
      </w:pPr>
      <w:r>
        <w:rPr>
          <w:rFonts w:hint="eastAsia" w:eastAsia="仿宋_GB2312" w:cs="Times New Roman"/>
          <w:highlight w:val="none"/>
          <w:lang w:val="en-US" w:eastAsia="zh-CN"/>
        </w:rPr>
        <w:t>2</w:t>
      </w:r>
      <w:r>
        <w:rPr>
          <w:rFonts w:eastAsia="仿宋_GB2312" w:cs="Times New Roman"/>
          <w:highlight w:val="none"/>
        </w:rPr>
        <w:t>.</w:t>
      </w:r>
      <w:bookmarkStart w:id="18" w:name="_Toc469315565"/>
      <w:bookmarkStart w:id="19" w:name="_Toc471226225"/>
      <w:bookmarkStart w:id="20" w:name="_Toc469297720"/>
      <w:bookmarkStart w:id="21" w:name="_Toc469262256"/>
      <w:r>
        <w:rPr>
          <w:rFonts w:hint="eastAsia" w:eastAsia="仿宋_GB2312" w:cs="Times New Roman"/>
          <w:highlight w:val="none"/>
          <w:lang w:eastAsia="zh-CN"/>
        </w:rPr>
        <w:t>生态</w:t>
      </w:r>
      <w:r>
        <w:rPr>
          <w:rFonts w:hint="eastAsia" w:eastAsia="仿宋_GB2312" w:cs="Times New Roman"/>
          <w:highlight w:val="none"/>
        </w:rPr>
        <w:t>环境</w:t>
      </w:r>
      <w:bookmarkEnd w:id="18"/>
      <w:bookmarkEnd w:id="19"/>
      <w:bookmarkEnd w:id="20"/>
      <w:bookmarkEnd w:id="21"/>
      <w:r>
        <w:rPr>
          <w:rFonts w:hint="eastAsia" w:eastAsia="仿宋_GB2312" w:cs="Times New Roman"/>
          <w:highlight w:val="none"/>
          <w:lang w:eastAsia="zh-CN"/>
        </w:rPr>
        <w:t>条件优越</w:t>
      </w:r>
    </w:p>
    <w:p w14:paraId="7BF4096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rPr>
          <w:rFonts w:hint="eastAsia" w:eastAsia="仿宋_GB2312" w:cs="Times New Roman"/>
          <w:highlight w:val="none"/>
          <w:lang w:eastAsia="zh-CN"/>
        </w:rPr>
      </w:pPr>
      <w:r>
        <w:rPr>
          <w:rFonts w:hint="eastAsia" w:eastAsia="仿宋_GB2312" w:cs="Times New Roman"/>
          <w:highlight w:val="none"/>
          <w:lang w:eastAsia="zh-CN"/>
        </w:rPr>
        <w:t>（</w:t>
      </w:r>
      <w:r>
        <w:rPr>
          <w:rFonts w:hint="eastAsia" w:eastAsia="仿宋_GB2312" w:cs="Times New Roman"/>
          <w:highlight w:val="none"/>
          <w:lang w:val="en-US" w:eastAsia="zh-CN"/>
        </w:rPr>
        <w:t>1</w:t>
      </w:r>
      <w:r>
        <w:rPr>
          <w:rFonts w:hint="eastAsia" w:eastAsia="仿宋_GB2312" w:cs="Times New Roman"/>
          <w:highlight w:val="none"/>
          <w:lang w:eastAsia="zh-CN"/>
        </w:rPr>
        <w:t>）自然生态环境优美</w:t>
      </w:r>
    </w:p>
    <w:p w14:paraId="4237E84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rPr>
          <w:rFonts w:hint="eastAsia" w:eastAsia="仿宋_GB2312" w:cs="Times New Roman"/>
          <w:highlight w:val="none"/>
        </w:rPr>
      </w:pPr>
      <w:r>
        <w:rPr>
          <w:rFonts w:hint="eastAsia" w:eastAsia="仿宋_GB2312" w:cs="Times New Roman"/>
          <w:highlight w:val="none"/>
          <w:lang w:eastAsia="zh-CN"/>
        </w:rPr>
        <w:t>柳江区</w:t>
      </w:r>
      <w:r>
        <w:rPr>
          <w:rFonts w:hint="eastAsia" w:eastAsia="仿宋_GB2312" w:cs="Times New Roman"/>
          <w:highlight w:val="none"/>
        </w:rPr>
        <w:t>地处亚热带，气候温和，夏长冬短，雨量充沛，光照充足，雨热同季，具有良好的气候条件。全区岩溶地貌占绝对优势，其面积占全区80%以上，穿山镇境内的乐迷岩洞分三层，可容数万人，钟乳石千姿百态，景观阔大雄奇。柳江的古迹遗址有</w:t>
      </w:r>
      <w:r>
        <w:rPr>
          <w:rFonts w:hint="eastAsia" w:eastAsia="仿宋_GB2312" w:cs="Times New Roman"/>
          <w:highlight w:val="none"/>
          <w:lang w:eastAsia="zh-CN"/>
        </w:rPr>
        <w:t>“柳江人”遗址、</w:t>
      </w:r>
      <w:r>
        <w:rPr>
          <w:rFonts w:hint="eastAsia" w:eastAsia="仿宋_GB2312" w:cs="Times New Roman"/>
          <w:highlight w:val="none"/>
        </w:rPr>
        <w:t>进德镇三千村隆盛屯“九厅十八井”</w:t>
      </w:r>
      <w:r>
        <w:rPr>
          <w:rFonts w:hint="eastAsia" w:eastAsia="仿宋_GB2312" w:cs="Times New Roman"/>
          <w:highlight w:val="none"/>
          <w:lang w:eastAsia="zh-CN"/>
        </w:rPr>
        <w:t>、</w:t>
      </w:r>
      <w:r>
        <w:rPr>
          <w:rFonts w:hint="eastAsia" w:eastAsia="仿宋_GB2312" w:cs="Times New Roman"/>
          <w:highlight w:val="none"/>
        </w:rPr>
        <w:t>以及古墓群-新安汉墓群</w:t>
      </w:r>
      <w:r>
        <w:rPr>
          <w:rFonts w:hint="eastAsia" w:eastAsia="仿宋_GB2312" w:cs="Times New Roman"/>
          <w:highlight w:val="none"/>
          <w:lang w:eastAsia="zh-CN"/>
        </w:rPr>
        <w:t>等</w:t>
      </w:r>
      <w:r>
        <w:rPr>
          <w:rFonts w:hint="eastAsia" w:eastAsia="仿宋_GB2312" w:cs="Times New Roman"/>
          <w:highlight w:val="none"/>
        </w:rPr>
        <w:t>。三都镇板朝天然泉水泳池、成团镇的北弓水库等都是有名的旅游景点。</w:t>
      </w:r>
    </w:p>
    <w:p w14:paraId="6DECDA9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rPr>
          <w:rFonts w:hint="default" w:eastAsia="仿宋_GB2312" w:cs="Times New Roman"/>
          <w:highlight w:val="none"/>
          <w:lang w:eastAsia="zh-CN"/>
        </w:rPr>
      </w:pPr>
      <w:r>
        <w:rPr>
          <w:rFonts w:hint="default" w:eastAsia="仿宋_GB2312" w:cs="Times New Roman"/>
          <w:highlight w:val="none"/>
          <w:lang w:eastAsia="zh-CN"/>
        </w:rPr>
        <w:t>（</w:t>
      </w:r>
      <w:r>
        <w:rPr>
          <w:rFonts w:hint="default" w:eastAsia="仿宋_GB2312" w:cs="Times New Roman"/>
          <w:highlight w:val="none"/>
          <w:lang w:val="en-US" w:eastAsia="zh-CN"/>
        </w:rPr>
        <w:t>2</w:t>
      </w:r>
      <w:r>
        <w:rPr>
          <w:rFonts w:hint="default" w:eastAsia="仿宋_GB2312" w:cs="Times New Roman"/>
          <w:highlight w:val="none"/>
          <w:lang w:eastAsia="zh-CN"/>
        </w:rPr>
        <w:t>）林木资源储量大</w:t>
      </w:r>
    </w:p>
    <w:p w14:paraId="287BA37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rPr>
          <w:rFonts w:hint="default" w:eastAsia="仿宋_GB2312" w:cs="Times New Roman"/>
          <w:highlight w:val="none"/>
          <w:lang w:eastAsia="zh-CN"/>
        </w:rPr>
      </w:pPr>
      <w:r>
        <w:rPr>
          <w:rFonts w:hint="default" w:eastAsia="仿宋_GB2312" w:cs="Times New Roman"/>
          <w:highlight w:val="none"/>
          <w:lang w:eastAsia="zh-CN"/>
        </w:rPr>
        <w:t>柳江区</w:t>
      </w:r>
      <w:r>
        <w:rPr>
          <w:rFonts w:hint="default" w:eastAsia="仿宋_GB2312" w:cs="Times New Roman"/>
          <w:highlight w:val="none"/>
        </w:rPr>
        <w:t>管辖龙汉岭、冲马岭、鹿岭</w:t>
      </w:r>
      <w:r>
        <w:rPr>
          <w:rFonts w:hint="eastAsia" w:eastAsia="仿宋_GB2312" w:cs="Times New Roman"/>
          <w:highlight w:val="none"/>
          <w:lang w:val="en-US" w:eastAsia="zh-CN"/>
        </w:rPr>
        <w:t>3</w:t>
      </w:r>
      <w:r>
        <w:rPr>
          <w:rFonts w:hint="default" w:eastAsia="仿宋_GB2312" w:cs="Times New Roman"/>
          <w:highlight w:val="none"/>
        </w:rPr>
        <w:t>个国有林场。用材林主要有松木、杉木、桉木、荷木、樟木、香椿、苦楝、椎木、桉树、泡桐木等。经济林有油茶、柑橘、沙田柚、龙眼、柿、桃、李、梨等。2019年年末，柳江区林地面积8.72万公顷，森林面积（含非林地）10.35万公顷，林木活立木蓄积量431万立方米，森林覆盖率58.72％。根据</w:t>
      </w:r>
      <w:r>
        <w:rPr>
          <w:rFonts w:hint="default" w:eastAsia="仿宋_GB2312" w:cs="Times New Roman"/>
          <w:highlight w:val="none"/>
          <w:lang w:eastAsia="zh-CN"/>
        </w:rPr>
        <w:t>广西壮族自治区林业局发布的</w:t>
      </w:r>
      <w:r>
        <w:rPr>
          <w:rFonts w:hint="default" w:eastAsia="仿宋_GB2312" w:cs="Times New Roman"/>
          <w:highlight w:val="none"/>
          <w:lang w:val="en-US" w:eastAsia="zh-CN"/>
        </w:rPr>
        <w:t>2022年度市县森林覆盖率监测成果一览表，</w:t>
      </w:r>
      <w:r>
        <w:rPr>
          <w:rFonts w:hint="default" w:eastAsia="仿宋_GB2312" w:cs="Times New Roman"/>
          <w:highlight w:val="none"/>
        </w:rPr>
        <w:t>柳江区20</w:t>
      </w:r>
      <w:r>
        <w:rPr>
          <w:rFonts w:hint="default" w:eastAsia="仿宋_GB2312" w:cs="Times New Roman"/>
          <w:highlight w:val="none"/>
          <w:lang w:val="en-US" w:eastAsia="zh-CN"/>
        </w:rPr>
        <w:t>22</w:t>
      </w:r>
      <w:r>
        <w:rPr>
          <w:rFonts w:hint="default" w:eastAsia="仿宋_GB2312" w:cs="Times New Roman"/>
          <w:highlight w:val="none"/>
        </w:rPr>
        <w:t>年</w:t>
      </w:r>
      <w:r>
        <w:rPr>
          <w:rFonts w:hint="default" w:eastAsia="仿宋_GB2312" w:cs="Times New Roman"/>
          <w:highlight w:val="none"/>
          <w:lang w:eastAsia="zh-CN"/>
        </w:rPr>
        <w:t>度</w:t>
      </w:r>
      <w:r>
        <w:rPr>
          <w:rFonts w:hint="default" w:eastAsia="仿宋_GB2312" w:cs="Times New Roman"/>
          <w:highlight w:val="none"/>
        </w:rPr>
        <w:t>森林覆盖率为</w:t>
      </w:r>
      <w:r>
        <w:rPr>
          <w:rFonts w:hint="default" w:eastAsia="仿宋_GB2312" w:cs="Times New Roman"/>
          <w:highlight w:val="none"/>
          <w:lang w:val="en-US" w:eastAsia="zh-CN"/>
        </w:rPr>
        <w:t>62.52</w:t>
      </w:r>
      <w:r>
        <w:rPr>
          <w:rFonts w:hint="default" w:eastAsia="仿宋_GB2312" w:cs="Times New Roman"/>
          <w:highlight w:val="none"/>
        </w:rPr>
        <w:t>%。</w:t>
      </w:r>
      <w:r>
        <w:rPr>
          <w:rFonts w:hint="default" w:eastAsia="仿宋_GB2312" w:cs="Times New Roman"/>
          <w:highlight w:val="none"/>
          <w:lang w:eastAsia="zh-CN"/>
        </w:rPr>
        <w:t>柳江区林业实现持续向好发展态势，生态环境得到了极大改善。</w:t>
      </w:r>
    </w:p>
    <w:p w14:paraId="328C2EB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rPr>
          <w:rFonts w:hint="default" w:eastAsia="仿宋_GB2312" w:cs="Times New Roman"/>
          <w:highlight w:val="none"/>
          <w:lang w:eastAsia="zh-CN"/>
        </w:rPr>
      </w:pPr>
      <w:r>
        <w:rPr>
          <w:rFonts w:hint="default" w:eastAsia="仿宋_GB2312" w:cs="Times New Roman"/>
          <w:highlight w:val="none"/>
          <w:lang w:eastAsia="zh-CN"/>
        </w:rPr>
        <w:t>（</w:t>
      </w:r>
      <w:r>
        <w:rPr>
          <w:rFonts w:hint="default" w:eastAsia="仿宋_GB2312" w:cs="Times New Roman"/>
          <w:highlight w:val="none"/>
          <w:lang w:val="en-US" w:eastAsia="zh-CN"/>
        </w:rPr>
        <w:t>3</w:t>
      </w:r>
      <w:r>
        <w:rPr>
          <w:rFonts w:hint="default" w:eastAsia="仿宋_GB2312" w:cs="Times New Roman"/>
          <w:highlight w:val="none"/>
          <w:lang w:eastAsia="zh-CN"/>
        </w:rPr>
        <w:t>）水资源丰富</w:t>
      </w:r>
    </w:p>
    <w:p w14:paraId="594178A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rPr>
          <w:rFonts w:eastAsia="仿宋_GB2312" w:cs="Times New Roman"/>
          <w:highlight w:val="none"/>
        </w:rPr>
      </w:pPr>
      <w:r>
        <w:rPr>
          <w:rFonts w:hint="eastAsia" w:eastAsia="仿宋_GB2312" w:cs="Times New Roman"/>
          <w:highlight w:val="none"/>
        </w:rPr>
        <w:t>柳江区水资源总量16.05亿立方米，境内有中型水库2座，小型水库21座。有大小河流142条，流域面积1766.5平方千米，集雨面积50平方千米以上的河流23条。有地下水生产井2001口，地下水总供水能力为2849万立方米</w:t>
      </w:r>
      <w:r>
        <w:rPr>
          <w:rFonts w:eastAsia="仿宋_GB2312" w:cs="Times New Roman"/>
          <w:highlight w:val="none"/>
        </w:rPr>
        <w:t>。</w:t>
      </w:r>
    </w:p>
    <w:p w14:paraId="41863F70">
      <w:pPr>
        <w:pStyle w:val="9"/>
        <w:pageBreakBefore w:val="0"/>
        <w:kinsoku/>
        <w:wordWrap/>
        <w:overflowPunct/>
        <w:topLinePunct w:val="0"/>
        <w:autoSpaceDE/>
        <w:autoSpaceDN/>
        <w:bidi w:val="0"/>
        <w:spacing w:line="560" w:lineRule="exact"/>
        <w:ind w:left="0" w:leftChars="0" w:right="0" w:rightChars="0" w:firstLine="640"/>
        <w:rPr>
          <w:rFonts w:hint="eastAsia" w:ascii="楷体_GB2312" w:hAnsi="楷体_GB2312" w:eastAsia="楷体_GB2312" w:cs="楷体_GB2312"/>
          <w:b/>
          <w:bCs w:val="0"/>
          <w:highlight w:val="none"/>
        </w:rPr>
      </w:pPr>
      <w:r>
        <w:rPr>
          <w:rFonts w:hint="eastAsia" w:ascii="楷体_GB2312" w:hAnsi="楷体_GB2312" w:eastAsia="楷体_GB2312" w:cs="楷体_GB2312"/>
          <w:b/>
          <w:bCs w:val="0"/>
          <w:highlight w:val="none"/>
        </w:rPr>
        <w:t>（二）</w:t>
      </w:r>
      <w:r>
        <w:rPr>
          <w:rFonts w:hint="eastAsia" w:ascii="楷体_GB2312" w:hAnsi="楷体_GB2312" w:eastAsia="楷体_GB2312" w:cs="楷体_GB2312"/>
          <w:b/>
          <w:bCs w:val="0"/>
          <w:highlight w:val="none"/>
          <w:lang w:eastAsia="zh-CN"/>
        </w:rPr>
        <w:t>工作基础</w:t>
      </w:r>
    </w:p>
    <w:p w14:paraId="438822F9">
      <w:pPr>
        <w:pageBreakBefore w:val="0"/>
        <w:kinsoku/>
        <w:wordWrap/>
        <w:overflowPunct/>
        <w:topLinePunct w:val="0"/>
        <w:autoSpaceDE/>
        <w:autoSpaceDN/>
        <w:bidi w:val="0"/>
        <w:spacing w:line="560" w:lineRule="exact"/>
        <w:ind w:left="0" w:leftChars="0" w:right="0" w:rightChars="0" w:firstLine="640"/>
        <w:rPr>
          <w:rFonts w:eastAsia="仿宋_GB2312" w:cs="Times New Roman"/>
          <w:highlight w:val="none"/>
        </w:rPr>
      </w:pPr>
      <w:r>
        <w:rPr>
          <w:rFonts w:eastAsia="仿宋_GB2312" w:cs="Times New Roman"/>
          <w:highlight w:val="none"/>
        </w:rPr>
        <w:t>1.</w:t>
      </w:r>
      <w:r>
        <w:rPr>
          <w:rFonts w:hint="eastAsia" w:eastAsia="仿宋_GB2312" w:cs="Times New Roman"/>
          <w:highlight w:val="none"/>
          <w:lang w:eastAsia="zh-CN"/>
        </w:rPr>
        <w:t>生态经济发展态势良好</w:t>
      </w:r>
    </w:p>
    <w:p w14:paraId="39E7968F">
      <w:pPr>
        <w:pageBreakBefore w:val="0"/>
        <w:kinsoku/>
        <w:wordWrap/>
        <w:overflowPunct/>
        <w:topLinePunct w:val="0"/>
        <w:autoSpaceDE/>
        <w:autoSpaceDN/>
        <w:bidi w:val="0"/>
        <w:spacing w:line="560" w:lineRule="exact"/>
        <w:ind w:left="0" w:leftChars="0" w:right="0" w:rightChars="0" w:firstLine="640"/>
        <w:rPr>
          <w:rFonts w:hint="eastAsia" w:eastAsia="仿宋_GB2312" w:cs="Times New Roman"/>
          <w:highlight w:val="none"/>
          <w:lang w:eastAsia="zh-CN"/>
        </w:rPr>
      </w:pPr>
      <w:r>
        <w:rPr>
          <w:rFonts w:hint="eastAsia" w:eastAsia="仿宋_GB2312" w:cs="Times New Roman"/>
          <w:highlight w:val="none"/>
          <w:lang w:eastAsia="zh-CN"/>
        </w:rPr>
        <w:t>（</w:t>
      </w:r>
      <w:r>
        <w:rPr>
          <w:rFonts w:hint="eastAsia" w:eastAsia="仿宋_GB2312" w:cs="Times New Roman"/>
          <w:highlight w:val="none"/>
          <w:lang w:val="en-US" w:eastAsia="zh-CN"/>
        </w:rPr>
        <w:t>1</w:t>
      </w:r>
      <w:r>
        <w:rPr>
          <w:rFonts w:hint="eastAsia" w:eastAsia="仿宋_GB2312" w:cs="Times New Roman"/>
          <w:highlight w:val="none"/>
          <w:lang w:eastAsia="zh-CN"/>
        </w:rPr>
        <w:t>）生态农业发展取得成效</w:t>
      </w:r>
    </w:p>
    <w:p w14:paraId="1ACC7D62">
      <w:pPr>
        <w:pageBreakBefore w:val="0"/>
        <w:kinsoku/>
        <w:wordWrap/>
        <w:overflowPunct/>
        <w:topLinePunct w:val="0"/>
        <w:autoSpaceDE/>
        <w:autoSpaceDN/>
        <w:bidi w:val="0"/>
        <w:spacing w:line="560" w:lineRule="exact"/>
        <w:ind w:left="0" w:leftChars="0" w:right="0" w:rightChars="0" w:firstLine="640"/>
        <w:rPr>
          <w:rFonts w:eastAsia="仿宋_GB2312" w:cs="Times New Roman"/>
          <w:highlight w:val="none"/>
        </w:rPr>
      </w:pPr>
      <w:r>
        <w:rPr>
          <w:rFonts w:eastAsia="仿宋_GB2312" w:cs="Times New Roman"/>
          <w:highlight w:val="none"/>
        </w:rPr>
        <w:t>柳江区拥有得天独厚的农林资源优势，以农为基，积极扶持国家地理标志产品为主的特色水果、名优蔬菜、优质畜牧水产、桑蚕、食用菌、林下种养等特色高效农业的发展，</w:t>
      </w:r>
      <w:r>
        <w:rPr>
          <w:rFonts w:hint="eastAsia" w:eastAsia="仿宋_GB2312" w:cs="Times New Roman"/>
          <w:highlight w:val="none"/>
          <w:lang w:eastAsia="zh-CN"/>
        </w:rPr>
        <w:t>“</w:t>
      </w:r>
      <w:r>
        <w:rPr>
          <w:rFonts w:eastAsia="仿宋_GB2312" w:cs="Times New Roman"/>
          <w:highlight w:val="none"/>
        </w:rPr>
        <w:t>百朋玉藕</w:t>
      </w:r>
      <w:r>
        <w:rPr>
          <w:rFonts w:hint="eastAsia" w:eastAsia="仿宋_GB2312" w:cs="Times New Roman"/>
          <w:highlight w:val="none"/>
          <w:lang w:eastAsia="zh-CN"/>
        </w:rPr>
        <w:t>”“</w:t>
      </w:r>
      <w:r>
        <w:rPr>
          <w:rFonts w:eastAsia="仿宋_GB2312" w:cs="Times New Roman"/>
          <w:highlight w:val="none"/>
        </w:rPr>
        <w:t>八桂一都米</w:t>
      </w:r>
      <w:r>
        <w:rPr>
          <w:rFonts w:hint="eastAsia" w:eastAsia="仿宋_GB2312" w:cs="Times New Roman"/>
          <w:highlight w:val="none"/>
          <w:lang w:eastAsia="zh-CN"/>
        </w:rPr>
        <w:t>”“</w:t>
      </w:r>
      <w:r>
        <w:rPr>
          <w:rFonts w:eastAsia="仿宋_GB2312" w:cs="Times New Roman"/>
          <w:highlight w:val="none"/>
        </w:rPr>
        <w:t>鲁比葡萄</w:t>
      </w:r>
      <w:r>
        <w:rPr>
          <w:rFonts w:hint="eastAsia" w:eastAsia="仿宋_GB2312" w:cs="Times New Roman"/>
          <w:highlight w:val="none"/>
          <w:lang w:eastAsia="zh-CN"/>
        </w:rPr>
        <w:t>”“</w:t>
      </w:r>
      <w:r>
        <w:rPr>
          <w:rFonts w:eastAsia="仿宋_GB2312" w:cs="Times New Roman"/>
          <w:highlight w:val="none"/>
        </w:rPr>
        <w:t>里高青花梨</w:t>
      </w:r>
      <w:r>
        <w:rPr>
          <w:rFonts w:hint="eastAsia" w:eastAsia="仿宋_GB2312" w:cs="Times New Roman"/>
          <w:highlight w:val="none"/>
          <w:lang w:eastAsia="zh-CN"/>
        </w:rPr>
        <w:t>”</w:t>
      </w:r>
      <w:r>
        <w:rPr>
          <w:rFonts w:eastAsia="仿宋_GB2312" w:cs="Times New Roman"/>
          <w:highlight w:val="none"/>
        </w:rPr>
        <w:t>等多个农产品品牌已响誉区内外，具有本地特色的双季莲藕更是走出了国门，远销新加坡、阿联酋、加拿大等东南亚、西亚及美洲国家和地区。</w:t>
      </w:r>
    </w:p>
    <w:p w14:paraId="70ADA6C3">
      <w:pPr>
        <w:pageBreakBefore w:val="0"/>
        <w:kinsoku/>
        <w:wordWrap/>
        <w:overflowPunct/>
        <w:topLinePunct w:val="0"/>
        <w:autoSpaceDE/>
        <w:autoSpaceDN/>
        <w:bidi w:val="0"/>
        <w:spacing w:line="560" w:lineRule="exact"/>
        <w:ind w:left="0" w:leftChars="0" w:right="0" w:rightChars="0" w:firstLine="640"/>
        <w:rPr>
          <w:rFonts w:hint="eastAsia" w:eastAsia="仿宋_GB2312" w:cs="Times New Roman"/>
          <w:highlight w:val="none"/>
          <w:lang w:eastAsia="zh-CN"/>
        </w:rPr>
      </w:pPr>
      <w:r>
        <w:rPr>
          <w:rFonts w:hint="eastAsia" w:eastAsia="仿宋_GB2312" w:cs="Times New Roman"/>
          <w:highlight w:val="none"/>
          <w:lang w:eastAsia="zh-CN"/>
        </w:rPr>
        <w:t>近几年，柳江区不断优化农业产业结构，积极发展现代农业特色产业，推动精品农业优质化、特色化、品牌化。在区内推广“陆基圆形池循环水”、“低产田改造稻+螺”、“稻（藕）＋螺＋虾”、“稻（藕）＋螺＋鱼”等多种综合种养模式；依托柳州市发展螺蛳粉产业优势，创建了螺蛳养殖基地、加工型豆角种植基地、木耳种植基地、麻竹种植基地。近年来全区粮食、蔬菜、水产、畜禽产品等主要农产品存量充足，农林牧渔业总产值稳步提升。</w:t>
      </w:r>
    </w:p>
    <w:p w14:paraId="5994392C">
      <w:pPr>
        <w:pageBreakBefore w:val="0"/>
        <w:kinsoku/>
        <w:wordWrap/>
        <w:overflowPunct/>
        <w:topLinePunct w:val="0"/>
        <w:autoSpaceDE/>
        <w:autoSpaceDN/>
        <w:bidi w:val="0"/>
        <w:spacing w:line="560" w:lineRule="exact"/>
        <w:ind w:left="0" w:leftChars="0" w:right="0" w:rightChars="0" w:firstLine="640"/>
        <w:rPr>
          <w:rFonts w:hint="eastAsia" w:eastAsia="仿宋_GB2312" w:cs="Times New Roman"/>
          <w:highlight w:val="none"/>
          <w:lang w:eastAsia="zh-CN"/>
        </w:rPr>
      </w:pPr>
      <w:r>
        <w:rPr>
          <w:rFonts w:hint="eastAsia" w:eastAsia="仿宋_GB2312" w:cs="Times New Roman"/>
          <w:highlight w:val="none"/>
          <w:lang w:eastAsia="zh-CN"/>
        </w:rPr>
        <w:t>（</w:t>
      </w:r>
      <w:r>
        <w:rPr>
          <w:rFonts w:hint="eastAsia" w:eastAsia="仿宋_GB2312" w:cs="Times New Roman"/>
          <w:highlight w:val="none"/>
          <w:lang w:val="en-US" w:eastAsia="zh-CN"/>
        </w:rPr>
        <w:t>2</w:t>
      </w:r>
      <w:r>
        <w:rPr>
          <w:rFonts w:hint="eastAsia" w:eastAsia="仿宋_GB2312" w:cs="Times New Roman"/>
          <w:highlight w:val="none"/>
          <w:lang w:eastAsia="zh-CN"/>
        </w:rPr>
        <w:t>）生态旅游发展大幅提升</w:t>
      </w:r>
    </w:p>
    <w:p w14:paraId="66245D6A">
      <w:pPr>
        <w:pageBreakBefore w:val="0"/>
        <w:kinsoku/>
        <w:wordWrap/>
        <w:overflowPunct/>
        <w:topLinePunct w:val="0"/>
        <w:autoSpaceDE/>
        <w:autoSpaceDN/>
        <w:bidi w:val="0"/>
        <w:spacing w:line="560" w:lineRule="exact"/>
        <w:ind w:left="0" w:leftChars="0" w:right="0" w:rightChars="0" w:firstLine="640"/>
        <w:rPr>
          <w:rFonts w:hint="eastAsia" w:eastAsia="仿宋_GB2312" w:cs="Times New Roman"/>
          <w:highlight w:val="none"/>
          <w:lang w:eastAsia="zh-CN"/>
        </w:rPr>
      </w:pPr>
      <w:r>
        <w:rPr>
          <w:rFonts w:hint="eastAsia" w:eastAsia="仿宋_GB2312" w:cs="Times New Roman"/>
          <w:highlight w:val="none"/>
          <w:lang w:eastAsia="zh-CN"/>
        </w:rPr>
        <w:t>近年来，柳江区依托当地丰富的自然人文资源，积极探索“景城同建、产城融合、宜居宜业、全民共享”的全域旅游发展新模式，奋力打造“山水田园 醉美柳江”的旅游品牌，成功创建广西全域旅游示范区。同时积极打造生态旅游、农业旅游、红色旅游，尤其是岜公塘湿地公园的湖光山色令人陶醉，百朋荷苑的农事体验让人向往，成团会议旧址的革命事迹催人奋进。</w:t>
      </w:r>
    </w:p>
    <w:p w14:paraId="5BFE41A8">
      <w:pPr>
        <w:pageBreakBefore w:val="0"/>
        <w:kinsoku/>
        <w:wordWrap/>
        <w:overflowPunct/>
        <w:topLinePunct w:val="0"/>
        <w:autoSpaceDE/>
        <w:autoSpaceDN/>
        <w:bidi w:val="0"/>
        <w:spacing w:line="560" w:lineRule="exact"/>
        <w:ind w:left="0" w:leftChars="0" w:right="0" w:rightChars="0" w:firstLine="640"/>
        <w:rPr>
          <w:rFonts w:eastAsia="仿宋_GB2312" w:cs="Times New Roman"/>
          <w:highlight w:val="none"/>
        </w:rPr>
      </w:pPr>
      <w:r>
        <w:rPr>
          <w:rFonts w:hint="eastAsia" w:eastAsia="仿宋_GB2312" w:cs="Times New Roman"/>
          <w:highlight w:val="none"/>
          <w:lang w:eastAsia="zh-CN"/>
        </w:rPr>
        <w:t>柳江区</w:t>
      </w:r>
      <w:r>
        <w:rPr>
          <w:rFonts w:eastAsia="仿宋_GB2312" w:cs="Times New Roman"/>
          <w:highlight w:val="none"/>
        </w:rPr>
        <w:t>因地制宜探索全域旅游绿色发展之路，打造出百朋荷苑等一批特色旅游品牌，有力推动当地文化和旅游融合高质量发展</w:t>
      </w:r>
      <w:r>
        <w:rPr>
          <w:rFonts w:hint="eastAsia" w:eastAsia="仿宋_GB2312" w:cs="Times New Roman"/>
          <w:highlight w:val="none"/>
          <w:lang w:eastAsia="zh-CN"/>
        </w:rPr>
        <w:t>，文旅融合发展取得积极成效，已形成产业与旅游互促共融的全域旅游发展格局，知名度和美誉度大幅提升</w:t>
      </w:r>
      <w:r>
        <w:rPr>
          <w:rFonts w:eastAsia="仿宋_GB2312" w:cs="Times New Roman"/>
          <w:highlight w:val="none"/>
        </w:rPr>
        <w:t>。</w:t>
      </w:r>
    </w:p>
    <w:p w14:paraId="78572D93">
      <w:pPr>
        <w:pageBreakBefore w:val="0"/>
        <w:kinsoku/>
        <w:wordWrap/>
        <w:overflowPunct/>
        <w:topLinePunct w:val="0"/>
        <w:autoSpaceDE/>
        <w:autoSpaceDN/>
        <w:bidi w:val="0"/>
        <w:spacing w:line="560" w:lineRule="exact"/>
        <w:ind w:left="0" w:leftChars="0" w:right="0" w:rightChars="0" w:firstLine="640"/>
        <w:rPr>
          <w:rFonts w:eastAsia="仿宋_GB2312" w:cs="Times New Roman"/>
          <w:highlight w:val="none"/>
        </w:rPr>
      </w:pPr>
      <w:r>
        <w:rPr>
          <w:rFonts w:eastAsia="仿宋_GB2312" w:cs="Times New Roman"/>
          <w:highlight w:val="none"/>
        </w:rPr>
        <w:t>2.</w:t>
      </w:r>
      <w:bookmarkStart w:id="22" w:name="_Toc471226227"/>
      <w:bookmarkStart w:id="23" w:name="_Toc469262258"/>
      <w:bookmarkStart w:id="24" w:name="_Toc469297722"/>
      <w:bookmarkStart w:id="25" w:name="_Toc469315567"/>
      <w:r>
        <w:rPr>
          <w:rFonts w:hint="eastAsia" w:eastAsia="仿宋_GB2312" w:cs="Times New Roman"/>
          <w:highlight w:val="none"/>
          <w:lang w:eastAsia="zh-CN"/>
        </w:rPr>
        <w:t>生态文明建设基础</w:t>
      </w:r>
      <w:bookmarkEnd w:id="22"/>
      <w:bookmarkEnd w:id="23"/>
      <w:bookmarkEnd w:id="24"/>
      <w:bookmarkEnd w:id="25"/>
      <w:r>
        <w:rPr>
          <w:rFonts w:hint="eastAsia" w:eastAsia="仿宋_GB2312" w:cs="Times New Roman"/>
          <w:highlight w:val="none"/>
          <w:lang w:eastAsia="zh-CN"/>
        </w:rPr>
        <w:t>扎实</w:t>
      </w:r>
    </w:p>
    <w:p w14:paraId="4B87DF6B">
      <w:pPr>
        <w:pageBreakBefore w:val="0"/>
        <w:kinsoku/>
        <w:wordWrap/>
        <w:overflowPunct/>
        <w:topLinePunct w:val="0"/>
        <w:autoSpaceDE/>
        <w:autoSpaceDN/>
        <w:bidi w:val="0"/>
        <w:spacing w:line="560" w:lineRule="exact"/>
        <w:ind w:left="0" w:leftChars="0" w:right="0" w:rightChars="0" w:firstLine="640"/>
        <w:rPr>
          <w:rFonts w:hint="eastAsia" w:eastAsia="仿宋_GB2312" w:cs="Times New Roman"/>
          <w:highlight w:val="none"/>
          <w:lang w:eastAsia="zh-CN"/>
        </w:rPr>
      </w:pPr>
      <w:r>
        <w:rPr>
          <w:rFonts w:hint="eastAsia" w:eastAsia="仿宋_GB2312" w:cs="Times New Roman"/>
          <w:highlight w:val="none"/>
          <w:lang w:eastAsia="zh-CN"/>
        </w:rPr>
        <w:t>（</w:t>
      </w:r>
      <w:r>
        <w:rPr>
          <w:rFonts w:hint="eastAsia" w:eastAsia="仿宋_GB2312" w:cs="Times New Roman"/>
          <w:highlight w:val="none"/>
          <w:lang w:val="en-US" w:eastAsia="zh-CN"/>
        </w:rPr>
        <w:t>1</w:t>
      </w:r>
      <w:r>
        <w:rPr>
          <w:rFonts w:hint="eastAsia" w:eastAsia="仿宋_GB2312" w:cs="Times New Roman"/>
          <w:highlight w:val="none"/>
          <w:lang w:eastAsia="zh-CN"/>
        </w:rPr>
        <w:t>）区域生态环境持续改善</w:t>
      </w:r>
    </w:p>
    <w:p w14:paraId="3FA9E6CD">
      <w:pPr>
        <w:pageBreakBefore w:val="0"/>
        <w:kinsoku/>
        <w:wordWrap/>
        <w:overflowPunct/>
        <w:topLinePunct w:val="0"/>
        <w:autoSpaceDE/>
        <w:autoSpaceDN/>
        <w:bidi w:val="0"/>
        <w:spacing w:line="560" w:lineRule="exact"/>
        <w:ind w:left="0" w:leftChars="0" w:right="0" w:rightChars="0" w:firstLine="640"/>
        <w:rPr>
          <w:rFonts w:eastAsia="仿宋_GB2312" w:cs="Times New Roman"/>
          <w:highlight w:val="none"/>
        </w:rPr>
      </w:pPr>
      <w:r>
        <w:rPr>
          <w:rFonts w:hint="eastAsia" w:eastAsia="仿宋_GB2312" w:cs="Times New Roman"/>
          <w:highlight w:val="none"/>
          <w:lang w:eastAsia="zh-CN"/>
        </w:rPr>
        <w:t>柳江区积极开展大气污染联防联控行动，区域环境空气质量从</w:t>
      </w:r>
      <w:r>
        <w:rPr>
          <w:rFonts w:hint="eastAsia" w:eastAsia="仿宋_GB2312" w:cs="Times New Roman"/>
          <w:highlight w:val="none"/>
          <w:lang w:val="en-US" w:eastAsia="zh-CN"/>
        </w:rPr>
        <w:t>2018年至今明显改善，2020年~2022年连续三年保持稳定达标；积极推进九曲河等水体环境综合整治工程；开展农村环境综合治理工作。在柳江区党委、区政府的领导下，柳江区环境整治工作强力推进，柳江区生态环境质量得到显著改善，至“十三五”期末，主要江河流域水质</w:t>
      </w:r>
      <w:r>
        <w:rPr>
          <w:rFonts w:hint="eastAsia" w:eastAsia="仿宋_GB2312" w:cs="Times New Roman"/>
          <w:highlight w:val="none"/>
        </w:rPr>
        <w:t>优良比例为100%，劣Ⅴ类水质比例为0，</w:t>
      </w:r>
      <w:r>
        <w:rPr>
          <w:rFonts w:hint="eastAsia" w:eastAsia="仿宋_GB2312" w:cs="Times New Roman"/>
          <w:highlight w:val="none"/>
          <w:lang w:val="en-US" w:eastAsia="zh-CN"/>
        </w:rPr>
        <w:t>集中式饮用水水源地水质达标率为100%；城镇环境空气质量优良天数比例达到95.4%；城镇生活污水集中处理率达到99.7%；生活垃圾无害化处理率达到100%。</w:t>
      </w:r>
      <w:r>
        <w:rPr>
          <w:rFonts w:hint="eastAsia" w:eastAsia="仿宋_GB2312" w:cs="Times New Roman"/>
          <w:highlight w:val="none"/>
        </w:rPr>
        <w:t>生态环境质量总体较好并保持基本稳定</w:t>
      </w:r>
      <w:r>
        <w:rPr>
          <w:rFonts w:eastAsia="仿宋_GB2312" w:cs="Times New Roman"/>
          <w:highlight w:val="none"/>
        </w:rPr>
        <w:t>。</w:t>
      </w:r>
    </w:p>
    <w:p w14:paraId="61D33084">
      <w:pPr>
        <w:pageBreakBefore w:val="0"/>
        <w:kinsoku/>
        <w:wordWrap/>
        <w:overflowPunct/>
        <w:topLinePunct w:val="0"/>
        <w:autoSpaceDE/>
        <w:autoSpaceDN/>
        <w:bidi w:val="0"/>
        <w:spacing w:line="560" w:lineRule="exact"/>
        <w:ind w:left="0" w:leftChars="0" w:right="0" w:rightChars="0" w:firstLine="640"/>
        <w:rPr>
          <w:rFonts w:hint="eastAsia" w:eastAsia="仿宋_GB2312" w:cs="Times New Roman"/>
          <w:highlight w:val="none"/>
          <w:lang w:eastAsia="zh-CN"/>
        </w:rPr>
      </w:pPr>
      <w:r>
        <w:rPr>
          <w:rFonts w:hint="eastAsia" w:eastAsia="仿宋_GB2312" w:cs="Times New Roman"/>
          <w:highlight w:val="none"/>
          <w:lang w:eastAsia="zh-CN"/>
        </w:rPr>
        <w:t>（</w:t>
      </w:r>
      <w:r>
        <w:rPr>
          <w:rFonts w:hint="eastAsia" w:eastAsia="仿宋_GB2312" w:cs="Times New Roman"/>
          <w:highlight w:val="none"/>
          <w:lang w:val="en-US" w:eastAsia="zh-CN"/>
        </w:rPr>
        <w:t>2</w:t>
      </w:r>
      <w:r>
        <w:rPr>
          <w:rFonts w:hint="eastAsia" w:eastAsia="仿宋_GB2312" w:cs="Times New Roman"/>
          <w:highlight w:val="none"/>
          <w:lang w:eastAsia="zh-CN"/>
        </w:rPr>
        <w:t>）生态文明示范区创建工作有效推进</w:t>
      </w:r>
    </w:p>
    <w:p w14:paraId="08AB39B1">
      <w:pPr>
        <w:pageBreakBefore w:val="0"/>
        <w:kinsoku/>
        <w:wordWrap/>
        <w:overflowPunct/>
        <w:topLinePunct w:val="0"/>
        <w:autoSpaceDE/>
        <w:autoSpaceDN/>
        <w:bidi w:val="0"/>
        <w:spacing w:line="560" w:lineRule="exact"/>
        <w:ind w:left="0" w:leftChars="0" w:right="0" w:rightChars="0" w:firstLine="640"/>
        <w:rPr>
          <w:rFonts w:hint="eastAsia" w:eastAsia="仿宋_GB2312" w:cs="Times New Roman"/>
          <w:highlight w:val="none"/>
          <w:lang w:val="en-US" w:eastAsia="zh-CN"/>
        </w:rPr>
      </w:pPr>
      <w:r>
        <w:rPr>
          <w:rFonts w:hint="eastAsia" w:eastAsia="仿宋_GB2312" w:cs="Times New Roman"/>
          <w:highlight w:val="none"/>
          <w:lang w:val="en-US" w:eastAsia="zh-CN"/>
        </w:rPr>
        <w:t>2016年1月，原环境保护部发布了《关于印发&lt;国家生态文明建设示范区管理规程（试行）&gt;&lt;国家生态文明建设示范县、市指标（试行）&gt;的通知》（环生态</w:t>
      </w:r>
      <w:r>
        <w:rPr>
          <w:rFonts w:hint="default" w:eastAsia="仿宋_GB2312" w:cs="Times New Roman"/>
          <w:highlight w:val="none"/>
          <w:lang w:eastAsia="zh-CN"/>
        </w:rPr>
        <w:t>﹝</w:t>
      </w:r>
      <w:r>
        <w:rPr>
          <w:rFonts w:hint="default" w:eastAsia="仿宋_GB2312" w:cs="Times New Roman"/>
          <w:highlight w:val="none"/>
          <w:lang w:val="en-US" w:eastAsia="zh-CN"/>
        </w:rPr>
        <w:t>20</w:t>
      </w:r>
      <w:r>
        <w:rPr>
          <w:rFonts w:hint="eastAsia" w:eastAsia="仿宋_GB2312" w:cs="Times New Roman"/>
          <w:highlight w:val="none"/>
          <w:lang w:val="en-US" w:eastAsia="zh-CN"/>
        </w:rPr>
        <w:t>16</w:t>
      </w:r>
      <w:r>
        <w:rPr>
          <w:rFonts w:hint="default" w:eastAsia="仿宋_GB2312" w:cs="Times New Roman"/>
          <w:highlight w:val="none"/>
          <w:lang w:val="en-US" w:eastAsia="zh-CN"/>
        </w:rPr>
        <w:t>﹞</w:t>
      </w:r>
      <w:r>
        <w:rPr>
          <w:rFonts w:hint="eastAsia" w:eastAsia="仿宋_GB2312" w:cs="Times New Roman"/>
          <w:highlight w:val="none"/>
          <w:lang w:val="en-US" w:eastAsia="zh-CN"/>
        </w:rPr>
        <w:t>4号），制定了《国家生态文明建设示范区管理规程（试行）》和《国家生态文明建设示范县、市指标（试行）》。柳江区积极响应，为全面践行“绿水青山就是金山银山”理念，积极推进绿色发展，不断提升区域生态文明建设水平，柳江区人民政府于2019年8月印发了《柳州市柳江区国家生态文明建设示范县（区）规划（2018-2022年）》（江政发</w:t>
      </w:r>
      <w:r>
        <w:rPr>
          <w:rFonts w:hint="default" w:eastAsia="仿宋_GB2312" w:cs="Times New Roman"/>
          <w:highlight w:val="none"/>
          <w:lang w:eastAsia="zh-CN"/>
        </w:rPr>
        <w:t>﹝</w:t>
      </w:r>
      <w:r>
        <w:rPr>
          <w:rFonts w:hint="default" w:eastAsia="仿宋_GB2312" w:cs="Times New Roman"/>
          <w:highlight w:val="none"/>
          <w:lang w:val="en-US" w:eastAsia="zh-CN"/>
        </w:rPr>
        <w:t>20</w:t>
      </w:r>
      <w:r>
        <w:rPr>
          <w:rFonts w:hint="eastAsia" w:eastAsia="仿宋_GB2312" w:cs="Times New Roman"/>
          <w:highlight w:val="none"/>
          <w:lang w:val="en-US" w:eastAsia="zh-CN"/>
        </w:rPr>
        <w:t>19</w:t>
      </w:r>
      <w:r>
        <w:rPr>
          <w:rFonts w:hint="default" w:eastAsia="仿宋_GB2312" w:cs="Times New Roman"/>
          <w:highlight w:val="none"/>
          <w:lang w:val="en-US" w:eastAsia="zh-CN"/>
        </w:rPr>
        <w:t>﹞</w:t>
      </w:r>
      <w:r>
        <w:rPr>
          <w:rFonts w:hint="eastAsia" w:eastAsia="仿宋_GB2312" w:cs="Times New Roman"/>
          <w:highlight w:val="none"/>
          <w:lang w:val="en-US" w:eastAsia="zh-CN"/>
        </w:rPr>
        <w:t>39号）。</w:t>
      </w:r>
    </w:p>
    <w:p w14:paraId="7BE7EB51">
      <w:pPr>
        <w:pageBreakBefore w:val="0"/>
        <w:kinsoku/>
        <w:wordWrap/>
        <w:overflowPunct/>
        <w:topLinePunct w:val="0"/>
        <w:autoSpaceDE/>
        <w:autoSpaceDN/>
        <w:bidi w:val="0"/>
        <w:spacing w:line="560" w:lineRule="exact"/>
        <w:ind w:left="0" w:leftChars="0" w:right="0" w:rightChars="0" w:firstLine="640"/>
        <w:rPr>
          <w:rFonts w:cs="Times New Roman"/>
          <w:highlight w:val="none"/>
        </w:rPr>
      </w:pPr>
      <w:r>
        <w:rPr>
          <w:rFonts w:hint="eastAsia" w:eastAsia="仿宋_GB2312" w:cs="Times New Roman"/>
          <w:highlight w:val="none"/>
          <w:lang w:eastAsia="zh-CN"/>
        </w:rPr>
        <w:t>多年来，经过全区人民的共同努力，以生态保护和修复为基础，以经济与环境保护协调发展为抓手，牢固树立绿色发展理念，大力发展高效生态农业、环境友好型工业、生态文化旅游业，走出了一条生产发展、生活富裕、生态良好的文明发展道路，生态区创建成效显著。</w:t>
      </w:r>
      <w:r>
        <w:rPr>
          <w:rFonts w:hint="eastAsia" w:eastAsia="仿宋_GB2312" w:cs="Times New Roman"/>
          <w:highlight w:val="none"/>
          <w:lang w:val="en-US" w:eastAsia="zh-CN"/>
        </w:rPr>
        <w:t>目前全区成功创建了6个自治区级生态乡镇、30个自治区级生态村和18个市级生态村，生态乡镇、生态村占比分别达到75%、52.2%，</w:t>
      </w:r>
      <w:r>
        <w:rPr>
          <w:rFonts w:eastAsia="仿宋_GB2312" w:cs="Times New Roman"/>
          <w:highlight w:val="none"/>
        </w:rPr>
        <w:t>生态环保宣传教育不断推进，生态建设理念深入人心，生态文明建设的基础十分扎实。</w:t>
      </w:r>
    </w:p>
    <w:p w14:paraId="62774F17">
      <w:pPr>
        <w:pStyle w:val="8"/>
        <w:pageBreakBefore w:val="0"/>
        <w:kinsoku/>
        <w:wordWrap/>
        <w:overflowPunct/>
        <w:topLinePunct w:val="0"/>
        <w:autoSpaceDE/>
        <w:autoSpaceDN/>
        <w:bidi w:val="0"/>
        <w:spacing w:line="560" w:lineRule="exact"/>
        <w:ind w:left="0" w:leftChars="0" w:right="0" w:rightChars="0" w:firstLine="640"/>
        <w:rPr>
          <w:b w:val="0"/>
          <w:bCs w:val="0"/>
          <w:highlight w:val="none"/>
        </w:rPr>
      </w:pPr>
      <w:bookmarkStart w:id="26" w:name="_Toc19795"/>
      <w:r>
        <w:rPr>
          <w:rFonts w:hint="eastAsia"/>
          <w:b w:val="0"/>
          <w:bCs w:val="0"/>
          <w:highlight w:val="none"/>
        </w:rPr>
        <w:t>二、</w:t>
      </w:r>
      <w:r>
        <w:rPr>
          <w:rFonts w:hint="eastAsia"/>
          <w:b w:val="0"/>
          <w:bCs w:val="0"/>
          <w:highlight w:val="none"/>
          <w:lang w:eastAsia="zh-CN"/>
        </w:rPr>
        <w:t>存在问题与机遇挑战</w:t>
      </w:r>
      <w:bookmarkEnd w:id="26"/>
    </w:p>
    <w:p w14:paraId="230CDEE6">
      <w:pPr>
        <w:pStyle w:val="9"/>
        <w:pageBreakBefore w:val="0"/>
        <w:kinsoku/>
        <w:wordWrap/>
        <w:overflowPunct/>
        <w:topLinePunct w:val="0"/>
        <w:autoSpaceDE/>
        <w:autoSpaceDN/>
        <w:bidi w:val="0"/>
        <w:spacing w:line="560" w:lineRule="exact"/>
        <w:ind w:left="0" w:leftChars="0" w:right="0" w:rightChars="0" w:firstLine="640"/>
        <w:rPr>
          <w:rFonts w:ascii="楷体_GB2312" w:hAnsi="楷体_GB2312" w:eastAsia="楷体_GB2312" w:cs="楷体_GB2312"/>
          <w:b/>
          <w:bCs w:val="0"/>
          <w:highlight w:val="none"/>
        </w:rPr>
      </w:pPr>
      <w:r>
        <w:rPr>
          <w:rFonts w:hint="eastAsia" w:ascii="楷体_GB2312" w:hAnsi="楷体_GB2312" w:eastAsia="楷体_GB2312" w:cs="楷体_GB2312"/>
          <w:b/>
          <w:bCs w:val="0"/>
          <w:highlight w:val="none"/>
        </w:rPr>
        <w:t>（一）</w:t>
      </w:r>
      <w:r>
        <w:rPr>
          <w:rFonts w:hint="eastAsia" w:ascii="楷体_GB2312" w:hAnsi="楷体_GB2312" w:eastAsia="楷体_GB2312" w:cs="楷体_GB2312"/>
          <w:b/>
          <w:bCs w:val="0"/>
          <w:highlight w:val="none"/>
          <w:lang w:eastAsia="zh-CN"/>
        </w:rPr>
        <w:t>存在问题</w:t>
      </w:r>
    </w:p>
    <w:p w14:paraId="65AF9ADE">
      <w:pPr>
        <w:pageBreakBefore w:val="0"/>
        <w:kinsoku/>
        <w:wordWrap/>
        <w:overflowPunct/>
        <w:topLinePunct w:val="0"/>
        <w:autoSpaceDE/>
        <w:autoSpaceDN/>
        <w:bidi w:val="0"/>
        <w:spacing w:line="560" w:lineRule="exact"/>
        <w:ind w:left="0" w:leftChars="0" w:right="0" w:rightChars="0" w:firstLine="640"/>
        <w:rPr>
          <w:rFonts w:hint="default" w:eastAsia="仿宋_GB2312" w:cs="Times New Roman"/>
          <w:highlight w:val="none"/>
          <w:lang w:val="en-US" w:eastAsia="zh-CN"/>
        </w:rPr>
      </w:pPr>
      <w:r>
        <w:rPr>
          <w:rFonts w:eastAsia="仿宋_GB2312" w:cs="Times New Roman"/>
          <w:highlight w:val="none"/>
        </w:rPr>
        <w:t>1.</w:t>
      </w:r>
      <w:r>
        <w:rPr>
          <w:rFonts w:hint="eastAsia" w:eastAsia="仿宋_GB2312" w:cs="Times New Roman"/>
          <w:highlight w:val="none"/>
          <w:lang w:eastAsia="zh-CN"/>
        </w:rPr>
        <w:t>生态文明体制不够健全</w:t>
      </w:r>
    </w:p>
    <w:p w14:paraId="4A6172ED">
      <w:pPr>
        <w:pageBreakBefore w:val="0"/>
        <w:kinsoku/>
        <w:wordWrap/>
        <w:overflowPunct/>
        <w:topLinePunct w:val="0"/>
        <w:autoSpaceDE/>
        <w:autoSpaceDN/>
        <w:bidi w:val="0"/>
        <w:spacing w:line="560" w:lineRule="exact"/>
        <w:ind w:left="0" w:leftChars="0" w:right="0" w:rightChars="0" w:firstLine="640"/>
        <w:rPr>
          <w:highlight w:val="none"/>
        </w:rPr>
      </w:pPr>
      <w:r>
        <w:rPr>
          <w:rFonts w:hint="eastAsia" w:ascii="仿宋_GB2312" w:hAnsi="仿宋_GB2312" w:eastAsia="仿宋_GB2312" w:cs="仿宋_GB2312"/>
          <w:highlight w:val="none"/>
          <w:lang w:eastAsia="zh-CN"/>
        </w:rPr>
        <w:t>目前，柳江区生态文明</w:t>
      </w:r>
      <w:r>
        <w:rPr>
          <w:rFonts w:hint="eastAsia" w:ascii="仿宋_GB2312" w:hAnsi="仿宋_GB2312" w:eastAsia="仿宋_GB2312" w:cs="仿宋_GB2312"/>
          <w:highlight w:val="none"/>
        </w:rPr>
        <w:t>机制有待健全，各部门生态环境保护职责和企业生态保护责任需进一步明确，党政领导干部综合考评机制、追责机制等体现生态文明建设要求的相关制度尚未得到有效实施。需要以自然资源资产产权制度、国土空间开发保护制度、国土空间规划体系、资源总量管理和全面节约制度、资源有偿使用和生态补偿制度、环境治理体系、环境治理和生态保护市场体系、生态文明绩效评价考核和责任追究制度等八项制度的构建为契机，加快推进生态文明体制机制改革创新，建立产权清晰、多元参与、激励约束并重、系统完整的生态文明制度体系。</w:t>
      </w:r>
    </w:p>
    <w:p w14:paraId="4E210288">
      <w:pPr>
        <w:pageBreakBefore w:val="0"/>
        <w:kinsoku/>
        <w:wordWrap/>
        <w:overflowPunct/>
        <w:topLinePunct w:val="0"/>
        <w:autoSpaceDE/>
        <w:autoSpaceDN/>
        <w:bidi w:val="0"/>
        <w:spacing w:line="560" w:lineRule="exact"/>
        <w:ind w:left="0" w:leftChars="0" w:right="0" w:rightChars="0" w:firstLine="640"/>
        <w:rPr>
          <w:rFonts w:hint="default" w:eastAsia="仿宋_GB2312" w:cs="Times New Roman"/>
          <w:highlight w:val="none"/>
          <w:lang w:val="en-US" w:eastAsia="zh-CN"/>
        </w:rPr>
      </w:pPr>
      <w:r>
        <w:rPr>
          <w:rFonts w:hint="eastAsia" w:eastAsia="仿宋_GB2312" w:cs="Times New Roman"/>
          <w:highlight w:val="none"/>
          <w:lang w:val="en-US" w:eastAsia="zh-CN"/>
        </w:rPr>
        <w:t>2</w:t>
      </w:r>
      <w:r>
        <w:rPr>
          <w:rFonts w:eastAsia="仿宋_GB2312" w:cs="Times New Roman"/>
          <w:highlight w:val="none"/>
        </w:rPr>
        <w:t>.</w:t>
      </w:r>
      <w:r>
        <w:rPr>
          <w:rFonts w:hint="eastAsia" w:eastAsia="仿宋_GB2312" w:cs="Times New Roman"/>
          <w:highlight w:val="none"/>
          <w:lang w:eastAsia="zh-CN"/>
        </w:rPr>
        <w:t>产业与能源结构不合理</w:t>
      </w:r>
    </w:p>
    <w:p w14:paraId="1CC5DC32">
      <w:pPr>
        <w:pageBreakBefore w:val="0"/>
        <w:kinsoku/>
        <w:wordWrap/>
        <w:overflowPunct/>
        <w:topLinePunct w:val="0"/>
        <w:autoSpaceDE/>
        <w:autoSpaceDN/>
        <w:bidi w:val="0"/>
        <w:spacing w:line="560" w:lineRule="exact"/>
        <w:ind w:left="0" w:leftChars="0" w:right="0" w:rightChars="0" w:firstLine="640"/>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eastAsia="zh-CN"/>
        </w:rPr>
        <w:t>柳江区工业产业结构不合理。目前，柳江区有一个工业园区，即柳州市柳江区新兴工业园，工业区现状主要产业为汽车零部件、机械制造、螺蛳粉及配套食品加工产业，产业单一且规模小。新兴产业发展较慢，缺乏龙头企业，没能形成集群发展，在工业经济中所占份额偏低，对结构优化、产业升级缺乏带动作用。节能环保产业围绕汽车产业循环经济有所突破，但规模小，在工业废弃物再生资源、工程机械再制造等方面还需加强。柳江区能源消费结构以生物质燃料为主，天然气等清洁能源消费比重小。</w:t>
      </w:r>
    </w:p>
    <w:p w14:paraId="4E71705D">
      <w:pPr>
        <w:pageBreakBefore w:val="0"/>
        <w:kinsoku/>
        <w:wordWrap/>
        <w:overflowPunct/>
        <w:topLinePunct w:val="0"/>
        <w:autoSpaceDE/>
        <w:autoSpaceDN/>
        <w:bidi w:val="0"/>
        <w:spacing w:line="560" w:lineRule="exact"/>
        <w:ind w:left="0" w:leftChars="0" w:right="0" w:rightChars="0" w:firstLine="640"/>
        <w:rPr>
          <w:rFonts w:hint="default" w:eastAsia="仿宋_GB2312" w:cs="Times New Roman"/>
          <w:highlight w:val="none"/>
          <w:lang w:val="en-US" w:eastAsia="zh-CN"/>
        </w:rPr>
      </w:pPr>
      <w:r>
        <w:rPr>
          <w:rFonts w:hint="eastAsia" w:eastAsia="仿宋_GB2312" w:cs="Times New Roman"/>
          <w:highlight w:val="none"/>
          <w:lang w:val="en-US" w:eastAsia="zh-CN"/>
        </w:rPr>
        <w:t>3</w:t>
      </w:r>
      <w:r>
        <w:rPr>
          <w:rFonts w:eastAsia="仿宋_GB2312" w:cs="Times New Roman"/>
          <w:highlight w:val="none"/>
        </w:rPr>
        <w:t>.</w:t>
      </w:r>
      <w:r>
        <w:rPr>
          <w:rFonts w:hint="eastAsia" w:eastAsia="仿宋_GB2312" w:cs="Times New Roman"/>
          <w:highlight w:val="none"/>
          <w:lang w:eastAsia="zh-CN"/>
        </w:rPr>
        <w:t>生态环境保护监管能力不足</w:t>
      </w:r>
    </w:p>
    <w:p w14:paraId="6B56F331">
      <w:pPr>
        <w:pageBreakBefore w:val="0"/>
        <w:kinsoku/>
        <w:wordWrap/>
        <w:overflowPunct/>
        <w:topLinePunct w:val="0"/>
        <w:autoSpaceDE/>
        <w:autoSpaceDN/>
        <w:bidi w:val="0"/>
        <w:spacing w:line="560" w:lineRule="exact"/>
        <w:ind w:left="0" w:leftChars="0" w:right="0" w:rightChars="0" w:firstLine="640"/>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eastAsia="zh-CN"/>
        </w:rPr>
        <w:t>生态环境保护监管机制体制不系统，未能形成完整的机制体制，生态环境保护监管机制体制尚需完善。随着国家对生态环境保护监管的要求越加严格，同时也对生态环境保护管理者的专业水平、综合能力及生态环境保护系统的硬件要求也不断提高，基层生态环境保护压力大。基层专业技术人员缺乏，监察基础设施和设备不足，面对日益复杂的环境问题，环境监管难以到位。环境应急机构不完善，装备不足，防范突发环境事件和快速高效处理突发性环境污染能力有待进一步提高。特别是环境监察执法和环境监测装备不足，信息化和自动化水平低，环境风险管控能力弱等问题较为突出。</w:t>
      </w:r>
    </w:p>
    <w:p w14:paraId="3108403F">
      <w:pPr>
        <w:pageBreakBefore w:val="0"/>
        <w:kinsoku/>
        <w:wordWrap/>
        <w:overflowPunct/>
        <w:topLinePunct w:val="0"/>
        <w:autoSpaceDE/>
        <w:autoSpaceDN/>
        <w:bidi w:val="0"/>
        <w:spacing w:line="560" w:lineRule="exact"/>
        <w:ind w:left="0" w:leftChars="0" w:right="0" w:rightChars="0" w:firstLine="640"/>
        <w:rPr>
          <w:rFonts w:hint="eastAsia" w:eastAsia="仿宋_GB2312" w:cs="Times New Roman"/>
          <w:highlight w:val="none"/>
          <w:lang w:eastAsia="zh-CN"/>
        </w:rPr>
      </w:pPr>
      <w:r>
        <w:rPr>
          <w:rFonts w:hint="eastAsia" w:eastAsia="仿宋_GB2312" w:cs="Times New Roman"/>
          <w:highlight w:val="none"/>
          <w:lang w:val="en-US" w:eastAsia="zh-CN"/>
        </w:rPr>
        <w:t>4</w:t>
      </w:r>
      <w:r>
        <w:rPr>
          <w:rFonts w:eastAsia="仿宋_GB2312" w:cs="Times New Roman"/>
          <w:highlight w:val="none"/>
        </w:rPr>
        <w:t>.</w:t>
      </w:r>
      <w:r>
        <w:rPr>
          <w:rFonts w:hint="eastAsia" w:eastAsia="仿宋_GB2312" w:cs="Times New Roman"/>
          <w:highlight w:val="none"/>
          <w:lang w:eastAsia="zh-CN"/>
        </w:rPr>
        <w:t>生态文化建设有待加强</w:t>
      </w:r>
    </w:p>
    <w:p w14:paraId="64EC4C9B">
      <w:pPr>
        <w:pageBreakBefore w:val="0"/>
        <w:kinsoku/>
        <w:wordWrap/>
        <w:overflowPunct/>
        <w:topLinePunct w:val="0"/>
        <w:autoSpaceDE/>
        <w:autoSpaceDN/>
        <w:bidi w:val="0"/>
        <w:spacing w:line="560" w:lineRule="exact"/>
        <w:ind w:left="0" w:leftChars="0" w:right="0" w:rightChars="0" w:firstLine="640"/>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eastAsia="zh-CN"/>
        </w:rPr>
        <w:t>近年来，柳江区在生态文化建设方面越来越重视，但生态文明理念还不牢固，尊重自然、顺应自然、保护自然的意识还没有真正形成。生态文明理念还未成为广大干部群众的自觉意识和行动，公民厉行节约、低碳生活、绿色出行、绿色消费的习惯有待进一步养成。部分领导干部尚未真正树立正确的政绩观，部分企业经营者缺乏社会责任意识和长远发展的战略眼光。</w:t>
      </w:r>
    </w:p>
    <w:p w14:paraId="53C9E800">
      <w:pPr>
        <w:pStyle w:val="9"/>
        <w:pageBreakBefore w:val="0"/>
        <w:kinsoku/>
        <w:wordWrap/>
        <w:overflowPunct/>
        <w:topLinePunct w:val="0"/>
        <w:autoSpaceDE/>
        <w:autoSpaceDN/>
        <w:bidi w:val="0"/>
        <w:spacing w:line="560" w:lineRule="exact"/>
        <w:ind w:left="0" w:leftChars="0" w:right="0" w:rightChars="0" w:firstLine="640"/>
        <w:rPr>
          <w:rFonts w:ascii="楷体_GB2312" w:hAnsi="楷体_GB2312" w:eastAsia="楷体_GB2312" w:cs="楷体_GB2312"/>
          <w:b/>
          <w:bCs w:val="0"/>
          <w:highlight w:val="none"/>
        </w:rPr>
      </w:pPr>
      <w:r>
        <w:rPr>
          <w:rFonts w:hint="eastAsia" w:ascii="楷体_GB2312" w:hAnsi="楷体_GB2312" w:eastAsia="楷体_GB2312" w:cs="楷体_GB2312"/>
          <w:b/>
          <w:bCs w:val="0"/>
          <w:highlight w:val="none"/>
        </w:rPr>
        <w:t>（二）</w:t>
      </w:r>
      <w:r>
        <w:rPr>
          <w:rFonts w:hint="eastAsia" w:ascii="楷体_GB2312" w:hAnsi="楷体_GB2312" w:eastAsia="楷体_GB2312" w:cs="楷体_GB2312"/>
          <w:b/>
          <w:bCs w:val="0"/>
          <w:highlight w:val="none"/>
          <w:lang w:eastAsia="zh-CN"/>
        </w:rPr>
        <w:t>机遇与挑战</w:t>
      </w:r>
    </w:p>
    <w:p w14:paraId="5A91EDEF">
      <w:pPr>
        <w:pageBreakBefore w:val="0"/>
        <w:kinsoku/>
        <w:wordWrap/>
        <w:overflowPunct/>
        <w:topLinePunct w:val="0"/>
        <w:autoSpaceDE/>
        <w:autoSpaceDN/>
        <w:bidi w:val="0"/>
        <w:adjustRightInd w:val="0"/>
        <w:snapToGrid w:val="0"/>
        <w:spacing w:line="560" w:lineRule="exact"/>
        <w:ind w:left="0" w:leftChars="0" w:right="0" w:rightChars="0" w:firstLine="640"/>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rPr>
        <w:t>1.</w:t>
      </w:r>
      <w:r>
        <w:rPr>
          <w:rFonts w:hint="eastAsia" w:ascii="仿宋_GB2312" w:hAnsi="仿宋_GB2312" w:eastAsia="仿宋_GB2312" w:cs="仿宋_GB2312"/>
          <w:highlight w:val="none"/>
          <w:lang w:eastAsia="zh-CN"/>
        </w:rPr>
        <w:t>国家生态文明发展战略带来的机遇</w:t>
      </w:r>
    </w:p>
    <w:p w14:paraId="2830C2E7">
      <w:pPr>
        <w:pageBreakBefore w:val="0"/>
        <w:kinsoku/>
        <w:wordWrap/>
        <w:overflowPunct/>
        <w:topLinePunct w:val="0"/>
        <w:autoSpaceDE/>
        <w:autoSpaceDN/>
        <w:bidi w:val="0"/>
        <w:adjustRightInd w:val="0"/>
        <w:snapToGrid w:val="0"/>
        <w:spacing w:line="560" w:lineRule="exact"/>
        <w:ind w:left="0" w:leftChars="0" w:right="0" w:rightChars="0" w:firstLine="640"/>
        <w:rPr>
          <w:rFonts w:hint="eastAsia" w:ascii="仿宋_GB2312" w:hAnsi="仿宋_GB2312" w:eastAsia="仿宋_GB2312" w:cs="仿宋_GB2312"/>
          <w:highlight w:val="none"/>
        </w:rPr>
      </w:pPr>
      <w:r>
        <w:rPr>
          <w:rFonts w:hint="eastAsia" w:ascii="仿宋_GB2312" w:hAnsi="仿宋_GB2312" w:eastAsia="仿宋_GB2312" w:cs="仿宋_GB2312"/>
          <w:highlight w:val="none"/>
        </w:rPr>
        <w:t>党的十八大报告提出“把生态文明建设放在突出地位，融入经济建设、政治建设、文化建设、社会建设各方面和全过程，努力建设美丽中国，实现中华民族永续发展”，首次把“美丽中国”作为未来生态文明建设的宏伟目标，把生态文明建设摆在五位一体的高度来论述。十九届五中全会提出了“十四五”时期，坚定不移贯彻创新、协调、绿色、开放、共享的新发展理念，推动绿色发展，促进人与自然和谐共生，生态文明建设实现新进步。生态文明建设战略地位不断提高，</w:t>
      </w:r>
      <w:r>
        <w:rPr>
          <w:rFonts w:hint="eastAsia" w:ascii="仿宋_GB2312" w:hAnsi="仿宋_GB2312" w:eastAsia="仿宋_GB2312" w:cs="仿宋_GB2312"/>
          <w:highlight w:val="none"/>
          <w:lang w:eastAsia="zh-CN"/>
        </w:rPr>
        <w:t>柳江区</w:t>
      </w:r>
      <w:r>
        <w:rPr>
          <w:rFonts w:hint="eastAsia" w:ascii="仿宋_GB2312" w:hAnsi="仿宋_GB2312" w:eastAsia="仿宋_GB2312" w:cs="仿宋_GB2312"/>
          <w:highlight w:val="none"/>
        </w:rPr>
        <w:t>生态文明建设是贯彻落实习近平生态文明思想，全面构建生态文明建设体系为重点，统筹推进“五位一体”总体布局，落实五大发展理念的重要实践。</w:t>
      </w:r>
    </w:p>
    <w:p w14:paraId="5F80FB97">
      <w:pPr>
        <w:pageBreakBefore w:val="0"/>
        <w:kinsoku/>
        <w:wordWrap/>
        <w:overflowPunct/>
        <w:topLinePunct w:val="0"/>
        <w:autoSpaceDE/>
        <w:autoSpaceDN/>
        <w:bidi w:val="0"/>
        <w:adjustRightInd w:val="0"/>
        <w:snapToGrid w:val="0"/>
        <w:spacing w:line="560" w:lineRule="exact"/>
        <w:ind w:left="0" w:leftChars="0" w:right="0" w:rightChars="0" w:firstLine="640"/>
        <w:rPr>
          <w:rFonts w:hint="eastAsia" w:ascii="仿宋_GB2312" w:hAnsi="仿宋_GB2312" w:eastAsia="仿宋_GB2312" w:cs="仿宋_GB2312"/>
          <w:highlight w:val="none"/>
        </w:rPr>
      </w:pPr>
      <w:r>
        <w:rPr>
          <w:rFonts w:hint="eastAsia" w:ascii="仿宋_GB2312" w:hAnsi="仿宋_GB2312" w:eastAsia="仿宋_GB2312" w:cs="仿宋_GB2312"/>
          <w:highlight w:val="none"/>
        </w:rPr>
        <w:t>自治区深入贯彻国家推进生态文明建设的战略部署，相继出台了《广西加快推进生态文明建设实施方案》、《关于大力发展生态经济深入推进生态文明建设的意见》、《广西生态文明体制改革实施方案》等方案，把生态文明建设作为进一步巩固提升“山清水秀生态美”的优势品牌和核心竞争力的重要途径和手段。</w:t>
      </w:r>
    </w:p>
    <w:p w14:paraId="0672D172">
      <w:pPr>
        <w:pageBreakBefore w:val="0"/>
        <w:kinsoku/>
        <w:wordWrap/>
        <w:overflowPunct/>
        <w:topLinePunct w:val="0"/>
        <w:autoSpaceDE/>
        <w:autoSpaceDN/>
        <w:bidi w:val="0"/>
        <w:adjustRightInd w:val="0"/>
        <w:snapToGrid w:val="0"/>
        <w:spacing w:line="560" w:lineRule="exact"/>
        <w:ind w:left="0" w:leftChars="0" w:right="0" w:rightChars="0" w:firstLine="640"/>
        <w:rPr>
          <w:rFonts w:hint="eastAsia" w:ascii="仿宋_GB2312" w:hAnsi="仿宋_GB2312" w:eastAsia="仿宋_GB2312" w:cs="仿宋_GB2312"/>
          <w:highlight w:val="none"/>
        </w:rPr>
      </w:pPr>
      <w:r>
        <w:rPr>
          <w:rFonts w:hint="eastAsia" w:ascii="仿宋_GB2312" w:hAnsi="仿宋_GB2312" w:eastAsia="仿宋_GB2312" w:cs="仿宋_GB2312"/>
          <w:highlight w:val="none"/>
          <w:lang w:val="zh-CN"/>
        </w:rPr>
        <w:t>柳州市党委、政府提出</w:t>
      </w:r>
      <w:r>
        <w:rPr>
          <w:rFonts w:hint="eastAsia" w:ascii="仿宋_GB2312" w:hAnsi="仿宋_GB2312" w:eastAsia="仿宋_GB2312" w:cs="仿宋_GB2312"/>
          <w:highlight w:val="none"/>
        </w:rPr>
        <w:t>创建“国家生态文明建设示范市”战略目标，</w:t>
      </w:r>
      <w:r>
        <w:rPr>
          <w:rFonts w:hint="eastAsia" w:ascii="仿宋_GB2312" w:hAnsi="仿宋_GB2312" w:eastAsia="仿宋_GB2312" w:cs="仿宋_GB2312"/>
          <w:highlight w:val="none"/>
          <w:lang w:val="zh-CN"/>
        </w:rPr>
        <w:t>持续营造“三大生态”，扎实推进美丽柳州建设，持续营造山清水秀的自然生态。牢固树立“绿水青山就是金山银山”的发展理念，坚持节约优先、保护优先、自然恢复为主的方针，建设山清水秀的美丽柳州</w:t>
      </w:r>
      <w:r>
        <w:rPr>
          <w:rFonts w:hint="eastAsia" w:ascii="仿宋_GB2312" w:hAnsi="仿宋_GB2312" w:eastAsia="仿宋_GB2312" w:cs="仿宋_GB2312"/>
          <w:highlight w:val="none"/>
        </w:rPr>
        <w:t>。</w:t>
      </w:r>
    </w:p>
    <w:p w14:paraId="7EA082F0">
      <w:pPr>
        <w:pageBreakBefore w:val="0"/>
        <w:kinsoku/>
        <w:wordWrap/>
        <w:overflowPunct/>
        <w:topLinePunct w:val="0"/>
        <w:autoSpaceDE/>
        <w:autoSpaceDN/>
        <w:bidi w:val="0"/>
        <w:adjustRightInd w:val="0"/>
        <w:snapToGrid w:val="0"/>
        <w:spacing w:line="560" w:lineRule="exact"/>
        <w:ind w:left="0" w:leftChars="0" w:right="0" w:rightChars="0" w:firstLine="640"/>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2</w:t>
      </w:r>
      <w:r>
        <w:rPr>
          <w:rFonts w:hint="eastAsia" w:ascii="仿宋_GB2312" w:hAnsi="仿宋_GB2312" w:eastAsia="仿宋_GB2312" w:cs="仿宋_GB2312"/>
          <w:highlight w:val="none"/>
        </w:rPr>
        <w:t>.</w:t>
      </w:r>
      <w:r>
        <w:rPr>
          <w:rFonts w:hint="eastAsia" w:ascii="仿宋_GB2312" w:hAnsi="仿宋_GB2312" w:eastAsia="仿宋_GB2312" w:cs="仿宋_GB2312"/>
          <w:highlight w:val="none"/>
          <w:lang w:eastAsia="zh-CN"/>
        </w:rPr>
        <w:t>生态旅游蓬勃发展助力生态文明建设</w:t>
      </w:r>
    </w:p>
    <w:p w14:paraId="478FC3C7">
      <w:pPr>
        <w:pageBreakBefore w:val="0"/>
        <w:kinsoku/>
        <w:wordWrap/>
        <w:overflowPunct/>
        <w:topLinePunct w:val="0"/>
        <w:autoSpaceDE/>
        <w:autoSpaceDN/>
        <w:bidi w:val="0"/>
        <w:adjustRightInd w:val="0"/>
        <w:snapToGrid w:val="0"/>
        <w:spacing w:line="560" w:lineRule="exact"/>
        <w:ind w:left="0" w:leftChars="0" w:right="0" w:rightChars="0" w:firstLine="640"/>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eastAsia="zh-CN"/>
        </w:rPr>
        <w:t>近年来，柳江区坚持以文塑旅、以旅彰文，依托柳州工业名城和文化旅游名城的优势，因地制宜探索全域旅游绿色发展之路，打造出百朋荷苑等一批特色旅游品牌。柳江区于2021年荣获“广西全域旅游示范区”称号，目前拥有国家4A级旅游景区3个、四星级以上乡村旅游区4个，获评“全国十大美丽乡村”2个、“全国百佳旅游目的地”3个，广西乡村旅游重点村2个。成团会议旧址、百朋荷苑景区、古岭龙景区、和村庄园、晋航农业生态园等旅游目的地，已成为游客喜爱的网红打卡地。文旅融合发展取得积极成效，已初步形成产业与旅游互促共融的全域旅游发展新格局，“山水田园 醉美柳江”的知名度和美誉度大幅提升。</w:t>
      </w:r>
    </w:p>
    <w:p w14:paraId="67F56540">
      <w:pPr>
        <w:pageBreakBefore w:val="0"/>
        <w:kinsoku/>
        <w:wordWrap/>
        <w:overflowPunct/>
        <w:topLinePunct w:val="0"/>
        <w:autoSpaceDE/>
        <w:autoSpaceDN/>
        <w:bidi w:val="0"/>
        <w:adjustRightInd w:val="0"/>
        <w:snapToGrid w:val="0"/>
        <w:spacing w:line="560" w:lineRule="exact"/>
        <w:ind w:left="0" w:leftChars="0" w:right="0" w:rightChars="0" w:firstLine="640"/>
        <w:rPr>
          <w:rFonts w:hint="eastAsia" w:ascii="仿宋_GB2312" w:hAnsi="仿宋_GB2312" w:eastAsia="仿宋_GB2312" w:cs="仿宋_GB2312"/>
          <w:highlight w:val="none"/>
        </w:rPr>
      </w:pPr>
      <w:r>
        <w:rPr>
          <w:rFonts w:hint="eastAsia" w:ascii="仿宋_GB2312" w:hAnsi="仿宋_GB2312" w:eastAsia="仿宋_GB2312" w:cs="仿宋_GB2312"/>
          <w:highlight w:val="none"/>
          <w:lang w:eastAsia="zh-CN"/>
        </w:rPr>
        <w:t>近期，随着国内旅游业的复苏和柳州螺蛳粉的网络热度，凭借亲民的形象、优质的服务、良好的口碑，柳州再度“火爆出圈”，区域旅游业蓬勃发展。据统计，2023年上半年，柳江区旅游人数达350.52万人次，实现旅游消费31.56亿元。柳江区将坚持文旅融合的发展方向，推进文化和旅游赋能乡村振兴建设，深挖“柳江人”遗址、成团会议旧址等历史文化和民俗文化底蕴，打造柳江文化旅游品牌；大力推广百朋玉藕、成团葡萄、三都香葱、里高青花梨等生态农业体验游项目，推动乡村文化繁荣兴盛、乡村旅游蓬勃发展，助力“农业强、农村美、农民富”，以奋进的姿态开启文旅产业融合发展的新篇章。柳江区大力发展生态旅游业，促进柳江区生态文明建设。</w:t>
      </w:r>
    </w:p>
    <w:p w14:paraId="54368126">
      <w:pPr>
        <w:pageBreakBefore w:val="0"/>
        <w:kinsoku/>
        <w:wordWrap/>
        <w:overflowPunct/>
        <w:topLinePunct w:val="0"/>
        <w:autoSpaceDE/>
        <w:autoSpaceDN/>
        <w:bidi w:val="0"/>
        <w:adjustRightInd w:val="0"/>
        <w:snapToGrid w:val="0"/>
        <w:spacing w:line="560" w:lineRule="exact"/>
        <w:ind w:left="0" w:leftChars="0" w:right="0" w:rightChars="0" w:firstLine="640"/>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3</w:t>
      </w:r>
      <w:r>
        <w:rPr>
          <w:rFonts w:hint="eastAsia" w:ascii="仿宋_GB2312" w:hAnsi="仿宋_GB2312" w:eastAsia="仿宋_GB2312" w:cs="仿宋_GB2312"/>
          <w:highlight w:val="none"/>
        </w:rPr>
        <w:t>.</w:t>
      </w:r>
      <w:r>
        <w:rPr>
          <w:rFonts w:hint="eastAsia" w:ascii="仿宋_GB2312" w:hAnsi="仿宋_GB2312" w:eastAsia="仿宋_GB2312" w:cs="仿宋_GB2312"/>
          <w:highlight w:val="none"/>
          <w:lang w:eastAsia="zh-CN"/>
        </w:rPr>
        <w:t>特色产业带动生态经济发展</w:t>
      </w:r>
    </w:p>
    <w:p w14:paraId="07526388">
      <w:pPr>
        <w:pageBreakBefore w:val="0"/>
        <w:kinsoku/>
        <w:wordWrap/>
        <w:overflowPunct/>
        <w:topLinePunct w:val="0"/>
        <w:autoSpaceDE/>
        <w:autoSpaceDN/>
        <w:bidi w:val="0"/>
        <w:adjustRightInd w:val="0"/>
        <w:snapToGrid w:val="0"/>
        <w:spacing w:line="560" w:lineRule="exact"/>
        <w:ind w:left="0" w:leftChars="0" w:right="0" w:rightChars="0" w:firstLine="640"/>
        <w:rPr>
          <w:rFonts w:hint="default" w:ascii="Times New Roman" w:hAnsi="Times New Roman" w:eastAsia="仿宋_GB2312" w:cs="Times New Roman"/>
          <w:highlight w:val="none"/>
        </w:rPr>
      </w:pPr>
      <w:r>
        <w:rPr>
          <w:rFonts w:hint="eastAsia" w:ascii="仿宋_GB2312" w:hAnsi="仿宋_GB2312" w:eastAsia="仿宋_GB2312" w:cs="仿宋_GB2312"/>
          <w:highlight w:val="none"/>
          <w:lang w:eastAsia="zh-CN"/>
        </w:rPr>
        <w:t>近年来，随着“柳州螺蛳粉”的火爆出圈，柳州螺蛳粉产业带动持续增强，实现一二三产业的高度融合发展，促进全产业链发展。柳江区依托产业优势，推进螺蛳粉原材料产业发展，创建了螺蛳养殖基地、加工型豆角种植基地、木耳种植基地、麻竹种植基地。目前，全区发展螺蛳粉原材料加工企</w:t>
      </w:r>
      <w:r>
        <w:rPr>
          <w:rFonts w:hint="default" w:ascii="Times New Roman" w:hAnsi="Times New Roman" w:eastAsia="仿宋_GB2312" w:cs="Times New Roman"/>
          <w:highlight w:val="none"/>
          <w:lang w:eastAsia="zh-CN"/>
        </w:rPr>
        <w:t>业4家，木耳种植41.5万棒，麻竹笋种植面积2452亩；螺蛳养殖面积达9600亩，2022年新增螺蛳养殖面积4065亩，新增加工型豆角种植面积2233亩</w:t>
      </w:r>
      <w:r>
        <w:rPr>
          <w:rFonts w:hint="eastAsia" w:ascii="Times New Roman" w:hAnsi="Times New Roman" w:eastAsia="仿宋_GB2312" w:cs="Times New Roman"/>
          <w:highlight w:val="none"/>
          <w:lang w:eastAsia="zh-CN"/>
        </w:rPr>
        <w:t>，带动区域生态经济发展。</w:t>
      </w:r>
    </w:p>
    <w:p w14:paraId="6C3FDB50">
      <w:pPr>
        <w:pageBreakBefore w:val="0"/>
        <w:kinsoku/>
        <w:wordWrap/>
        <w:overflowPunct/>
        <w:topLinePunct w:val="0"/>
        <w:autoSpaceDE/>
        <w:autoSpaceDN/>
        <w:bidi w:val="0"/>
        <w:adjustRightInd w:val="0"/>
        <w:snapToGrid w:val="0"/>
        <w:spacing w:line="560" w:lineRule="exact"/>
        <w:ind w:left="0" w:leftChars="0" w:right="0" w:rightChars="0" w:firstLine="640"/>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val="en-US" w:eastAsia="zh-CN"/>
        </w:rPr>
        <w:t>4</w:t>
      </w:r>
      <w:r>
        <w:rPr>
          <w:rFonts w:hint="eastAsia" w:ascii="仿宋_GB2312" w:hAnsi="仿宋_GB2312" w:eastAsia="仿宋_GB2312" w:cs="仿宋_GB2312"/>
          <w:highlight w:val="none"/>
        </w:rPr>
        <w:t>.</w:t>
      </w:r>
      <w:r>
        <w:rPr>
          <w:rFonts w:hint="eastAsia" w:ascii="仿宋_GB2312" w:hAnsi="仿宋_GB2312" w:eastAsia="仿宋_GB2312" w:cs="仿宋_GB2312"/>
          <w:highlight w:val="none"/>
          <w:lang w:eastAsia="zh-CN"/>
        </w:rPr>
        <w:t>社会环境意识显著提高</w:t>
      </w:r>
      <w:r>
        <w:rPr>
          <w:rFonts w:hint="eastAsia" w:ascii="仿宋_GB2312" w:hAnsi="仿宋_GB2312" w:eastAsia="仿宋_GB2312" w:cs="仿宋_GB2312"/>
          <w:highlight w:val="none"/>
        </w:rPr>
        <w:t>为生态文明建设提供根本动力</w:t>
      </w:r>
    </w:p>
    <w:p w14:paraId="418B5C84">
      <w:pPr>
        <w:pageBreakBefore w:val="0"/>
        <w:kinsoku/>
        <w:wordWrap/>
        <w:overflowPunct/>
        <w:topLinePunct w:val="0"/>
        <w:autoSpaceDE/>
        <w:autoSpaceDN/>
        <w:bidi w:val="0"/>
        <w:adjustRightInd w:val="0"/>
        <w:snapToGrid w:val="0"/>
        <w:spacing w:line="560" w:lineRule="exact"/>
        <w:ind w:left="0" w:leftChars="0" w:right="0" w:rightChars="0" w:firstLine="640"/>
        <w:rPr>
          <w:highlight w:val="yellow"/>
        </w:rPr>
      </w:pPr>
      <w:r>
        <w:rPr>
          <w:rFonts w:hint="eastAsia" w:ascii="仿宋_GB2312" w:hAnsi="仿宋_GB2312" w:eastAsia="仿宋_GB2312" w:cs="仿宋_GB2312"/>
          <w:highlight w:val="none"/>
          <w:lang w:eastAsia="zh-CN"/>
        </w:rPr>
        <w:t>随着居民消费结构快速升级和生活质量不断提高，公众对优美的环境、清洁的水源、洁净的空气以及优质农产品等生态产品的需求逐步增加，良好的生态环境已成为最迫切的民生需求。群众对生态文明的渴望和需求将有利于动员、凝聚社会各方面力量，形成生态文明建设的强大合力，逐渐形成节约资源和保护环境的空间格局、产业结构、生产方式、生活方式，实现绿色发展，为生态文明建设提供强有力的支撑。</w:t>
      </w:r>
    </w:p>
    <w:p w14:paraId="2160DA1E">
      <w:pPr>
        <w:pageBreakBefore w:val="0"/>
        <w:kinsoku/>
        <w:wordWrap/>
        <w:overflowPunct/>
        <w:topLinePunct w:val="0"/>
        <w:autoSpaceDE/>
        <w:autoSpaceDN/>
        <w:bidi w:val="0"/>
        <w:spacing w:line="560" w:lineRule="exact"/>
        <w:ind w:left="0" w:leftChars="0" w:right="0" w:rightChars="0" w:firstLine="640"/>
        <w:rPr>
          <w:rFonts w:eastAsia="仿宋_GB2312" w:cs="Times New Roman"/>
          <w:highlight w:val="yellow"/>
        </w:rPr>
        <w:sectPr>
          <w:headerReference r:id="rId15" w:type="first"/>
          <w:footerReference r:id="rId18" w:type="first"/>
          <w:footerReference r:id="rId16" w:type="default"/>
          <w:headerReference r:id="rId14" w:type="even"/>
          <w:footerReference r:id="rId17" w:type="even"/>
          <w:pgSz w:w="11905" w:h="16838"/>
          <w:pgMar w:top="2098" w:right="1474" w:bottom="1984" w:left="1587" w:header="1417" w:footer="1304" w:gutter="0"/>
          <w:pgNumType w:fmt="decimal" w:start="1"/>
          <w:cols w:space="0" w:num="1"/>
          <w:rtlGutter w:val="0"/>
          <w:docGrid w:type="linesAndChars" w:linePitch="439" w:charSpace="1433"/>
        </w:sectPr>
      </w:pPr>
    </w:p>
    <w:p w14:paraId="3AD07994">
      <w:pPr>
        <w:pStyle w:val="7"/>
        <w:pageBreakBefore w:val="0"/>
        <w:kinsoku/>
        <w:wordWrap/>
        <w:overflowPunct/>
        <w:topLinePunct w:val="0"/>
        <w:autoSpaceDE/>
        <w:autoSpaceDN/>
        <w:bidi w:val="0"/>
        <w:spacing w:line="560" w:lineRule="exact"/>
        <w:ind w:left="0" w:leftChars="0" w:right="0" w:rightChars="0" w:firstLine="200" w:firstLineChars="45"/>
        <w:jc w:val="center"/>
        <w:rPr>
          <w:rFonts w:hint="eastAsia" w:ascii="方正小标宋简体" w:hAnsi="方正小标宋简体" w:eastAsia="方正小标宋简体" w:cs="方正小标宋简体"/>
          <w:b w:val="0"/>
          <w:bCs w:val="0"/>
          <w:highlight w:val="none"/>
        </w:rPr>
      </w:pPr>
      <w:bookmarkStart w:id="27" w:name="_Toc25531"/>
      <w:r>
        <w:rPr>
          <w:rFonts w:hint="eastAsia" w:ascii="方正小标宋简体" w:hAnsi="方正小标宋简体" w:eastAsia="方正小标宋简体" w:cs="方正小标宋简体"/>
          <w:b w:val="0"/>
          <w:bCs w:val="0"/>
          <w:highlight w:val="none"/>
        </w:rPr>
        <w:t>第</w:t>
      </w:r>
      <w:r>
        <w:rPr>
          <w:rFonts w:hint="eastAsia" w:ascii="方正小标宋简体" w:hAnsi="方正小标宋简体" w:eastAsia="方正小标宋简体" w:cs="方正小标宋简体"/>
          <w:b w:val="0"/>
          <w:bCs w:val="0"/>
          <w:highlight w:val="none"/>
          <w:lang w:eastAsia="zh-CN"/>
        </w:rPr>
        <w:t>二</w:t>
      </w:r>
      <w:r>
        <w:rPr>
          <w:rFonts w:hint="eastAsia" w:ascii="方正小标宋简体" w:hAnsi="方正小标宋简体" w:eastAsia="方正小标宋简体" w:cs="方正小标宋简体"/>
          <w:b w:val="0"/>
          <w:bCs w:val="0"/>
          <w:highlight w:val="none"/>
        </w:rPr>
        <w:t>章  规划总则</w:t>
      </w:r>
      <w:bookmarkEnd w:id="7"/>
      <w:bookmarkEnd w:id="8"/>
      <w:bookmarkEnd w:id="9"/>
      <w:bookmarkEnd w:id="10"/>
      <w:bookmarkEnd w:id="11"/>
      <w:bookmarkEnd w:id="12"/>
      <w:bookmarkEnd w:id="13"/>
      <w:bookmarkEnd w:id="27"/>
    </w:p>
    <w:p w14:paraId="6A8E6951">
      <w:pPr>
        <w:pStyle w:val="8"/>
        <w:pageBreakBefore w:val="0"/>
        <w:kinsoku/>
        <w:wordWrap/>
        <w:overflowPunct/>
        <w:topLinePunct w:val="0"/>
        <w:autoSpaceDE/>
        <w:autoSpaceDN/>
        <w:bidi w:val="0"/>
        <w:spacing w:line="560" w:lineRule="exact"/>
        <w:ind w:left="0" w:leftChars="0" w:right="0" w:rightChars="0" w:firstLine="640"/>
        <w:rPr>
          <w:b w:val="0"/>
          <w:bCs w:val="0"/>
          <w:highlight w:val="none"/>
        </w:rPr>
      </w:pPr>
      <w:bookmarkStart w:id="28" w:name="_Toc7150"/>
      <w:bookmarkStart w:id="29" w:name="_Toc2378"/>
      <w:bookmarkStart w:id="30" w:name="_Toc4684"/>
      <w:bookmarkStart w:id="31" w:name="_Toc6117"/>
      <w:bookmarkStart w:id="32" w:name="_Toc2613"/>
      <w:bookmarkStart w:id="33" w:name="_Toc15320"/>
      <w:bookmarkStart w:id="34" w:name="_Toc15861"/>
      <w:bookmarkStart w:id="35" w:name="_Toc21712"/>
      <w:r>
        <w:rPr>
          <w:rFonts w:hint="eastAsia"/>
          <w:b w:val="0"/>
          <w:bCs w:val="0"/>
          <w:highlight w:val="none"/>
        </w:rPr>
        <w:t>一、</w:t>
      </w:r>
      <w:r>
        <w:rPr>
          <w:b w:val="0"/>
          <w:bCs w:val="0"/>
          <w:highlight w:val="none"/>
        </w:rPr>
        <w:t>指导思想</w:t>
      </w:r>
      <w:bookmarkEnd w:id="28"/>
      <w:bookmarkEnd w:id="29"/>
      <w:bookmarkEnd w:id="30"/>
      <w:bookmarkEnd w:id="31"/>
      <w:bookmarkEnd w:id="32"/>
      <w:bookmarkEnd w:id="33"/>
      <w:bookmarkEnd w:id="34"/>
      <w:bookmarkEnd w:id="35"/>
    </w:p>
    <w:p w14:paraId="237DADFE">
      <w:pPr>
        <w:pageBreakBefore w:val="0"/>
        <w:kinsoku/>
        <w:wordWrap/>
        <w:overflowPunct/>
        <w:topLinePunct w:val="0"/>
        <w:autoSpaceDE/>
        <w:autoSpaceDN/>
        <w:bidi w:val="0"/>
        <w:spacing w:line="560" w:lineRule="exact"/>
        <w:ind w:left="0" w:leftChars="0" w:right="0" w:rightChars="0" w:firstLine="640"/>
        <w:rPr>
          <w:highlight w:val="yellow"/>
        </w:rPr>
      </w:pPr>
      <w:r>
        <w:rPr>
          <w:rFonts w:hint="eastAsia" w:ascii="仿宋_GB2312" w:hAnsi="仿宋_GB2312" w:eastAsia="仿宋_GB2312" w:cs="仿宋_GB2312"/>
          <w:highlight w:val="none"/>
        </w:rPr>
        <w:t>坚持以习近平新时代中国特色社会主义思想为指导，深入贯彻落实习近平生态文明思想和习近平总书记对广西工作的重要指示精神，“人与自然和谐共生、绿水青山就是金山银山、良好生态环境是最普惠的民生福祉、山水林田湖草是生命共同体、用最严格制度最严密法治保护生态环境、共谋全球生态文明建设”六大基本原则，坚持节约资源和保护环境的基本国策，坚持节约优先、保护优先、自然恢复为主的方针，大力推行绿色发展，着力解决突出环境问题，加大生态系统保护力度，改革完善生态环境监管体制机制，加快构建生态文明建设体系。按照国家、自治区和柳州市的战略部署，以提升生态服务功能、保障生态安全为根本，确立生态环境为基础、生态经济为核心、生态生活为目标、生态文化为灵魂、生态文明制度为保障的建设方略，全力推进生态文明建设示范区建设。充分发挥</w:t>
      </w:r>
      <w:r>
        <w:rPr>
          <w:rFonts w:hint="eastAsia" w:ascii="仿宋_GB2312" w:hAnsi="仿宋_GB2312" w:eastAsia="仿宋_GB2312" w:cs="仿宋_GB2312"/>
          <w:highlight w:val="none"/>
          <w:lang w:eastAsia="zh-CN"/>
        </w:rPr>
        <w:t>柳江区的</w:t>
      </w:r>
      <w:r>
        <w:rPr>
          <w:rFonts w:hint="eastAsia" w:ascii="仿宋_GB2312" w:hAnsi="仿宋_GB2312" w:eastAsia="仿宋_GB2312" w:cs="仿宋_GB2312"/>
          <w:highlight w:val="none"/>
        </w:rPr>
        <w:t>区位优势、人文优势、资源优势和产业优势，以生态文明建设引领高质量发展，奋力打造“生态</w:t>
      </w:r>
      <w:r>
        <w:rPr>
          <w:rFonts w:hint="eastAsia" w:ascii="仿宋_GB2312" w:hAnsi="仿宋_GB2312" w:eastAsia="仿宋_GB2312" w:cs="仿宋_GB2312"/>
          <w:highlight w:val="none"/>
          <w:lang w:eastAsia="zh-CN"/>
        </w:rPr>
        <w:t>柳江区</w:t>
      </w:r>
      <w:r>
        <w:rPr>
          <w:rFonts w:hint="eastAsia" w:ascii="仿宋_GB2312" w:hAnsi="仿宋_GB2312" w:eastAsia="仿宋_GB2312" w:cs="仿宋_GB2312"/>
          <w:highlight w:val="none"/>
        </w:rPr>
        <w:t>”，建设生态安全和谐、经济绿色低碳、生活和谐幸福</w:t>
      </w:r>
      <w:r>
        <w:rPr>
          <w:rFonts w:hint="eastAsia" w:ascii="仿宋_GB2312" w:hAnsi="仿宋_GB2312" w:eastAsia="仿宋_GB2312" w:cs="仿宋_GB2312"/>
          <w:highlight w:val="none"/>
          <w:lang w:eastAsia="zh-CN"/>
        </w:rPr>
        <w:t>的柳江</w:t>
      </w:r>
      <w:r>
        <w:rPr>
          <w:rFonts w:hint="eastAsia" w:ascii="仿宋_GB2312" w:hAnsi="仿宋_GB2312" w:eastAsia="仿宋_GB2312" w:cs="仿宋_GB2312"/>
          <w:highlight w:val="none"/>
        </w:rPr>
        <w:t>区，谱写美丽</w:t>
      </w:r>
      <w:r>
        <w:rPr>
          <w:rFonts w:hint="eastAsia" w:ascii="仿宋_GB2312" w:hAnsi="仿宋_GB2312" w:eastAsia="仿宋_GB2312" w:cs="仿宋_GB2312"/>
          <w:highlight w:val="none"/>
          <w:lang w:eastAsia="zh-CN"/>
        </w:rPr>
        <w:t>柳江新</w:t>
      </w:r>
      <w:r>
        <w:rPr>
          <w:rFonts w:hint="eastAsia" w:ascii="仿宋_GB2312" w:hAnsi="仿宋_GB2312" w:eastAsia="仿宋_GB2312" w:cs="仿宋_GB2312"/>
          <w:highlight w:val="none"/>
        </w:rPr>
        <w:t>篇章。</w:t>
      </w:r>
    </w:p>
    <w:p w14:paraId="13D03801">
      <w:pPr>
        <w:pStyle w:val="8"/>
        <w:pageBreakBefore w:val="0"/>
        <w:kinsoku/>
        <w:wordWrap/>
        <w:overflowPunct/>
        <w:topLinePunct w:val="0"/>
        <w:autoSpaceDE/>
        <w:autoSpaceDN/>
        <w:bidi w:val="0"/>
        <w:spacing w:line="560" w:lineRule="exact"/>
        <w:ind w:left="0" w:leftChars="0" w:right="0" w:rightChars="0" w:firstLine="640"/>
        <w:rPr>
          <w:b w:val="0"/>
          <w:bCs w:val="0"/>
          <w:highlight w:val="none"/>
        </w:rPr>
      </w:pPr>
      <w:bookmarkStart w:id="36" w:name="_Toc8940"/>
      <w:bookmarkStart w:id="37" w:name="_Toc28236"/>
      <w:bookmarkStart w:id="38" w:name="_Toc31574"/>
      <w:bookmarkStart w:id="39" w:name="_Toc2118"/>
      <w:bookmarkStart w:id="40" w:name="_Toc7226"/>
      <w:bookmarkStart w:id="41" w:name="_Toc8655"/>
      <w:bookmarkStart w:id="42" w:name="_Toc829"/>
      <w:bookmarkStart w:id="43" w:name="_Toc7990"/>
      <w:r>
        <w:rPr>
          <w:rFonts w:hint="eastAsia"/>
          <w:b w:val="0"/>
          <w:bCs w:val="0"/>
          <w:highlight w:val="none"/>
        </w:rPr>
        <w:t>二、</w:t>
      </w:r>
      <w:r>
        <w:rPr>
          <w:rFonts w:hint="eastAsia"/>
          <w:b w:val="0"/>
          <w:bCs w:val="0"/>
          <w:highlight w:val="none"/>
          <w:lang w:eastAsia="zh-CN"/>
        </w:rPr>
        <w:t>规划</w:t>
      </w:r>
      <w:r>
        <w:rPr>
          <w:rFonts w:hint="eastAsia"/>
          <w:b w:val="0"/>
          <w:bCs w:val="0"/>
          <w:highlight w:val="none"/>
        </w:rPr>
        <w:t>原则</w:t>
      </w:r>
      <w:bookmarkEnd w:id="36"/>
      <w:bookmarkEnd w:id="37"/>
      <w:bookmarkEnd w:id="38"/>
      <w:bookmarkEnd w:id="39"/>
      <w:bookmarkEnd w:id="40"/>
      <w:bookmarkEnd w:id="41"/>
      <w:bookmarkEnd w:id="42"/>
      <w:bookmarkEnd w:id="43"/>
    </w:p>
    <w:p w14:paraId="087266DE">
      <w:pPr>
        <w:pageBreakBefore w:val="0"/>
        <w:kinsoku/>
        <w:wordWrap/>
        <w:overflowPunct/>
        <w:topLinePunct w:val="0"/>
        <w:autoSpaceDE/>
        <w:autoSpaceDN/>
        <w:bidi w:val="0"/>
        <w:spacing w:line="560" w:lineRule="exact"/>
        <w:ind w:left="0" w:leftChars="0" w:right="0" w:rightChars="0" w:firstLine="640"/>
        <w:rPr>
          <w:rFonts w:eastAsia="仿宋_GB2312" w:cs="Times New Roman"/>
          <w:highlight w:val="none"/>
        </w:rPr>
      </w:pPr>
      <w:r>
        <w:rPr>
          <w:rFonts w:hint="eastAsia" w:eastAsia="仿宋_GB2312" w:cs="Times New Roman"/>
          <w:b/>
          <w:bCs/>
          <w:highlight w:val="none"/>
        </w:rPr>
        <w:t>生态优先，绿色发展。</w:t>
      </w:r>
      <w:r>
        <w:rPr>
          <w:rFonts w:hint="eastAsia" w:eastAsia="仿宋_GB2312" w:cs="Times New Roman"/>
          <w:highlight w:val="none"/>
        </w:rPr>
        <w:t>深入贯彻落实新发展理念，坚持“绿水青山就是金山银山”理念，以生态环境保护为基础，科学保护、合理利用、有效开发生态资源，发挥生态环境保护优化经济发展作用，持续推进“产业发展生态化、生态建设产业化”；做好生态保护和利用的加减法，增大环境容量，增强环境承载能力；大力推进节能减排，淘汰落后产能，降低能源资源消耗；积极参与碳达峰、碳中和工作，构建绿色低碳发展新格局，促进经济高质量发展。</w:t>
      </w:r>
    </w:p>
    <w:p w14:paraId="2815DCB5">
      <w:pPr>
        <w:pageBreakBefore w:val="0"/>
        <w:kinsoku/>
        <w:wordWrap/>
        <w:overflowPunct/>
        <w:topLinePunct w:val="0"/>
        <w:autoSpaceDE/>
        <w:autoSpaceDN/>
        <w:bidi w:val="0"/>
        <w:spacing w:line="560" w:lineRule="exact"/>
        <w:ind w:left="0" w:leftChars="0" w:right="0" w:rightChars="0" w:firstLine="640"/>
        <w:rPr>
          <w:rFonts w:hint="eastAsia" w:eastAsia="仿宋_GB2312" w:cs="Times New Roman"/>
          <w:highlight w:val="none"/>
          <w:lang w:eastAsia="zh-CN"/>
        </w:rPr>
      </w:pPr>
      <w:r>
        <w:rPr>
          <w:rFonts w:hint="eastAsia" w:eastAsia="仿宋_GB2312" w:cs="Times New Roman"/>
          <w:b/>
          <w:bCs/>
          <w:highlight w:val="none"/>
          <w:lang w:eastAsia="zh-CN"/>
        </w:rPr>
        <w:t>立足实际</w:t>
      </w:r>
      <w:r>
        <w:rPr>
          <w:rFonts w:hint="eastAsia" w:eastAsia="仿宋_GB2312" w:cs="Times New Roman"/>
          <w:b/>
          <w:bCs/>
          <w:highlight w:val="none"/>
        </w:rPr>
        <w:t>，</w:t>
      </w:r>
      <w:r>
        <w:rPr>
          <w:rFonts w:hint="eastAsia" w:eastAsia="仿宋_GB2312" w:cs="Times New Roman"/>
          <w:b/>
          <w:bCs/>
          <w:highlight w:val="none"/>
          <w:lang w:eastAsia="zh-CN"/>
        </w:rPr>
        <w:t>彰显</w:t>
      </w:r>
      <w:r>
        <w:rPr>
          <w:rFonts w:hint="eastAsia" w:eastAsia="仿宋_GB2312" w:cs="Times New Roman"/>
          <w:b/>
          <w:bCs/>
          <w:highlight w:val="none"/>
        </w:rPr>
        <w:t>特色。</w:t>
      </w:r>
      <w:r>
        <w:rPr>
          <w:rFonts w:hint="eastAsia" w:eastAsia="仿宋_GB2312" w:cs="Times New Roman"/>
          <w:highlight w:val="none"/>
        </w:rPr>
        <w:t>将国家生态文明示范县区建设目标与国家和自治区级主体功能区划、生态功能区划及柳江区环境保护和生态建设“十</w:t>
      </w:r>
      <w:r>
        <w:rPr>
          <w:rFonts w:hint="eastAsia" w:eastAsia="仿宋_GB2312" w:cs="Times New Roman"/>
          <w:highlight w:val="none"/>
          <w:lang w:eastAsia="zh-CN"/>
        </w:rPr>
        <w:t>四</w:t>
      </w:r>
      <w:r>
        <w:rPr>
          <w:rFonts w:hint="eastAsia" w:eastAsia="仿宋_GB2312" w:cs="Times New Roman"/>
          <w:highlight w:val="none"/>
        </w:rPr>
        <w:t>五”等规划充分衔接，立足于柳江区区位交通、生态环境、</w:t>
      </w:r>
      <w:r>
        <w:rPr>
          <w:rFonts w:hint="eastAsia" w:eastAsia="仿宋_GB2312" w:cs="Times New Roman"/>
          <w:highlight w:val="none"/>
          <w:lang w:eastAsia="zh-CN"/>
        </w:rPr>
        <w:t>经济发展</w:t>
      </w:r>
      <w:r>
        <w:rPr>
          <w:rFonts w:hint="eastAsia" w:eastAsia="仿宋_GB2312" w:cs="Times New Roman"/>
          <w:highlight w:val="none"/>
        </w:rPr>
        <w:t>等</w:t>
      </w:r>
      <w:r>
        <w:rPr>
          <w:rFonts w:hint="eastAsia" w:eastAsia="仿宋_GB2312" w:cs="Times New Roman"/>
          <w:highlight w:val="none"/>
          <w:lang w:eastAsia="zh-CN"/>
        </w:rPr>
        <w:t>优势</w:t>
      </w:r>
      <w:r>
        <w:rPr>
          <w:rFonts w:hint="eastAsia" w:eastAsia="仿宋_GB2312" w:cs="Times New Roman"/>
          <w:highlight w:val="none"/>
        </w:rPr>
        <w:t>，科学利用优势资源，认真研究生态文明建设的路径、方法和体制机制，促进生态文明建设工作全面推进</w:t>
      </w:r>
      <w:r>
        <w:rPr>
          <w:rFonts w:hint="eastAsia" w:eastAsia="仿宋_GB2312" w:cs="Times New Roman"/>
          <w:highlight w:val="none"/>
          <w:lang w:eastAsia="zh-CN"/>
        </w:rPr>
        <w:t>。</w:t>
      </w:r>
    </w:p>
    <w:p w14:paraId="73EC2542">
      <w:pPr>
        <w:pageBreakBefore w:val="0"/>
        <w:kinsoku/>
        <w:wordWrap/>
        <w:overflowPunct/>
        <w:topLinePunct w:val="0"/>
        <w:autoSpaceDE/>
        <w:autoSpaceDN/>
        <w:bidi w:val="0"/>
        <w:spacing w:line="560" w:lineRule="exact"/>
        <w:ind w:left="0" w:leftChars="0" w:right="0" w:rightChars="0" w:firstLine="640"/>
        <w:rPr>
          <w:rFonts w:hint="eastAsia" w:eastAsia="仿宋_GB2312" w:cs="Times New Roman"/>
          <w:highlight w:val="none"/>
        </w:rPr>
      </w:pPr>
      <w:r>
        <w:rPr>
          <w:rFonts w:hint="eastAsia" w:eastAsia="仿宋_GB2312" w:cs="Times New Roman"/>
          <w:b/>
          <w:bCs/>
          <w:highlight w:val="none"/>
        </w:rPr>
        <w:t>规划先行，科学管控。</w:t>
      </w:r>
      <w:r>
        <w:rPr>
          <w:rFonts w:hint="eastAsia" w:eastAsia="仿宋_GB2312" w:cs="Times New Roman"/>
          <w:highlight w:val="none"/>
        </w:rPr>
        <w:t>建立健全国土空间规划和用途统筹协调管控制度，</w:t>
      </w:r>
      <w:r>
        <w:rPr>
          <w:rFonts w:hint="eastAsia" w:eastAsia="仿宋_GB2312" w:cs="Times New Roman"/>
          <w:highlight w:val="none"/>
          <w:lang w:eastAsia="zh-CN"/>
        </w:rPr>
        <w:t>按照</w:t>
      </w:r>
      <w:r>
        <w:rPr>
          <w:rFonts w:hint="eastAsia" w:eastAsia="仿宋_GB2312" w:cs="Times New Roman"/>
          <w:highlight w:val="none"/>
        </w:rPr>
        <w:t>划定</w:t>
      </w:r>
      <w:r>
        <w:rPr>
          <w:rFonts w:hint="eastAsia" w:eastAsia="仿宋_GB2312" w:cs="Times New Roman"/>
          <w:highlight w:val="none"/>
          <w:lang w:eastAsia="zh-CN"/>
        </w:rPr>
        <w:t>的</w:t>
      </w:r>
      <w:r>
        <w:rPr>
          <w:rFonts w:hint="eastAsia" w:eastAsia="仿宋_GB2312" w:cs="Times New Roman"/>
          <w:highlight w:val="none"/>
        </w:rPr>
        <w:t>生态保护红线、永久基本农田、城镇开发边界“三条控制线”，落实主体功能区战略，科学布局生产、生活、生态空间，规范空间开发秩序，提高空间资源利用效率和综合承载能力。</w:t>
      </w:r>
    </w:p>
    <w:p w14:paraId="656FDECA">
      <w:pPr>
        <w:pageBreakBefore w:val="0"/>
        <w:kinsoku/>
        <w:wordWrap/>
        <w:overflowPunct/>
        <w:topLinePunct w:val="0"/>
        <w:autoSpaceDE/>
        <w:autoSpaceDN/>
        <w:bidi w:val="0"/>
        <w:spacing w:line="560" w:lineRule="exact"/>
        <w:ind w:left="0" w:leftChars="0" w:right="0" w:rightChars="0" w:firstLine="640"/>
        <w:rPr>
          <w:rFonts w:eastAsia="仿宋_GB2312" w:cs="Times New Roman"/>
          <w:highlight w:val="none"/>
        </w:rPr>
      </w:pPr>
      <w:r>
        <w:rPr>
          <w:rFonts w:hint="eastAsia" w:eastAsia="仿宋_GB2312" w:cs="Times New Roman"/>
          <w:b/>
          <w:bCs/>
          <w:highlight w:val="none"/>
        </w:rPr>
        <w:t>目标明确，深入落实。</w:t>
      </w:r>
      <w:r>
        <w:rPr>
          <w:rFonts w:hint="eastAsia" w:eastAsia="仿宋_GB2312" w:cs="Times New Roman"/>
          <w:highlight w:val="none"/>
        </w:rPr>
        <w:t>按照创建“国家生态文明建设示范区”的目标指引，深入研究指标体系，有针对性的提出规划期内的重点任务及重点工程项目，并分解落实责任部门，促进生产生活方式绿色转型，加快推动绿色低碳发展，使生态文明的理念深入人心，落实到行动。</w:t>
      </w:r>
    </w:p>
    <w:p w14:paraId="699E775D">
      <w:pPr>
        <w:pageBreakBefore w:val="0"/>
        <w:kinsoku/>
        <w:wordWrap/>
        <w:overflowPunct/>
        <w:topLinePunct w:val="0"/>
        <w:autoSpaceDE/>
        <w:autoSpaceDN/>
        <w:bidi w:val="0"/>
        <w:spacing w:line="560" w:lineRule="exact"/>
        <w:ind w:left="0" w:leftChars="0" w:right="0" w:rightChars="0" w:firstLine="640"/>
        <w:rPr>
          <w:rFonts w:eastAsia="仿宋_GB2312" w:cs="Times New Roman"/>
          <w:highlight w:val="none"/>
        </w:rPr>
      </w:pPr>
      <w:r>
        <w:rPr>
          <w:rFonts w:hint="eastAsia" w:eastAsia="仿宋_GB2312" w:cs="Times New Roman"/>
          <w:b/>
          <w:bCs/>
          <w:highlight w:val="none"/>
        </w:rPr>
        <w:t>统筹兼顾，重点突出。</w:t>
      </w:r>
      <w:r>
        <w:rPr>
          <w:rFonts w:hint="eastAsia" w:eastAsia="仿宋_GB2312" w:cs="Times New Roman"/>
          <w:highlight w:val="none"/>
        </w:rPr>
        <w:t>统筹城乡发展、统筹辖区发展，统筹经济社会发展、统筹人与自然和谐发展，全面推进生态文化建设、生态经济建设、生态人居建设和生态制度建设，实现经济发展和人口、资源、环境的协调。重点针对柳江区国家生态文明建设示范区未达标的指标提出相应规划措施，对于已达标的指标制定相应提升措施，全面提升区域生态文明建设水平。</w:t>
      </w:r>
    </w:p>
    <w:p w14:paraId="1B4E2152">
      <w:pPr>
        <w:pageBreakBefore w:val="0"/>
        <w:kinsoku/>
        <w:wordWrap/>
        <w:overflowPunct/>
        <w:topLinePunct w:val="0"/>
        <w:autoSpaceDE/>
        <w:autoSpaceDN/>
        <w:bidi w:val="0"/>
        <w:spacing w:line="560" w:lineRule="exact"/>
        <w:ind w:left="0" w:leftChars="0" w:right="0" w:rightChars="0" w:firstLine="640"/>
        <w:rPr>
          <w:rFonts w:cs="Times New Roman"/>
          <w:highlight w:val="none"/>
        </w:rPr>
      </w:pPr>
      <w:r>
        <w:rPr>
          <w:rFonts w:hint="eastAsia" w:eastAsia="仿宋_GB2312" w:cs="Times New Roman"/>
          <w:b/>
          <w:bCs/>
          <w:highlight w:val="none"/>
        </w:rPr>
        <w:t>政府主导，全民</w:t>
      </w:r>
      <w:r>
        <w:rPr>
          <w:rFonts w:hint="eastAsia" w:eastAsia="仿宋_GB2312" w:cs="Times New Roman"/>
          <w:b/>
          <w:bCs/>
          <w:highlight w:val="none"/>
          <w:lang w:eastAsia="zh-CN"/>
        </w:rPr>
        <w:t>行动</w:t>
      </w:r>
      <w:r>
        <w:rPr>
          <w:rFonts w:hint="eastAsia" w:eastAsia="仿宋_GB2312" w:cs="Times New Roman"/>
          <w:b/>
          <w:bCs/>
          <w:highlight w:val="none"/>
        </w:rPr>
        <w:t>。</w:t>
      </w:r>
      <w:r>
        <w:rPr>
          <w:rFonts w:hint="eastAsia" w:eastAsia="仿宋_GB2312" w:cs="Times New Roman"/>
          <w:highlight w:val="none"/>
        </w:rPr>
        <w:t>充分发挥政府的组织、引导、协调作用，强化政府主导，优化政策环境，整合各部门资源，激发市场活力，调动企业、社会组织和公众参与的主动性、积极性，牢固树立生态文明理念，形成绿色、低碳、循环的生产、生活方式和消费模式，营造全民共建共享的生态文明建设氛围，形成全区建设生态文明的强大合力，创建政府主导和全民参与紧密结合的生态文明建设新局面</w:t>
      </w:r>
      <w:r>
        <w:rPr>
          <w:rFonts w:eastAsia="仿宋_GB2312" w:cs="Times New Roman"/>
          <w:highlight w:val="none"/>
        </w:rPr>
        <w:t>。</w:t>
      </w:r>
    </w:p>
    <w:p w14:paraId="2D688845">
      <w:pPr>
        <w:pStyle w:val="8"/>
        <w:pageBreakBefore w:val="0"/>
        <w:kinsoku/>
        <w:wordWrap/>
        <w:overflowPunct/>
        <w:topLinePunct w:val="0"/>
        <w:autoSpaceDE/>
        <w:autoSpaceDN/>
        <w:bidi w:val="0"/>
        <w:spacing w:line="560" w:lineRule="exact"/>
        <w:ind w:left="0" w:leftChars="0" w:right="0" w:rightChars="0" w:firstLine="640"/>
        <w:rPr>
          <w:rFonts w:ascii="Times New Roman" w:hAnsi="Times New Roman" w:cs="Times New Roman"/>
          <w:b w:val="0"/>
          <w:bCs w:val="0"/>
          <w:highlight w:val="none"/>
        </w:rPr>
      </w:pPr>
      <w:bookmarkStart w:id="44" w:name="_Toc27292"/>
      <w:bookmarkStart w:id="45" w:name="_Toc1909"/>
      <w:bookmarkStart w:id="46" w:name="_Toc10146"/>
      <w:bookmarkStart w:id="47" w:name="_Toc16519"/>
      <w:bookmarkStart w:id="48" w:name="_Toc5767"/>
      <w:bookmarkStart w:id="49" w:name="_Toc14573"/>
      <w:bookmarkStart w:id="50" w:name="_Toc12269"/>
      <w:r>
        <w:rPr>
          <w:rFonts w:ascii="Times New Roman" w:hAnsi="Times New Roman" w:cs="Times New Roman"/>
          <w:b w:val="0"/>
          <w:bCs w:val="0"/>
          <w:highlight w:val="none"/>
        </w:rPr>
        <w:t>三、</w:t>
      </w:r>
      <w:r>
        <w:rPr>
          <w:rFonts w:hint="eastAsia" w:ascii="Times New Roman" w:hAnsi="Times New Roman" w:cs="Times New Roman"/>
          <w:b w:val="0"/>
          <w:bCs w:val="0"/>
          <w:highlight w:val="none"/>
          <w:lang w:eastAsia="zh-CN"/>
        </w:rPr>
        <w:t>规划范围</w:t>
      </w:r>
      <w:bookmarkEnd w:id="44"/>
      <w:bookmarkEnd w:id="45"/>
      <w:bookmarkEnd w:id="46"/>
      <w:bookmarkEnd w:id="47"/>
      <w:bookmarkEnd w:id="48"/>
      <w:bookmarkEnd w:id="49"/>
      <w:bookmarkEnd w:id="50"/>
    </w:p>
    <w:p w14:paraId="377EF359">
      <w:pPr>
        <w:pageBreakBefore w:val="0"/>
        <w:kinsoku/>
        <w:wordWrap/>
        <w:overflowPunct/>
        <w:topLinePunct w:val="0"/>
        <w:autoSpaceDE/>
        <w:autoSpaceDN/>
        <w:bidi w:val="0"/>
        <w:spacing w:line="560" w:lineRule="exact"/>
        <w:ind w:left="0" w:leftChars="0" w:right="0" w:rightChars="0" w:firstLine="640"/>
        <w:rPr>
          <w:rFonts w:hint="eastAsia" w:ascii="Times New Roman" w:hAnsi="Times New Roman" w:eastAsia="仿宋_GB2312" w:cs="Times New Roman"/>
          <w:highlight w:val="none"/>
          <w:lang w:eastAsia="zh-CN"/>
        </w:rPr>
      </w:pPr>
      <w:bookmarkStart w:id="51" w:name="_Toc23141"/>
      <w:bookmarkStart w:id="52" w:name="_Toc31381"/>
      <w:bookmarkStart w:id="53" w:name="_Toc8401"/>
      <w:bookmarkStart w:id="54" w:name="_Toc4913"/>
      <w:bookmarkStart w:id="55" w:name="_Toc309"/>
      <w:bookmarkStart w:id="56" w:name="_Toc11923"/>
      <w:bookmarkStart w:id="57" w:name="_Toc4260"/>
      <w:r>
        <w:rPr>
          <w:rFonts w:hint="eastAsia" w:ascii="Times New Roman" w:hAnsi="Times New Roman" w:eastAsia="仿宋_GB2312" w:cs="Times New Roman"/>
          <w:highlight w:val="none"/>
        </w:rPr>
        <w:t>本次规划范围为柳江区行政区</w:t>
      </w:r>
      <w:r>
        <w:rPr>
          <w:rFonts w:hint="eastAsia" w:ascii="Times New Roman" w:hAnsi="Times New Roman" w:eastAsia="仿宋_GB2312" w:cs="Times New Roman"/>
          <w:highlight w:val="none"/>
          <w:lang w:eastAsia="zh-CN"/>
        </w:rPr>
        <w:t>所辖</w:t>
      </w:r>
      <w:r>
        <w:rPr>
          <w:rFonts w:hint="eastAsia" w:ascii="Times New Roman" w:hAnsi="Times New Roman" w:eastAsia="仿宋_GB2312" w:cs="Times New Roman"/>
          <w:highlight w:val="none"/>
        </w:rPr>
        <w:t>范围，包括拉堡镇、百朋镇、成团镇、三都镇、里高镇、进德镇、穿山镇、土博镇，土地总面积1773km</w:t>
      </w:r>
      <w:r>
        <w:rPr>
          <w:rFonts w:hint="eastAsia" w:ascii="Times New Roman" w:hAnsi="Times New Roman" w:eastAsia="仿宋_GB2312" w:cs="Times New Roman"/>
          <w:highlight w:val="none"/>
          <w:vertAlign w:val="superscript"/>
        </w:rPr>
        <w:t>2</w:t>
      </w:r>
      <w:r>
        <w:rPr>
          <w:rFonts w:hint="eastAsia" w:ascii="Times New Roman" w:hAnsi="Times New Roman" w:eastAsia="仿宋_GB2312" w:cs="Times New Roman"/>
          <w:highlight w:val="none"/>
          <w:lang w:eastAsia="zh-CN"/>
        </w:rPr>
        <w:t>。</w:t>
      </w:r>
    </w:p>
    <w:p w14:paraId="6EFD2B48">
      <w:pPr>
        <w:pStyle w:val="8"/>
        <w:pageBreakBefore w:val="0"/>
        <w:kinsoku/>
        <w:wordWrap/>
        <w:overflowPunct/>
        <w:topLinePunct w:val="0"/>
        <w:autoSpaceDE/>
        <w:autoSpaceDN/>
        <w:bidi w:val="0"/>
        <w:spacing w:line="560" w:lineRule="exact"/>
        <w:ind w:left="0" w:leftChars="0" w:right="0" w:rightChars="0" w:firstLine="640"/>
        <w:rPr>
          <w:rFonts w:hint="eastAsia" w:eastAsia="黑体"/>
          <w:b w:val="0"/>
          <w:bCs w:val="0"/>
          <w:highlight w:val="none"/>
          <w:lang w:eastAsia="zh-CN"/>
        </w:rPr>
      </w:pPr>
      <w:bookmarkStart w:id="58" w:name="_Toc19331"/>
      <w:r>
        <w:rPr>
          <w:rFonts w:hint="eastAsia"/>
          <w:b w:val="0"/>
          <w:bCs w:val="0"/>
          <w:highlight w:val="none"/>
        </w:rPr>
        <w:t>四、规划</w:t>
      </w:r>
      <w:bookmarkEnd w:id="51"/>
      <w:bookmarkEnd w:id="52"/>
      <w:bookmarkEnd w:id="53"/>
      <w:bookmarkEnd w:id="54"/>
      <w:bookmarkEnd w:id="55"/>
      <w:bookmarkEnd w:id="56"/>
      <w:bookmarkEnd w:id="57"/>
      <w:r>
        <w:rPr>
          <w:rFonts w:hint="eastAsia"/>
          <w:b w:val="0"/>
          <w:bCs w:val="0"/>
          <w:highlight w:val="none"/>
          <w:lang w:eastAsia="zh-CN"/>
        </w:rPr>
        <w:t>期限</w:t>
      </w:r>
      <w:bookmarkEnd w:id="58"/>
    </w:p>
    <w:p w14:paraId="16907523">
      <w:pPr>
        <w:pageBreakBefore w:val="0"/>
        <w:kinsoku/>
        <w:wordWrap/>
        <w:overflowPunct/>
        <w:topLinePunct w:val="0"/>
        <w:autoSpaceDE/>
        <w:autoSpaceDN/>
        <w:bidi w:val="0"/>
        <w:spacing w:line="560" w:lineRule="exact"/>
        <w:ind w:left="0" w:leftChars="0" w:right="0" w:rightChars="0" w:firstLine="640"/>
        <w:rPr>
          <w:rFonts w:eastAsia="仿宋_GB2312" w:cs="Times New Roman"/>
          <w:highlight w:val="none"/>
        </w:rPr>
      </w:pPr>
      <w:r>
        <w:rPr>
          <w:rFonts w:hint="eastAsia" w:eastAsia="仿宋_GB2312" w:cs="Times New Roman"/>
          <w:highlight w:val="none"/>
        </w:rPr>
        <w:t>规划基准年为20</w:t>
      </w:r>
      <w:r>
        <w:rPr>
          <w:rFonts w:hint="eastAsia" w:eastAsia="仿宋_GB2312" w:cs="Times New Roman"/>
          <w:highlight w:val="none"/>
          <w:lang w:val="en-US" w:eastAsia="zh-CN"/>
        </w:rPr>
        <w:t>22</w:t>
      </w:r>
      <w:r>
        <w:rPr>
          <w:rFonts w:hint="eastAsia" w:eastAsia="仿宋_GB2312" w:cs="Times New Roman"/>
          <w:highlight w:val="none"/>
        </w:rPr>
        <w:t>年，规划期为20</w:t>
      </w:r>
      <w:r>
        <w:rPr>
          <w:rFonts w:hint="eastAsia" w:eastAsia="仿宋_GB2312" w:cs="Times New Roman"/>
          <w:highlight w:val="none"/>
          <w:lang w:val="en-US" w:eastAsia="zh-CN"/>
        </w:rPr>
        <w:t>23</w:t>
      </w:r>
      <w:r>
        <w:rPr>
          <w:rFonts w:hint="eastAsia" w:eastAsia="仿宋_GB2312" w:cs="Times New Roman"/>
          <w:highlight w:val="none"/>
        </w:rPr>
        <w:t>-20</w:t>
      </w:r>
      <w:r>
        <w:rPr>
          <w:rFonts w:hint="eastAsia" w:eastAsia="仿宋_GB2312" w:cs="Times New Roman"/>
          <w:highlight w:val="none"/>
          <w:lang w:val="en-US" w:eastAsia="zh-CN"/>
        </w:rPr>
        <w:t>30</w:t>
      </w:r>
      <w:r>
        <w:rPr>
          <w:rFonts w:hint="eastAsia" w:eastAsia="仿宋_GB2312" w:cs="Times New Roman"/>
          <w:highlight w:val="none"/>
        </w:rPr>
        <w:t>年，其中创建期为20</w:t>
      </w:r>
      <w:r>
        <w:rPr>
          <w:rFonts w:hint="eastAsia" w:eastAsia="仿宋_GB2312" w:cs="Times New Roman"/>
          <w:highlight w:val="none"/>
          <w:lang w:val="en-US" w:eastAsia="zh-CN"/>
        </w:rPr>
        <w:t>23</w:t>
      </w:r>
      <w:r>
        <w:rPr>
          <w:rFonts w:hint="eastAsia" w:eastAsia="仿宋_GB2312" w:cs="Times New Roman"/>
          <w:highlight w:val="none"/>
        </w:rPr>
        <w:t>-202</w:t>
      </w:r>
      <w:r>
        <w:rPr>
          <w:rFonts w:hint="eastAsia" w:eastAsia="仿宋_GB2312" w:cs="Times New Roman"/>
          <w:highlight w:val="none"/>
          <w:lang w:val="en-US" w:eastAsia="zh-CN"/>
        </w:rPr>
        <w:t>7</w:t>
      </w:r>
      <w:r>
        <w:rPr>
          <w:rFonts w:hint="eastAsia" w:eastAsia="仿宋_GB2312" w:cs="Times New Roman"/>
          <w:highlight w:val="none"/>
        </w:rPr>
        <w:t>年，巩固提升期为202</w:t>
      </w:r>
      <w:r>
        <w:rPr>
          <w:rFonts w:hint="eastAsia" w:eastAsia="仿宋_GB2312" w:cs="Times New Roman"/>
          <w:highlight w:val="none"/>
          <w:lang w:val="en-US" w:eastAsia="zh-CN"/>
        </w:rPr>
        <w:t>8</w:t>
      </w:r>
      <w:r>
        <w:rPr>
          <w:rFonts w:hint="eastAsia" w:eastAsia="仿宋_GB2312" w:cs="Times New Roman"/>
          <w:highlight w:val="none"/>
        </w:rPr>
        <w:t>-2030年</w:t>
      </w:r>
      <w:r>
        <w:rPr>
          <w:rFonts w:eastAsia="仿宋_GB2312" w:cs="Times New Roman"/>
          <w:highlight w:val="none"/>
        </w:rPr>
        <w:t>。</w:t>
      </w:r>
    </w:p>
    <w:p w14:paraId="2EC461CA">
      <w:pPr>
        <w:pStyle w:val="8"/>
        <w:pageBreakBefore w:val="0"/>
        <w:kinsoku/>
        <w:wordWrap/>
        <w:overflowPunct/>
        <w:topLinePunct w:val="0"/>
        <w:autoSpaceDE/>
        <w:autoSpaceDN/>
        <w:bidi w:val="0"/>
        <w:spacing w:line="560" w:lineRule="exact"/>
        <w:ind w:left="0" w:leftChars="0" w:right="0" w:rightChars="0" w:firstLine="640"/>
        <w:rPr>
          <w:rFonts w:hint="eastAsia" w:eastAsia="黑体"/>
          <w:b w:val="0"/>
          <w:bCs w:val="0"/>
          <w:highlight w:val="none"/>
          <w:lang w:eastAsia="zh-CN"/>
        </w:rPr>
      </w:pPr>
      <w:bookmarkStart w:id="59" w:name="_Toc13051"/>
      <w:r>
        <w:rPr>
          <w:rFonts w:hint="eastAsia"/>
          <w:b w:val="0"/>
          <w:bCs w:val="0"/>
          <w:highlight w:val="none"/>
          <w:lang w:eastAsia="zh-CN"/>
        </w:rPr>
        <w:t>五</w:t>
      </w:r>
      <w:r>
        <w:rPr>
          <w:rFonts w:hint="eastAsia"/>
          <w:b w:val="0"/>
          <w:bCs w:val="0"/>
          <w:highlight w:val="none"/>
        </w:rPr>
        <w:t>、规划</w:t>
      </w:r>
      <w:r>
        <w:rPr>
          <w:rFonts w:hint="eastAsia"/>
          <w:b w:val="0"/>
          <w:bCs w:val="0"/>
          <w:highlight w:val="none"/>
          <w:lang w:eastAsia="zh-CN"/>
        </w:rPr>
        <w:t>目标</w:t>
      </w:r>
      <w:bookmarkEnd w:id="59"/>
    </w:p>
    <w:p w14:paraId="2C0C8CF0">
      <w:pPr>
        <w:pStyle w:val="9"/>
        <w:pageBreakBefore w:val="0"/>
        <w:kinsoku/>
        <w:wordWrap/>
        <w:overflowPunct/>
        <w:topLinePunct w:val="0"/>
        <w:autoSpaceDE/>
        <w:autoSpaceDN/>
        <w:bidi w:val="0"/>
        <w:spacing w:line="560" w:lineRule="exact"/>
        <w:ind w:left="0" w:leftChars="0" w:right="0" w:rightChars="0" w:firstLine="640"/>
        <w:rPr>
          <w:rFonts w:eastAsia="楷体_GB2312" w:cs="Times New Roman"/>
          <w:b/>
          <w:bCs w:val="0"/>
          <w:highlight w:val="none"/>
        </w:rPr>
      </w:pPr>
      <w:r>
        <w:rPr>
          <w:rFonts w:eastAsia="楷体_GB2312" w:cs="Times New Roman"/>
          <w:b/>
          <w:bCs w:val="0"/>
          <w:highlight w:val="none"/>
        </w:rPr>
        <w:t>（一）总体目标</w:t>
      </w:r>
    </w:p>
    <w:p w14:paraId="429B7F88">
      <w:pPr>
        <w:pageBreakBefore w:val="0"/>
        <w:kinsoku/>
        <w:wordWrap/>
        <w:overflowPunct/>
        <w:topLinePunct w:val="0"/>
        <w:autoSpaceDE/>
        <w:autoSpaceDN/>
        <w:bidi w:val="0"/>
        <w:spacing w:line="560" w:lineRule="exact"/>
        <w:ind w:left="0" w:leftChars="0" w:right="0" w:rightChars="0" w:firstLine="640"/>
        <w:rPr>
          <w:rFonts w:eastAsia="仿宋_GB2312" w:cs="Times New Roman"/>
          <w:highlight w:val="none"/>
        </w:rPr>
      </w:pPr>
      <w:r>
        <w:rPr>
          <w:rFonts w:hint="default" w:eastAsia="仿宋_GB2312" w:cs="Times New Roman"/>
          <w:highlight w:val="none"/>
        </w:rPr>
        <w:t>牢固树立生态文明观，不断提高百姓生态文明意识，推进生态文明建设，制定严格管理标准，空气优良天数完成上级下达目标要求，地表水考核断面水质稳定达到Ⅲ类水质，饮用水水源地水质优良比例达100%，城镇生活垃圾无害化处理率保持100%，持续改善生态环境和人居生活环境。构建</w:t>
      </w:r>
      <w:r>
        <w:rPr>
          <w:rFonts w:hint="eastAsia" w:eastAsia="仿宋_GB2312" w:cs="Times New Roman"/>
          <w:highlight w:val="none"/>
          <w:lang w:eastAsia="zh-CN"/>
        </w:rPr>
        <w:t>“</w:t>
      </w:r>
      <w:r>
        <w:rPr>
          <w:rFonts w:hint="default" w:eastAsia="仿宋_GB2312" w:cs="Times New Roman"/>
          <w:highlight w:val="none"/>
        </w:rPr>
        <w:t>生态制度、生态环境、生态空间、生态经济、生态生活、生态文化</w:t>
      </w:r>
      <w:r>
        <w:rPr>
          <w:rFonts w:hint="eastAsia" w:eastAsia="仿宋_GB2312" w:cs="Times New Roman"/>
          <w:highlight w:val="none"/>
          <w:lang w:eastAsia="zh-CN"/>
        </w:rPr>
        <w:t>”</w:t>
      </w:r>
      <w:r>
        <w:rPr>
          <w:rFonts w:hint="default" w:eastAsia="仿宋_GB2312" w:cs="Times New Roman"/>
          <w:highlight w:val="none"/>
        </w:rPr>
        <w:t>六大体系，建设生态安全和谐、经济绿色低碳、生活和谐幸福</w:t>
      </w:r>
      <w:r>
        <w:rPr>
          <w:rFonts w:hint="default" w:eastAsia="仿宋_GB2312" w:cs="Times New Roman"/>
          <w:highlight w:val="none"/>
          <w:lang w:eastAsia="zh-CN"/>
        </w:rPr>
        <w:t>的</w:t>
      </w:r>
      <w:r>
        <w:rPr>
          <w:rFonts w:hint="eastAsia" w:eastAsia="仿宋_GB2312" w:cs="Times New Roman"/>
          <w:highlight w:val="none"/>
          <w:lang w:eastAsia="zh-CN"/>
        </w:rPr>
        <w:t>生态</w:t>
      </w:r>
      <w:r>
        <w:rPr>
          <w:rFonts w:hint="default" w:eastAsia="仿宋_GB2312" w:cs="Times New Roman"/>
          <w:highlight w:val="none"/>
          <w:lang w:eastAsia="zh-CN"/>
        </w:rPr>
        <w:t>柳江</w:t>
      </w:r>
      <w:r>
        <w:rPr>
          <w:rFonts w:hint="default" w:eastAsia="仿宋_GB2312" w:cs="Times New Roman"/>
          <w:highlight w:val="none"/>
        </w:rPr>
        <w:t>区</w:t>
      </w:r>
      <w:r>
        <w:rPr>
          <w:rFonts w:hint="default" w:eastAsia="仿宋_GB2312" w:cs="Times New Roman"/>
          <w:highlight w:val="none"/>
          <w:lang w:eastAsia="zh-CN"/>
        </w:rPr>
        <w:t>。</w:t>
      </w:r>
      <w:r>
        <w:rPr>
          <w:rFonts w:hint="default" w:eastAsia="仿宋_GB2312" w:cs="Times New Roman"/>
          <w:highlight w:val="none"/>
        </w:rPr>
        <w:t>至202</w:t>
      </w:r>
      <w:r>
        <w:rPr>
          <w:rFonts w:hint="eastAsia" w:eastAsia="仿宋_GB2312" w:cs="Times New Roman"/>
          <w:highlight w:val="none"/>
          <w:lang w:val="en-US" w:eastAsia="zh-CN"/>
        </w:rPr>
        <w:t>7</w:t>
      </w:r>
      <w:r>
        <w:rPr>
          <w:rFonts w:hint="default" w:eastAsia="仿宋_GB2312" w:cs="Times New Roman"/>
          <w:highlight w:val="none"/>
        </w:rPr>
        <w:t>年，全面达到国家生态文明建设示范市各项指标要求。至2030年，生态文明建设水平明显提升，国家生态文明建设示范市创建成效显著</w:t>
      </w:r>
      <w:r>
        <w:rPr>
          <w:rFonts w:eastAsia="仿宋_GB2312" w:cs="Times New Roman"/>
          <w:highlight w:val="none"/>
        </w:rPr>
        <w:t>。</w:t>
      </w:r>
    </w:p>
    <w:p w14:paraId="0A7A2209">
      <w:pPr>
        <w:pStyle w:val="9"/>
        <w:pageBreakBefore w:val="0"/>
        <w:kinsoku/>
        <w:wordWrap/>
        <w:overflowPunct/>
        <w:topLinePunct w:val="0"/>
        <w:autoSpaceDE/>
        <w:autoSpaceDN/>
        <w:bidi w:val="0"/>
        <w:spacing w:line="560" w:lineRule="exact"/>
        <w:ind w:left="0" w:leftChars="0" w:right="0" w:rightChars="0" w:firstLine="640"/>
        <w:rPr>
          <w:rFonts w:eastAsia="楷体_GB2312" w:cs="Times New Roman"/>
          <w:b/>
          <w:bCs w:val="0"/>
          <w:highlight w:val="none"/>
        </w:rPr>
      </w:pPr>
      <w:r>
        <w:rPr>
          <w:rFonts w:eastAsia="楷体_GB2312" w:cs="Times New Roman"/>
          <w:b/>
          <w:bCs w:val="0"/>
          <w:highlight w:val="none"/>
        </w:rPr>
        <w:t>（二）阶段目标</w:t>
      </w:r>
    </w:p>
    <w:p w14:paraId="5CBE916B">
      <w:pPr>
        <w:pageBreakBefore w:val="0"/>
        <w:kinsoku/>
        <w:wordWrap/>
        <w:overflowPunct/>
        <w:topLinePunct w:val="0"/>
        <w:autoSpaceDE/>
        <w:autoSpaceDN/>
        <w:bidi w:val="0"/>
        <w:spacing w:line="560" w:lineRule="exact"/>
        <w:ind w:left="0" w:leftChars="0" w:right="0" w:rightChars="0" w:firstLine="640"/>
        <w:rPr>
          <w:rFonts w:eastAsia="仿宋_GB2312" w:cs="Times New Roman"/>
          <w:highlight w:val="none"/>
        </w:rPr>
      </w:pPr>
      <w:r>
        <w:rPr>
          <w:rFonts w:eastAsia="仿宋_GB2312" w:cs="Times New Roman"/>
          <w:highlight w:val="none"/>
        </w:rPr>
        <w:t>1.</w:t>
      </w:r>
      <w:r>
        <w:rPr>
          <w:rFonts w:hint="default" w:eastAsia="仿宋_GB2312" w:cs="Times New Roman"/>
          <w:highlight w:val="none"/>
          <w:lang w:eastAsia="zh-CN"/>
        </w:rPr>
        <w:t>创建期</w:t>
      </w:r>
      <w:r>
        <w:rPr>
          <w:rFonts w:hint="default" w:eastAsia="仿宋_GB2312" w:cs="Times New Roman"/>
          <w:highlight w:val="none"/>
        </w:rPr>
        <w:t>（20</w:t>
      </w:r>
      <w:r>
        <w:rPr>
          <w:rFonts w:hint="default" w:eastAsia="仿宋_GB2312" w:cs="Times New Roman"/>
          <w:highlight w:val="none"/>
          <w:lang w:val="en-US" w:eastAsia="zh-CN"/>
        </w:rPr>
        <w:t>23</w:t>
      </w:r>
      <w:r>
        <w:rPr>
          <w:rFonts w:hint="default" w:eastAsia="仿宋_GB2312" w:cs="Times New Roman"/>
          <w:highlight w:val="none"/>
        </w:rPr>
        <w:t>-202</w:t>
      </w:r>
      <w:r>
        <w:rPr>
          <w:rFonts w:hint="default" w:eastAsia="仿宋_GB2312" w:cs="Times New Roman"/>
          <w:highlight w:val="none"/>
          <w:lang w:val="en-US" w:eastAsia="zh-CN"/>
        </w:rPr>
        <w:t>7</w:t>
      </w:r>
      <w:r>
        <w:rPr>
          <w:rFonts w:hint="default" w:eastAsia="仿宋_GB2312" w:cs="Times New Roman"/>
          <w:highlight w:val="none"/>
        </w:rPr>
        <w:t>年）</w:t>
      </w:r>
    </w:p>
    <w:p w14:paraId="738F3CEC">
      <w:pPr>
        <w:pageBreakBefore w:val="0"/>
        <w:kinsoku/>
        <w:wordWrap/>
        <w:overflowPunct/>
        <w:topLinePunct w:val="0"/>
        <w:autoSpaceDE/>
        <w:autoSpaceDN/>
        <w:bidi w:val="0"/>
        <w:adjustRightInd w:val="0"/>
        <w:snapToGrid w:val="0"/>
        <w:spacing w:line="560" w:lineRule="exact"/>
        <w:ind w:left="0" w:leftChars="0" w:right="0" w:rightChars="0" w:firstLine="640"/>
        <w:rPr>
          <w:rFonts w:eastAsia="仿宋_GB2312" w:cs="Times New Roman"/>
          <w:highlight w:val="none"/>
        </w:rPr>
      </w:pPr>
      <w:r>
        <w:rPr>
          <w:rFonts w:hint="default" w:eastAsia="仿宋_GB2312" w:cs="Times New Roman"/>
          <w:highlight w:val="none"/>
        </w:rPr>
        <w:t>全力创建阶段。完成《</w:t>
      </w:r>
      <w:r>
        <w:rPr>
          <w:rFonts w:hint="eastAsia" w:eastAsia="仿宋_GB2312" w:cs="Times New Roman"/>
          <w:highlight w:val="none"/>
          <w:lang w:eastAsia="zh-CN"/>
        </w:rPr>
        <w:t>柳江区</w:t>
      </w:r>
      <w:r>
        <w:rPr>
          <w:rFonts w:hint="default" w:eastAsia="仿宋_GB2312" w:cs="Times New Roman"/>
          <w:highlight w:val="none"/>
        </w:rPr>
        <w:t>国家生态文明建设示范区规划</w:t>
      </w:r>
      <w:r>
        <w:rPr>
          <w:rFonts w:hint="eastAsia" w:eastAsia="仿宋_GB2312" w:cs="Times New Roman"/>
          <w:highlight w:val="none"/>
          <w:lang w:eastAsia="zh-CN"/>
        </w:rPr>
        <w:t>（</w:t>
      </w:r>
      <w:r>
        <w:rPr>
          <w:rFonts w:hint="eastAsia" w:eastAsia="仿宋_GB2312" w:cs="Times New Roman"/>
          <w:highlight w:val="none"/>
          <w:lang w:val="en-US" w:eastAsia="zh-CN"/>
        </w:rPr>
        <w:t>2023-2030年</w:t>
      </w:r>
      <w:r>
        <w:rPr>
          <w:rFonts w:hint="eastAsia" w:eastAsia="仿宋_GB2312" w:cs="Times New Roman"/>
          <w:highlight w:val="none"/>
          <w:lang w:eastAsia="zh-CN"/>
        </w:rPr>
        <w:t>）</w:t>
      </w:r>
      <w:r>
        <w:rPr>
          <w:rFonts w:hint="default" w:eastAsia="仿宋_GB2312" w:cs="Times New Roman"/>
          <w:highlight w:val="none"/>
        </w:rPr>
        <w:t>》编制工作，全面推行河长制、湖长制，健全党政实绩考核、自然资源资产离任审计、生态环境损害责任追究等生态文明制度体系建设工作；调整、优化能源结构和产业结构，大力发展绿色农业、新型工业和全域旅游，提升经济发展质量；巩固污染防治攻坚战成果，提升水、气、声、土等生态环境质量，倡导绿色低碳生活方式，完善城镇污水处理厂、农村污水处理站、乡镇垃圾中转站、农村卫生厕所、农村安全饮水工程等环境基础设施建设，践行绿色生态生活；加大生态文明宣传和教育力度，培育生态文明观。以</w:t>
      </w:r>
      <w:r>
        <w:rPr>
          <w:rFonts w:hint="eastAsia" w:eastAsia="仿宋_GB2312" w:cs="Times New Roman"/>
          <w:highlight w:val="none"/>
          <w:lang w:eastAsia="zh-CN"/>
        </w:rPr>
        <w:t>《</w:t>
      </w:r>
      <w:r>
        <w:rPr>
          <w:rFonts w:hint="default" w:eastAsia="仿宋_GB2312" w:cs="Times New Roman"/>
          <w:highlight w:val="none"/>
        </w:rPr>
        <w:t>国家生态文明建设示范区建设指标</w:t>
      </w:r>
      <w:r>
        <w:rPr>
          <w:rFonts w:hint="eastAsia" w:eastAsia="仿宋_GB2312" w:cs="Times New Roman"/>
          <w:highlight w:val="none"/>
          <w:lang w:eastAsia="zh-CN"/>
        </w:rPr>
        <w:t>》</w:t>
      </w:r>
      <w:r>
        <w:rPr>
          <w:rFonts w:hint="default" w:eastAsia="仿宋_GB2312" w:cs="Times New Roman"/>
          <w:highlight w:val="none"/>
        </w:rPr>
        <w:t>（2021年修订版）为标准，重点推进生态制度、生态环境、生态经济、生态空间、生态生活、生态文明建设。到202</w:t>
      </w:r>
      <w:r>
        <w:rPr>
          <w:rFonts w:hint="eastAsia" w:eastAsia="仿宋_GB2312" w:cs="Times New Roman"/>
          <w:highlight w:val="none"/>
          <w:lang w:val="en-US" w:eastAsia="zh-CN"/>
        </w:rPr>
        <w:t>7</w:t>
      </w:r>
      <w:r>
        <w:rPr>
          <w:rFonts w:hint="default" w:eastAsia="仿宋_GB2312" w:cs="Times New Roman"/>
          <w:highlight w:val="none"/>
        </w:rPr>
        <w:t>年，全面达到《国家生态文明建设示范</w:t>
      </w:r>
      <w:r>
        <w:rPr>
          <w:rFonts w:hint="eastAsia" w:eastAsia="仿宋_GB2312" w:cs="Times New Roman"/>
          <w:highlight w:val="none"/>
          <w:lang w:eastAsia="zh-CN"/>
        </w:rPr>
        <w:t>区</w:t>
      </w:r>
      <w:r>
        <w:rPr>
          <w:rFonts w:hint="default" w:eastAsia="仿宋_GB2312" w:cs="Times New Roman"/>
          <w:highlight w:val="none"/>
        </w:rPr>
        <w:t>建设指标》考核要求，</w:t>
      </w:r>
      <w:r>
        <w:rPr>
          <w:rFonts w:hint="eastAsia" w:eastAsia="仿宋_GB2312" w:cs="Times New Roman"/>
          <w:highlight w:val="none"/>
          <w:lang w:eastAsia="zh-CN"/>
        </w:rPr>
        <w:t>力争成功创建“国家生态文明建设示范区”</w:t>
      </w:r>
      <w:r>
        <w:rPr>
          <w:rFonts w:eastAsia="仿宋_GB2312" w:cs="Times New Roman"/>
          <w:highlight w:val="none"/>
        </w:rPr>
        <w:t>。</w:t>
      </w:r>
    </w:p>
    <w:p w14:paraId="7C9AD65A">
      <w:pPr>
        <w:pageBreakBefore w:val="0"/>
        <w:kinsoku/>
        <w:wordWrap/>
        <w:overflowPunct/>
        <w:topLinePunct w:val="0"/>
        <w:autoSpaceDE/>
        <w:autoSpaceDN/>
        <w:bidi w:val="0"/>
        <w:spacing w:line="560" w:lineRule="exact"/>
        <w:ind w:left="0" w:leftChars="0" w:right="0" w:rightChars="0" w:firstLine="640"/>
        <w:rPr>
          <w:rFonts w:eastAsia="仿宋_GB2312" w:cs="Times New Roman"/>
          <w:highlight w:val="none"/>
        </w:rPr>
      </w:pPr>
      <w:r>
        <w:rPr>
          <w:rFonts w:eastAsia="仿宋_GB2312" w:cs="Times New Roman"/>
          <w:highlight w:val="none"/>
        </w:rPr>
        <w:t>2.</w:t>
      </w:r>
      <w:r>
        <w:rPr>
          <w:rFonts w:hint="default" w:eastAsia="仿宋_GB2312" w:cs="Times New Roman"/>
          <w:highlight w:val="none"/>
          <w:lang w:eastAsia="zh-CN"/>
        </w:rPr>
        <w:t>巩固提升期</w:t>
      </w:r>
      <w:r>
        <w:rPr>
          <w:rFonts w:hint="default" w:eastAsia="仿宋_GB2312" w:cs="Times New Roman"/>
          <w:highlight w:val="none"/>
        </w:rPr>
        <w:t>（20</w:t>
      </w:r>
      <w:r>
        <w:rPr>
          <w:rFonts w:hint="default" w:eastAsia="仿宋_GB2312" w:cs="Times New Roman"/>
          <w:highlight w:val="none"/>
          <w:lang w:val="en-US" w:eastAsia="zh-CN"/>
        </w:rPr>
        <w:t>28</w:t>
      </w:r>
      <w:r>
        <w:rPr>
          <w:rFonts w:hint="default" w:eastAsia="仿宋_GB2312" w:cs="Times New Roman"/>
          <w:highlight w:val="none"/>
        </w:rPr>
        <w:t>-20</w:t>
      </w:r>
      <w:r>
        <w:rPr>
          <w:rFonts w:hint="default" w:eastAsia="仿宋_GB2312" w:cs="Times New Roman"/>
          <w:highlight w:val="none"/>
          <w:lang w:val="en-US" w:eastAsia="zh-CN"/>
        </w:rPr>
        <w:t>30</w:t>
      </w:r>
      <w:r>
        <w:rPr>
          <w:rFonts w:hint="default" w:eastAsia="仿宋_GB2312" w:cs="Times New Roman"/>
          <w:highlight w:val="none"/>
        </w:rPr>
        <w:t>年</w:t>
      </w:r>
      <w:r>
        <w:rPr>
          <w:rFonts w:eastAsia="仿宋_GB2312" w:cs="Times New Roman"/>
          <w:highlight w:val="none"/>
        </w:rPr>
        <w:t>）</w:t>
      </w:r>
    </w:p>
    <w:p w14:paraId="011764DA">
      <w:pPr>
        <w:pageBreakBefore w:val="0"/>
        <w:kinsoku/>
        <w:wordWrap/>
        <w:overflowPunct/>
        <w:topLinePunct w:val="0"/>
        <w:autoSpaceDE/>
        <w:autoSpaceDN/>
        <w:bidi w:val="0"/>
        <w:spacing w:line="560" w:lineRule="exact"/>
        <w:ind w:left="0" w:leftChars="0" w:right="0" w:rightChars="0" w:firstLine="640"/>
        <w:rPr>
          <w:rFonts w:eastAsia="仿宋_GB2312" w:cs="Times New Roman"/>
          <w:color w:val="0070C0"/>
          <w:highlight w:val="none"/>
        </w:rPr>
      </w:pPr>
      <w:r>
        <w:rPr>
          <w:rFonts w:hint="eastAsia" w:eastAsia="仿宋_GB2312" w:cs="Times New Roman"/>
          <w:highlight w:val="none"/>
        </w:rPr>
        <w:t>巩固提升阶段。继续优化提升“国家生态文明建设示范区”各项指标水平，进一步提高创建质量，巩固生态文明示范创建在各领域取得的成果，生态文明建设得到纵深推进，全面建成“国家生态文明建设示范区”</w:t>
      </w:r>
      <w:r>
        <w:rPr>
          <w:rFonts w:eastAsia="仿宋_GB2312" w:cs="Times New Roman"/>
          <w:highlight w:val="none"/>
        </w:rPr>
        <w:t>。</w:t>
      </w:r>
    </w:p>
    <w:p w14:paraId="47DCD661">
      <w:pPr>
        <w:pStyle w:val="8"/>
        <w:pageBreakBefore w:val="0"/>
        <w:kinsoku/>
        <w:wordWrap/>
        <w:overflowPunct/>
        <w:topLinePunct w:val="0"/>
        <w:autoSpaceDE/>
        <w:autoSpaceDN/>
        <w:bidi w:val="0"/>
        <w:spacing w:line="560" w:lineRule="exact"/>
        <w:ind w:left="0" w:leftChars="0" w:right="0" w:rightChars="0" w:firstLine="640"/>
        <w:rPr>
          <w:rFonts w:hint="eastAsia" w:eastAsia="黑体"/>
          <w:b w:val="0"/>
          <w:bCs w:val="0"/>
          <w:highlight w:val="none"/>
          <w:lang w:eastAsia="zh-CN"/>
        </w:rPr>
      </w:pPr>
      <w:bookmarkStart w:id="60" w:name="_Toc9111"/>
      <w:r>
        <w:rPr>
          <w:rFonts w:hint="eastAsia"/>
          <w:b w:val="0"/>
          <w:bCs w:val="0"/>
          <w:highlight w:val="none"/>
          <w:lang w:eastAsia="zh-CN"/>
        </w:rPr>
        <w:t>六</w:t>
      </w:r>
      <w:r>
        <w:rPr>
          <w:rFonts w:hint="eastAsia"/>
          <w:b w:val="0"/>
          <w:bCs w:val="0"/>
          <w:highlight w:val="none"/>
        </w:rPr>
        <w:t>、</w:t>
      </w:r>
      <w:r>
        <w:rPr>
          <w:rFonts w:hint="eastAsia"/>
          <w:b w:val="0"/>
          <w:bCs w:val="0"/>
          <w:highlight w:val="none"/>
          <w:lang w:eastAsia="zh-CN"/>
        </w:rPr>
        <w:t>建设指标</w:t>
      </w:r>
      <w:bookmarkEnd w:id="60"/>
    </w:p>
    <w:p w14:paraId="7BCC0983">
      <w:pPr>
        <w:pageBreakBefore w:val="0"/>
        <w:kinsoku/>
        <w:wordWrap/>
        <w:overflowPunct/>
        <w:topLinePunct w:val="0"/>
        <w:autoSpaceDE/>
        <w:autoSpaceDN/>
        <w:bidi w:val="0"/>
        <w:spacing w:line="560" w:lineRule="exact"/>
        <w:ind w:left="0" w:leftChars="0" w:right="0" w:rightChars="0" w:firstLine="640"/>
        <w:rPr>
          <w:rFonts w:eastAsia="仿宋_GB2312" w:cs="Times New Roman"/>
          <w:highlight w:val="none"/>
        </w:rPr>
        <w:sectPr>
          <w:pgSz w:w="11905" w:h="16838"/>
          <w:pgMar w:top="2098" w:right="1474" w:bottom="1984" w:left="1587" w:header="1417" w:footer="1304" w:gutter="0"/>
          <w:pgNumType w:fmt="decimal"/>
          <w:cols w:space="0" w:num="1"/>
          <w:rtlGutter w:val="0"/>
          <w:docGrid w:type="linesAndChars" w:linePitch="439" w:charSpace="1433"/>
        </w:sectPr>
      </w:pPr>
      <w:r>
        <w:rPr>
          <w:rFonts w:hint="eastAsia" w:eastAsia="仿宋_GB2312" w:cs="Times New Roman"/>
          <w:highlight w:val="none"/>
        </w:rPr>
        <w:t>根据生态环境部印发的《国家生态文明建设示范区建设指标》（2021年修订版），</w:t>
      </w:r>
      <w:r>
        <w:rPr>
          <w:rFonts w:hint="eastAsia" w:eastAsia="仿宋_GB2312" w:cs="Times New Roman"/>
          <w:highlight w:val="none"/>
          <w:lang w:eastAsia="zh-CN"/>
        </w:rPr>
        <w:t>柳江区</w:t>
      </w:r>
      <w:r>
        <w:rPr>
          <w:rFonts w:hint="eastAsia" w:eastAsia="仿宋_GB2312" w:cs="Times New Roman"/>
          <w:highlight w:val="none"/>
        </w:rPr>
        <w:t>国家生态文明建设示范区建设指标体系从生态制度、生态安全、生态空间、生态经济、生态生活、生态文化六个方面共设置了35项建设指标，根据</w:t>
      </w:r>
      <w:r>
        <w:rPr>
          <w:rFonts w:hint="eastAsia" w:eastAsia="仿宋_GB2312" w:cs="Times New Roman"/>
          <w:highlight w:val="none"/>
          <w:lang w:eastAsia="zh-CN"/>
        </w:rPr>
        <w:t>柳江区</w:t>
      </w:r>
      <w:r>
        <w:rPr>
          <w:rFonts w:hint="eastAsia" w:eastAsia="仿宋_GB2312" w:cs="Times New Roman"/>
          <w:highlight w:val="none"/>
        </w:rPr>
        <w:t>实际情况，确定了考核指标目标值。国家生态文明建设示范区各项指标值、现状值、创建期末（20</w:t>
      </w:r>
      <w:r>
        <w:rPr>
          <w:rFonts w:hint="eastAsia" w:eastAsia="仿宋_GB2312" w:cs="Times New Roman"/>
          <w:highlight w:val="none"/>
          <w:lang w:val="en-US" w:eastAsia="zh-CN"/>
        </w:rPr>
        <w:t>27</w:t>
      </w:r>
      <w:r>
        <w:rPr>
          <w:rFonts w:hint="eastAsia" w:eastAsia="仿宋_GB2312" w:cs="Times New Roman"/>
          <w:highlight w:val="none"/>
        </w:rPr>
        <w:t>年）指标值和巩固提升期末（20</w:t>
      </w:r>
      <w:r>
        <w:rPr>
          <w:rFonts w:hint="eastAsia" w:eastAsia="仿宋_GB2312" w:cs="Times New Roman"/>
          <w:highlight w:val="none"/>
          <w:lang w:val="en-US" w:eastAsia="zh-CN"/>
        </w:rPr>
        <w:t>30</w:t>
      </w:r>
      <w:r>
        <w:rPr>
          <w:rFonts w:hint="eastAsia" w:eastAsia="仿宋_GB2312" w:cs="Times New Roman"/>
          <w:highlight w:val="none"/>
        </w:rPr>
        <w:t>年）指标值，详见</w:t>
      </w:r>
      <w:r>
        <w:rPr>
          <w:rFonts w:hint="eastAsia" w:eastAsia="仿宋_GB2312" w:cs="Times New Roman"/>
          <w:highlight w:val="none"/>
          <w:lang w:eastAsia="zh-CN"/>
        </w:rPr>
        <w:t>下</w:t>
      </w:r>
      <w:r>
        <w:rPr>
          <w:rFonts w:hint="eastAsia" w:eastAsia="仿宋_GB2312" w:cs="Times New Roman"/>
          <w:highlight w:val="none"/>
        </w:rPr>
        <w:t>表</w:t>
      </w:r>
      <w:r>
        <w:rPr>
          <w:rFonts w:eastAsia="仿宋_GB2312" w:cs="Times New Roman"/>
          <w:highlight w:val="none"/>
        </w:rPr>
        <w:t>。</w:t>
      </w:r>
    </w:p>
    <w:p w14:paraId="4B339807">
      <w:pPr>
        <w:pageBreakBefore w:val="0"/>
        <w:kinsoku/>
        <w:wordWrap/>
        <w:overflowPunct/>
        <w:topLinePunct w:val="0"/>
        <w:autoSpaceDE/>
        <w:autoSpaceDN/>
        <w:bidi w:val="0"/>
        <w:ind w:left="0" w:leftChars="0" w:right="0" w:rightChars="0" w:firstLine="640"/>
        <w:jc w:val="center"/>
        <w:rPr>
          <w:highlight w:val="none"/>
        </w:rPr>
      </w:pPr>
      <w:r>
        <w:rPr>
          <w:rFonts w:hint="eastAsia" w:ascii="方正小标宋简体" w:hAnsi="方正小标宋简体" w:eastAsia="方正小标宋简体" w:cs="方正小标宋简体"/>
          <w:bCs/>
          <w:szCs w:val="32"/>
          <w:highlight w:val="none"/>
        </w:rPr>
        <w:t>表</w:t>
      </w:r>
      <w:r>
        <w:rPr>
          <w:rFonts w:eastAsia="方正小标宋简体" w:cs="Times New Roman"/>
          <w:bCs/>
          <w:szCs w:val="32"/>
          <w:highlight w:val="none"/>
        </w:rPr>
        <w:t>1</w:t>
      </w:r>
      <w:r>
        <w:rPr>
          <w:rFonts w:hint="eastAsia" w:ascii="方正小标宋简体" w:hAnsi="方正小标宋简体" w:eastAsia="方正小标宋简体" w:cs="方正小标宋简体"/>
          <w:bCs/>
          <w:szCs w:val="32"/>
          <w:highlight w:val="none"/>
        </w:rPr>
        <w:t xml:space="preserve">   </w:t>
      </w:r>
      <w:r>
        <w:rPr>
          <w:rFonts w:hint="eastAsia" w:ascii="方正小标宋简体" w:hAnsi="方正小标宋简体" w:eastAsia="方正小标宋简体" w:cs="方正小标宋简体"/>
          <w:bCs/>
          <w:szCs w:val="32"/>
          <w:highlight w:val="none"/>
          <w:lang w:eastAsia="zh-CN"/>
        </w:rPr>
        <w:t>柳江区</w:t>
      </w:r>
      <w:r>
        <w:rPr>
          <w:rFonts w:hint="eastAsia" w:ascii="方正小标宋简体" w:hAnsi="方正小标宋简体" w:eastAsia="方正小标宋简体" w:cs="方正小标宋简体"/>
          <w:bCs/>
          <w:szCs w:val="32"/>
          <w:highlight w:val="none"/>
        </w:rPr>
        <w:t>国家生态文明建设示范</w:t>
      </w:r>
      <w:r>
        <w:rPr>
          <w:rFonts w:hint="eastAsia" w:ascii="方正小标宋简体" w:hAnsi="方正小标宋简体" w:eastAsia="方正小标宋简体" w:cs="方正小标宋简体"/>
          <w:bCs/>
          <w:szCs w:val="32"/>
          <w:highlight w:val="none"/>
          <w:lang w:eastAsia="zh-CN"/>
        </w:rPr>
        <w:t>区</w:t>
      </w:r>
      <w:r>
        <w:rPr>
          <w:rFonts w:hint="eastAsia" w:ascii="方正小标宋简体" w:hAnsi="方正小标宋简体" w:eastAsia="方正小标宋简体" w:cs="方正小标宋简体"/>
          <w:bCs/>
          <w:szCs w:val="32"/>
          <w:highlight w:val="none"/>
        </w:rPr>
        <w:t>指标体系</w:t>
      </w:r>
    </w:p>
    <w:tbl>
      <w:tblPr>
        <w:tblStyle w:val="27"/>
        <w:tblW w:w="143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7"/>
        <w:gridCol w:w="780"/>
        <w:gridCol w:w="630"/>
        <w:gridCol w:w="2702"/>
        <w:gridCol w:w="630"/>
        <w:gridCol w:w="1245"/>
        <w:gridCol w:w="1335"/>
        <w:gridCol w:w="660"/>
        <w:gridCol w:w="1230"/>
        <w:gridCol w:w="1275"/>
        <w:gridCol w:w="945"/>
        <w:gridCol w:w="2373"/>
      </w:tblGrid>
      <w:tr w14:paraId="1B5E3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Header/>
          <w:jc w:val="center"/>
        </w:trPr>
        <w:tc>
          <w:tcPr>
            <w:tcW w:w="557" w:type="dxa"/>
            <w:noWrap w:val="0"/>
            <w:tcMar>
              <w:top w:w="15" w:type="dxa"/>
              <w:left w:w="15" w:type="dxa"/>
              <w:right w:w="15" w:type="dxa"/>
            </w:tcMar>
            <w:vAlign w:val="center"/>
          </w:tcPr>
          <w:p w14:paraId="490833BA">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b/>
                <w:sz w:val="24"/>
                <w:szCs w:val="24"/>
                <w:highlight w:val="none"/>
              </w:rPr>
            </w:pPr>
            <w:r>
              <w:rPr>
                <w:rFonts w:ascii="Times New Roman" w:hAnsi="Times New Roman" w:eastAsia="仿宋_GB2312"/>
                <w:b/>
                <w:sz w:val="24"/>
                <w:szCs w:val="24"/>
                <w:highlight w:val="none"/>
              </w:rPr>
              <w:t>领域</w:t>
            </w:r>
          </w:p>
        </w:tc>
        <w:tc>
          <w:tcPr>
            <w:tcW w:w="780" w:type="dxa"/>
            <w:noWrap w:val="0"/>
            <w:tcMar>
              <w:top w:w="15" w:type="dxa"/>
              <w:left w:w="15" w:type="dxa"/>
              <w:right w:w="15" w:type="dxa"/>
            </w:tcMar>
            <w:vAlign w:val="center"/>
          </w:tcPr>
          <w:p w14:paraId="230F051A">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b/>
                <w:sz w:val="24"/>
                <w:szCs w:val="24"/>
                <w:highlight w:val="none"/>
              </w:rPr>
            </w:pPr>
            <w:r>
              <w:rPr>
                <w:rFonts w:ascii="Times New Roman" w:hAnsi="Times New Roman" w:eastAsia="仿宋_GB2312"/>
                <w:b/>
                <w:sz w:val="24"/>
                <w:szCs w:val="24"/>
                <w:highlight w:val="none"/>
              </w:rPr>
              <w:t>任务</w:t>
            </w:r>
          </w:p>
        </w:tc>
        <w:tc>
          <w:tcPr>
            <w:tcW w:w="630" w:type="dxa"/>
            <w:noWrap w:val="0"/>
            <w:tcMar>
              <w:top w:w="15" w:type="dxa"/>
              <w:left w:w="15" w:type="dxa"/>
              <w:right w:w="15" w:type="dxa"/>
            </w:tcMar>
            <w:vAlign w:val="center"/>
          </w:tcPr>
          <w:p w14:paraId="7574F251">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b/>
                <w:sz w:val="24"/>
                <w:szCs w:val="24"/>
                <w:highlight w:val="none"/>
              </w:rPr>
            </w:pPr>
            <w:r>
              <w:rPr>
                <w:rFonts w:ascii="Times New Roman" w:hAnsi="Times New Roman" w:eastAsia="仿宋_GB2312"/>
                <w:b/>
                <w:sz w:val="24"/>
                <w:szCs w:val="24"/>
                <w:highlight w:val="none"/>
              </w:rPr>
              <w:t>序号</w:t>
            </w:r>
          </w:p>
        </w:tc>
        <w:tc>
          <w:tcPr>
            <w:tcW w:w="2702" w:type="dxa"/>
            <w:noWrap w:val="0"/>
            <w:tcMar>
              <w:top w:w="15" w:type="dxa"/>
              <w:left w:w="15" w:type="dxa"/>
              <w:right w:w="15" w:type="dxa"/>
            </w:tcMar>
            <w:vAlign w:val="center"/>
          </w:tcPr>
          <w:p w14:paraId="77FF55E6">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b/>
                <w:sz w:val="24"/>
                <w:szCs w:val="24"/>
                <w:highlight w:val="none"/>
              </w:rPr>
            </w:pPr>
            <w:r>
              <w:rPr>
                <w:rFonts w:ascii="Times New Roman" w:hAnsi="Times New Roman" w:eastAsia="仿宋_GB2312"/>
                <w:b/>
                <w:sz w:val="24"/>
                <w:szCs w:val="24"/>
                <w:highlight w:val="none"/>
              </w:rPr>
              <w:t>指标名称</w:t>
            </w:r>
          </w:p>
        </w:tc>
        <w:tc>
          <w:tcPr>
            <w:tcW w:w="630" w:type="dxa"/>
            <w:noWrap w:val="0"/>
            <w:tcMar>
              <w:top w:w="15" w:type="dxa"/>
              <w:left w:w="15" w:type="dxa"/>
              <w:right w:w="15" w:type="dxa"/>
            </w:tcMar>
            <w:vAlign w:val="center"/>
          </w:tcPr>
          <w:p w14:paraId="151468AD">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b/>
                <w:sz w:val="24"/>
                <w:szCs w:val="24"/>
                <w:highlight w:val="none"/>
              </w:rPr>
            </w:pPr>
            <w:r>
              <w:rPr>
                <w:rFonts w:ascii="Times New Roman" w:hAnsi="Times New Roman" w:eastAsia="仿宋_GB2312"/>
                <w:b/>
                <w:sz w:val="24"/>
                <w:szCs w:val="24"/>
                <w:highlight w:val="none"/>
              </w:rPr>
              <w:t>单位</w:t>
            </w:r>
          </w:p>
        </w:tc>
        <w:tc>
          <w:tcPr>
            <w:tcW w:w="1245" w:type="dxa"/>
            <w:noWrap w:val="0"/>
            <w:tcMar>
              <w:top w:w="15" w:type="dxa"/>
              <w:left w:w="15" w:type="dxa"/>
              <w:right w:w="15" w:type="dxa"/>
            </w:tcMar>
            <w:vAlign w:val="center"/>
          </w:tcPr>
          <w:p w14:paraId="35E7952B">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b/>
                <w:sz w:val="24"/>
                <w:szCs w:val="24"/>
                <w:highlight w:val="none"/>
              </w:rPr>
            </w:pPr>
            <w:r>
              <w:rPr>
                <w:rFonts w:ascii="Times New Roman" w:hAnsi="Times New Roman" w:eastAsia="仿宋_GB2312"/>
                <w:b/>
                <w:sz w:val="24"/>
                <w:szCs w:val="24"/>
                <w:highlight w:val="none"/>
              </w:rPr>
              <w:t>指标值</w:t>
            </w:r>
          </w:p>
        </w:tc>
        <w:tc>
          <w:tcPr>
            <w:tcW w:w="1335" w:type="dxa"/>
            <w:noWrap w:val="0"/>
            <w:tcMar>
              <w:top w:w="15" w:type="dxa"/>
              <w:left w:w="15" w:type="dxa"/>
              <w:right w:w="15" w:type="dxa"/>
            </w:tcMar>
            <w:vAlign w:val="center"/>
          </w:tcPr>
          <w:p w14:paraId="4F58951D">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b/>
                <w:sz w:val="24"/>
                <w:szCs w:val="24"/>
                <w:highlight w:val="none"/>
              </w:rPr>
            </w:pPr>
            <w:r>
              <w:rPr>
                <w:rFonts w:ascii="Times New Roman" w:hAnsi="Times New Roman" w:eastAsia="仿宋_GB2312"/>
                <w:b/>
                <w:sz w:val="24"/>
                <w:szCs w:val="24"/>
                <w:highlight w:val="none"/>
              </w:rPr>
              <w:t>202</w:t>
            </w:r>
            <w:r>
              <w:rPr>
                <w:rFonts w:hint="eastAsia" w:ascii="Times New Roman" w:hAnsi="Times New Roman" w:eastAsia="仿宋_GB2312"/>
                <w:b/>
                <w:sz w:val="24"/>
                <w:szCs w:val="24"/>
                <w:highlight w:val="none"/>
                <w:lang w:val="en-US" w:eastAsia="zh-CN"/>
              </w:rPr>
              <w:t>2</w:t>
            </w:r>
            <w:r>
              <w:rPr>
                <w:rFonts w:ascii="Times New Roman" w:hAnsi="Times New Roman" w:eastAsia="仿宋_GB2312"/>
                <w:b/>
                <w:sz w:val="24"/>
                <w:szCs w:val="24"/>
                <w:highlight w:val="none"/>
              </w:rPr>
              <w:t>年现状值</w:t>
            </w:r>
          </w:p>
        </w:tc>
        <w:tc>
          <w:tcPr>
            <w:tcW w:w="660" w:type="dxa"/>
            <w:noWrap w:val="0"/>
            <w:tcMar>
              <w:top w:w="15" w:type="dxa"/>
              <w:left w:w="15" w:type="dxa"/>
              <w:right w:w="15" w:type="dxa"/>
            </w:tcMar>
            <w:vAlign w:val="center"/>
          </w:tcPr>
          <w:p w14:paraId="23A429EA">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b/>
                <w:sz w:val="24"/>
                <w:szCs w:val="24"/>
                <w:highlight w:val="none"/>
              </w:rPr>
            </w:pPr>
            <w:r>
              <w:rPr>
                <w:rFonts w:ascii="Times New Roman" w:hAnsi="Times New Roman" w:eastAsia="仿宋_GB2312"/>
                <w:b/>
                <w:sz w:val="24"/>
                <w:szCs w:val="24"/>
                <w:highlight w:val="none"/>
              </w:rPr>
              <w:t>是否达标</w:t>
            </w:r>
          </w:p>
        </w:tc>
        <w:tc>
          <w:tcPr>
            <w:tcW w:w="1230" w:type="dxa"/>
            <w:noWrap w:val="0"/>
            <w:tcMar>
              <w:top w:w="15" w:type="dxa"/>
              <w:left w:w="15" w:type="dxa"/>
              <w:right w:w="15" w:type="dxa"/>
            </w:tcMar>
            <w:vAlign w:val="center"/>
          </w:tcPr>
          <w:p w14:paraId="22999CFF">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b/>
                <w:bCs/>
                <w:sz w:val="24"/>
                <w:szCs w:val="24"/>
                <w:highlight w:val="none"/>
              </w:rPr>
            </w:pPr>
            <w:r>
              <w:rPr>
                <w:rFonts w:ascii="Times New Roman" w:hAnsi="Times New Roman" w:eastAsia="仿宋_GB2312"/>
                <w:b/>
                <w:bCs/>
                <w:sz w:val="24"/>
                <w:szCs w:val="24"/>
                <w:highlight w:val="none"/>
              </w:rPr>
              <w:t>创建期末（202</w:t>
            </w:r>
            <w:r>
              <w:rPr>
                <w:rFonts w:hint="eastAsia" w:ascii="Times New Roman" w:hAnsi="Times New Roman" w:eastAsia="仿宋_GB2312"/>
                <w:b/>
                <w:bCs/>
                <w:sz w:val="24"/>
                <w:szCs w:val="24"/>
                <w:highlight w:val="none"/>
                <w:lang w:val="en-US" w:eastAsia="zh-CN"/>
              </w:rPr>
              <w:t>7</w:t>
            </w:r>
            <w:r>
              <w:rPr>
                <w:rFonts w:ascii="Times New Roman" w:hAnsi="Times New Roman" w:eastAsia="仿宋_GB2312"/>
                <w:b/>
                <w:bCs/>
                <w:sz w:val="24"/>
                <w:szCs w:val="24"/>
                <w:highlight w:val="none"/>
              </w:rPr>
              <w:t>年）</w:t>
            </w:r>
          </w:p>
          <w:p w14:paraId="326B0C2D">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b/>
                <w:sz w:val="24"/>
                <w:szCs w:val="24"/>
                <w:highlight w:val="none"/>
              </w:rPr>
            </w:pPr>
            <w:r>
              <w:rPr>
                <w:rFonts w:ascii="Times New Roman" w:hAnsi="Times New Roman" w:eastAsia="仿宋_GB2312"/>
                <w:b/>
                <w:bCs/>
                <w:sz w:val="24"/>
                <w:szCs w:val="24"/>
                <w:highlight w:val="none"/>
              </w:rPr>
              <w:t>指标值</w:t>
            </w:r>
          </w:p>
        </w:tc>
        <w:tc>
          <w:tcPr>
            <w:tcW w:w="1275" w:type="dxa"/>
            <w:noWrap w:val="0"/>
            <w:tcMar>
              <w:top w:w="15" w:type="dxa"/>
              <w:left w:w="15" w:type="dxa"/>
              <w:right w:w="15" w:type="dxa"/>
            </w:tcMar>
            <w:vAlign w:val="center"/>
          </w:tcPr>
          <w:p w14:paraId="485B7D2A">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b/>
                <w:sz w:val="24"/>
                <w:szCs w:val="24"/>
                <w:highlight w:val="none"/>
              </w:rPr>
            </w:pPr>
            <w:r>
              <w:rPr>
                <w:rFonts w:ascii="Times New Roman" w:hAnsi="Times New Roman" w:eastAsia="仿宋_GB2312"/>
                <w:b/>
                <w:bCs/>
                <w:sz w:val="24"/>
                <w:szCs w:val="24"/>
                <w:highlight w:val="none"/>
              </w:rPr>
              <w:t>巩固提升期末（20</w:t>
            </w:r>
            <w:r>
              <w:rPr>
                <w:rFonts w:hint="eastAsia" w:ascii="Times New Roman" w:hAnsi="Times New Roman" w:eastAsia="仿宋_GB2312"/>
                <w:b/>
                <w:bCs/>
                <w:sz w:val="24"/>
                <w:szCs w:val="24"/>
                <w:highlight w:val="none"/>
                <w:lang w:val="en-US" w:eastAsia="zh-CN"/>
              </w:rPr>
              <w:t>30</w:t>
            </w:r>
            <w:r>
              <w:rPr>
                <w:rFonts w:ascii="Times New Roman" w:hAnsi="Times New Roman" w:eastAsia="仿宋_GB2312"/>
                <w:b/>
                <w:bCs/>
                <w:sz w:val="24"/>
                <w:szCs w:val="24"/>
                <w:highlight w:val="none"/>
              </w:rPr>
              <w:t>年）指标值</w:t>
            </w:r>
          </w:p>
        </w:tc>
        <w:tc>
          <w:tcPr>
            <w:tcW w:w="945" w:type="dxa"/>
            <w:noWrap w:val="0"/>
            <w:tcMar>
              <w:top w:w="15" w:type="dxa"/>
              <w:left w:w="15" w:type="dxa"/>
              <w:right w:w="15" w:type="dxa"/>
            </w:tcMar>
            <w:vAlign w:val="center"/>
          </w:tcPr>
          <w:p w14:paraId="3494E745">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b/>
                <w:sz w:val="24"/>
                <w:szCs w:val="24"/>
                <w:highlight w:val="none"/>
              </w:rPr>
            </w:pPr>
            <w:r>
              <w:rPr>
                <w:rFonts w:ascii="Times New Roman" w:hAnsi="Times New Roman" w:eastAsia="仿宋_GB2312"/>
                <w:b/>
                <w:sz w:val="24"/>
                <w:szCs w:val="24"/>
                <w:highlight w:val="none"/>
              </w:rPr>
              <w:t>指标</w:t>
            </w:r>
          </w:p>
          <w:p w14:paraId="408B4799">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b/>
                <w:sz w:val="24"/>
                <w:szCs w:val="24"/>
                <w:highlight w:val="none"/>
              </w:rPr>
            </w:pPr>
            <w:r>
              <w:rPr>
                <w:rFonts w:ascii="Times New Roman" w:hAnsi="Times New Roman" w:eastAsia="仿宋_GB2312"/>
                <w:b/>
                <w:sz w:val="24"/>
                <w:szCs w:val="24"/>
                <w:highlight w:val="none"/>
              </w:rPr>
              <w:t>属性</w:t>
            </w:r>
          </w:p>
        </w:tc>
        <w:tc>
          <w:tcPr>
            <w:tcW w:w="2373" w:type="dxa"/>
            <w:noWrap w:val="0"/>
            <w:tcMar>
              <w:top w:w="15" w:type="dxa"/>
              <w:left w:w="15" w:type="dxa"/>
              <w:right w:w="15" w:type="dxa"/>
            </w:tcMar>
            <w:vAlign w:val="center"/>
          </w:tcPr>
          <w:p w14:paraId="67ADE6DC">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b/>
                <w:sz w:val="24"/>
                <w:szCs w:val="24"/>
                <w:highlight w:val="none"/>
              </w:rPr>
            </w:pPr>
            <w:r>
              <w:rPr>
                <w:rFonts w:ascii="Times New Roman" w:hAnsi="Times New Roman" w:eastAsia="仿宋_GB2312"/>
                <w:b/>
                <w:sz w:val="24"/>
                <w:szCs w:val="24"/>
                <w:highlight w:val="none"/>
              </w:rPr>
              <w:t>责任部门</w:t>
            </w:r>
          </w:p>
        </w:tc>
      </w:tr>
      <w:tr w14:paraId="41600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57" w:type="dxa"/>
            <w:vMerge w:val="restart"/>
            <w:noWrap w:val="0"/>
            <w:tcMar>
              <w:top w:w="15" w:type="dxa"/>
              <w:left w:w="15" w:type="dxa"/>
              <w:right w:w="15" w:type="dxa"/>
            </w:tcMar>
            <w:vAlign w:val="center"/>
          </w:tcPr>
          <w:p w14:paraId="650518ED">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生态制度</w:t>
            </w:r>
          </w:p>
        </w:tc>
        <w:tc>
          <w:tcPr>
            <w:tcW w:w="780" w:type="dxa"/>
            <w:vMerge w:val="restart"/>
            <w:noWrap w:val="0"/>
            <w:tcMar>
              <w:top w:w="15" w:type="dxa"/>
              <w:left w:w="15" w:type="dxa"/>
              <w:right w:w="15" w:type="dxa"/>
            </w:tcMar>
            <w:vAlign w:val="center"/>
          </w:tcPr>
          <w:p w14:paraId="5CE27F3D">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（一）制度与保障机制完善</w:t>
            </w:r>
          </w:p>
        </w:tc>
        <w:tc>
          <w:tcPr>
            <w:tcW w:w="630" w:type="dxa"/>
            <w:noWrap w:val="0"/>
            <w:tcMar>
              <w:top w:w="15" w:type="dxa"/>
              <w:left w:w="15" w:type="dxa"/>
              <w:right w:w="15" w:type="dxa"/>
            </w:tcMar>
            <w:vAlign w:val="center"/>
          </w:tcPr>
          <w:p w14:paraId="5FF37E99">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1</w:t>
            </w:r>
          </w:p>
        </w:tc>
        <w:tc>
          <w:tcPr>
            <w:tcW w:w="2702" w:type="dxa"/>
            <w:noWrap w:val="0"/>
            <w:tcMar>
              <w:top w:w="15" w:type="dxa"/>
              <w:left w:w="15" w:type="dxa"/>
              <w:right w:w="15" w:type="dxa"/>
            </w:tcMar>
            <w:vAlign w:val="center"/>
          </w:tcPr>
          <w:p w14:paraId="67547659">
            <w:pPr>
              <w:keepNext w:val="0"/>
              <w:keepLines w:val="0"/>
              <w:pageBreakBefore w:val="0"/>
              <w:widowControl w:val="0"/>
              <w:kinsoku/>
              <w:wordWrap/>
              <w:overflowPunct/>
              <w:topLinePunct w:val="0"/>
              <w:bidi w:val="0"/>
              <w:spacing w:line="360" w:lineRule="exact"/>
              <w:ind w:firstLine="0" w:firstLineChars="0"/>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生态文明建设规划</w:t>
            </w:r>
          </w:p>
        </w:tc>
        <w:tc>
          <w:tcPr>
            <w:tcW w:w="630" w:type="dxa"/>
            <w:noWrap w:val="0"/>
            <w:tcMar>
              <w:top w:w="15" w:type="dxa"/>
              <w:left w:w="15" w:type="dxa"/>
              <w:right w:w="15" w:type="dxa"/>
            </w:tcMar>
            <w:vAlign w:val="center"/>
          </w:tcPr>
          <w:p w14:paraId="43CEF9B3">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w:t>
            </w:r>
          </w:p>
        </w:tc>
        <w:tc>
          <w:tcPr>
            <w:tcW w:w="1245" w:type="dxa"/>
            <w:noWrap w:val="0"/>
            <w:tcMar>
              <w:top w:w="15" w:type="dxa"/>
              <w:left w:w="15" w:type="dxa"/>
              <w:right w:w="15" w:type="dxa"/>
            </w:tcMar>
            <w:vAlign w:val="center"/>
          </w:tcPr>
          <w:p w14:paraId="58EA07D9">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制定实施</w:t>
            </w:r>
          </w:p>
        </w:tc>
        <w:tc>
          <w:tcPr>
            <w:tcW w:w="1335" w:type="dxa"/>
            <w:noWrap w:val="0"/>
            <w:tcMar>
              <w:top w:w="15" w:type="dxa"/>
              <w:left w:w="15" w:type="dxa"/>
              <w:right w:w="15" w:type="dxa"/>
            </w:tcMar>
            <w:vAlign w:val="center"/>
          </w:tcPr>
          <w:p w14:paraId="74262DF7">
            <w:pPr>
              <w:keepNext w:val="0"/>
              <w:keepLines w:val="0"/>
              <w:pageBreakBefore w:val="0"/>
              <w:widowControl w:val="0"/>
              <w:kinsoku/>
              <w:wordWrap/>
              <w:overflowPunct/>
              <w:topLinePunct w:val="0"/>
              <w:bidi w:val="0"/>
              <w:spacing w:line="360" w:lineRule="exact"/>
              <w:ind w:firstLine="0" w:firstLineChars="0"/>
              <w:jc w:val="center"/>
              <w:textAlignment w:val="center"/>
              <w:rPr>
                <w:rFonts w:hint="eastAsia" w:ascii="Times New Roman" w:hAnsi="Times New Roman" w:eastAsia="仿宋_GB2312"/>
                <w:sz w:val="24"/>
                <w:szCs w:val="24"/>
                <w:highlight w:val="none"/>
                <w:lang w:eastAsia="zh-CN"/>
              </w:rPr>
            </w:pPr>
            <w:r>
              <w:rPr>
                <w:rFonts w:hint="eastAsia" w:ascii="Times New Roman" w:hAnsi="Times New Roman" w:eastAsia="仿宋_GB2312"/>
                <w:sz w:val="24"/>
                <w:szCs w:val="24"/>
                <w:highlight w:val="none"/>
                <w:lang w:eastAsia="zh-CN"/>
              </w:rPr>
              <w:t>制定实施</w:t>
            </w:r>
          </w:p>
        </w:tc>
        <w:tc>
          <w:tcPr>
            <w:tcW w:w="660" w:type="dxa"/>
            <w:noWrap w:val="0"/>
            <w:tcMar>
              <w:top w:w="15" w:type="dxa"/>
              <w:left w:w="15" w:type="dxa"/>
              <w:right w:w="15" w:type="dxa"/>
            </w:tcMar>
            <w:vAlign w:val="center"/>
          </w:tcPr>
          <w:p w14:paraId="131B0633">
            <w:pPr>
              <w:keepNext w:val="0"/>
              <w:keepLines w:val="0"/>
              <w:pageBreakBefore w:val="0"/>
              <w:widowControl w:val="0"/>
              <w:kinsoku/>
              <w:wordWrap/>
              <w:overflowPunct/>
              <w:topLinePunct w:val="0"/>
              <w:bidi w:val="0"/>
              <w:spacing w:line="360" w:lineRule="exact"/>
              <w:ind w:firstLine="0" w:firstLineChars="0"/>
              <w:jc w:val="center"/>
              <w:textAlignment w:val="center"/>
              <w:rPr>
                <w:rFonts w:hint="eastAsia" w:ascii="Times New Roman" w:hAnsi="Times New Roman" w:eastAsia="仿宋_GB2312"/>
                <w:sz w:val="24"/>
                <w:szCs w:val="24"/>
                <w:highlight w:val="none"/>
                <w:lang w:eastAsia="zh-CN"/>
              </w:rPr>
            </w:pPr>
            <w:r>
              <w:rPr>
                <w:rFonts w:hint="eastAsia" w:ascii="Times New Roman" w:hAnsi="Times New Roman" w:eastAsia="仿宋_GB2312"/>
                <w:sz w:val="24"/>
                <w:szCs w:val="24"/>
                <w:highlight w:val="none"/>
                <w:lang w:eastAsia="zh-CN"/>
              </w:rPr>
              <w:t>是</w:t>
            </w:r>
          </w:p>
        </w:tc>
        <w:tc>
          <w:tcPr>
            <w:tcW w:w="1230" w:type="dxa"/>
            <w:noWrap w:val="0"/>
            <w:tcMar>
              <w:top w:w="15" w:type="dxa"/>
              <w:left w:w="15" w:type="dxa"/>
              <w:right w:w="15" w:type="dxa"/>
            </w:tcMar>
            <w:vAlign w:val="center"/>
          </w:tcPr>
          <w:p w14:paraId="002312F4">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制定实施</w:t>
            </w:r>
          </w:p>
        </w:tc>
        <w:tc>
          <w:tcPr>
            <w:tcW w:w="1275" w:type="dxa"/>
            <w:noWrap w:val="0"/>
            <w:tcMar>
              <w:top w:w="15" w:type="dxa"/>
              <w:left w:w="15" w:type="dxa"/>
              <w:right w:w="15" w:type="dxa"/>
            </w:tcMar>
            <w:vAlign w:val="center"/>
          </w:tcPr>
          <w:p w14:paraId="2225C87C">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制定实施</w:t>
            </w:r>
          </w:p>
        </w:tc>
        <w:tc>
          <w:tcPr>
            <w:tcW w:w="945" w:type="dxa"/>
            <w:noWrap w:val="0"/>
            <w:tcMar>
              <w:top w:w="15" w:type="dxa"/>
              <w:left w:w="15" w:type="dxa"/>
              <w:right w:w="15" w:type="dxa"/>
            </w:tcMar>
            <w:vAlign w:val="center"/>
          </w:tcPr>
          <w:p w14:paraId="24337279">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约束性</w:t>
            </w:r>
          </w:p>
        </w:tc>
        <w:tc>
          <w:tcPr>
            <w:tcW w:w="2373" w:type="dxa"/>
            <w:noWrap w:val="0"/>
            <w:tcMar>
              <w:top w:w="15" w:type="dxa"/>
              <w:left w:w="15" w:type="dxa"/>
              <w:right w:w="15" w:type="dxa"/>
            </w:tcMar>
            <w:vAlign w:val="center"/>
          </w:tcPr>
          <w:p w14:paraId="4FE8523C">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yellow"/>
              </w:rPr>
            </w:pPr>
            <w:r>
              <w:rPr>
                <w:rFonts w:hint="eastAsia" w:ascii="Times New Roman" w:hAnsi="Times New Roman" w:eastAsia="仿宋_GB2312"/>
                <w:sz w:val="24"/>
                <w:szCs w:val="24"/>
                <w:highlight w:val="none"/>
                <w:lang w:eastAsia="zh-CN"/>
              </w:rPr>
              <w:t>柳州市柳江</w:t>
            </w:r>
            <w:r>
              <w:rPr>
                <w:rFonts w:ascii="Times New Roman" w:hAnsi="Times New Roman" w:eastAsia="仿宋_GB2312"/>
                <w:sz w:val="24"/>
                <w:szCs w:val="24"/>
                <w:highlight w:val="none"/>
              </w:rPr>
              <w:t>生态环境局</w:t>
            </w:r>
          </w:p>
        </w:tc>
      </w:tr>
      <w:tr w14:paraId="27E4B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57" w:type="dxa"/>
            <w:vMerge w:val="continue"/>
            <w:noWrap w:val="0"/>
            <w:tcMar>
              <w:top w:w="15" w:type="dxa"/>
              <w:left w:w="15" w:type="dxa"/>
              <w:right w:w="15" w:type="dxa"/>
            </w:tcMar>
            <w:vAlign w:val="center"/>
          </w:tcPr>
          <w:p w14:paraId="5E513754">
            <w:pPr>
              <w:keepNext w:val="0"/>
              <w:keepLines w:val="0"/>
              <w:pageBreakBefore w:val="0"/>
              <w:widowControl w:val="0"/>
              <w:kinsoku/>
              <w:wordWrap/>
              <w:overflowPunct/>
              <w:topLinePunct w:val="0"/>
              <w:bidi w:val="0"/>
              <w:spacing w:line="360" w:lineRule="exact"/>
              <w:ind w:firstLine="0" w:firstLineChars="0"/>
              <w:jc w:val="center"/>
              <w:rPr>
                <w:rFonts w:ascii="Times New Roman" w:hAnsi="Times New Roman" w:eastAsia="仿宋_GB2312"/>
                <w:sz w:val="24"/>
                <w:szCs w:val="24"/>
                <w:highlight w:val="none"/>
              </w:rPr>
            </w:pPr>
          </w:p>
        </w:tc>
        <w:tc>
          <w:tcPr>
            <w:tcW w:w="780" w:type="dxa"/>
            <w:vMerge w:val="continue"/>
            <w:noWrap w:val="0"/>
            <w:tcMar>
              <w:top w:w="15" w:type="dxa"/>
              <w:left w:w="15" w:type="dxa"/>
              <w:right w:w="15" w:type="dxa"/>
            </w:tcMar>
            <w:vAlign w:val="center"/>
          </w:tcPr>
          <w:p w14:paraId="45955C85">
            <w:pPr>
              <w:keepNext w:val="0"/>
              <w:keepLines w:val="0"/>
              <w:pageBreakBefore w:val="0"/>
              <w:widowControl w:val="0"/>
              <w:kinsoku/>
              <w:wordWrap/>
              <w:overflowPunct/>
              <w:topLinePunct w:val="0"/>
              <w:bidi w:val="0"/>
              <w:spacing w:line="360" w:lineRule="exact"/>
              <w:ind w:firstLine="0" w:firstLineChars="0"/>
              <w:jc w:val="center"/>
              <w:rPr>
                <w:rFonts w:ascii="Times New Roman" w:hAnsi="Times New Roman" w:eastAsia="仿宋_GB2312"/>
                <w:sz w:val="24"/>
                <w:szCs w:val="24"/>
                <w:highlight w:val="none"/>
              </w:rPr>
            </w:pPr>
          </w:p>
        </w:tc>
        <w:tc>
          <w:tcPr>
            <w:tcW w:w="630" w:type="dxa"/>
            <w:noWrap w:val="0"/>
            <w:tcMar>
              <w:top w:w="15" w:type="dxa"/>
              <w:left w:w="15" w:type="dxa"/>
              <w:right w:w="15" w:type="dxa"/>
            </w:tcMar>
            <w:vAlign w:val="center"/>
          </w:tcPr>
          <w:p w14:paraId="27BA4CF8">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2</w:t>
            </w:r>
          </w:p>
        </w:tc>
        <w:tc>
          <w:tcPr>
            <w:tcW w:w="2702" w:type="dxa"/>
            <w:noWrap w:val="0"/>
            <w:tcMar>
              <w:top w:w="15" w:type="dxa"/>
              <w:left w:w="15" w:type="dxa"/>
              <w:right w:w="15" w:type="dxa"/>
            </w:tcMar>
            <w:vAlign w:val="center"/>
          </w:tcPr>
          <w:p w14:paraId="4ABE0183">
            <w:pPr>
              <w:keepNext w:val="0"/>
              <w:keepLines w:val="0"/>
              <w:pageBreakBefore w:val="0"/>
              <w:widowControl w:val="0"/>
              <w:kinsoku/>
              <w:wordWrap/>
              <w:overflowPunct/>
              <w:topLinePunct w:val="0"/>
              <w:bidi w:val="0"/>
              <w:spacing w:line="360" w:lineRule="exact"/>
              <w:ind w:firstLine="0" w:firstLineChars="0"/>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党委政府对生态文明建设重大目标任务部署情况</w:t>
            </w:r>
          </w:p>
        </w:tc>
        <w:tc>
          <w:tcPr>
            <w:tcW w:w="630" w:type="dxa"/>
            <w:noWrap w:val="0"/>
            <w:tcMar>
              <w:top w:w="15" w:type="dxa"/>
              <w:left w:w="15" w:type="dxa"/>
              <w:right w:w="15" w:type="dxa"/>
            </w:tcMar>
            <w:vAlign w:val="center"/>
          </w:tcPr>
          <w:p w14:paraId="5D7DD835">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w:t>
            </w:r>
          </w:p>
        </w:tc>
        <w:tc>
          <w:tcPr>
            <w:tcW w:w="1245" w:type="dxa"/>
            <w:noWrap w:val="0"/>
            <w:tcMar>
              <w:top w:w="15" w:type="dxa"/>
              <w:left w:w="15" w:type="dxa"/>
              <w:right w:w="15" w:type="dxa"/>
            </w:tcMar>
            <w:vAlign w:val="center"/>
          </w:tcPr>
          <w:p w14:paraId="6E13A9C9">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有效开展</w:t>
            </w:r>
          </w:p>
        </w:tc>
        <w:tc>
          <w:tcPr>
            <w:tcW w:w="1335" w:type="dxa"/>
            <w:noWrap w:val="0"/>
            <w:tcMar>
              <w:top w:w="15" w:type="dxa"/>
              <w:left w:w="15" w:type="dxa"/>
              <w:right w:w="15" w:type="dxa"/>
            </w:tcMar>
            <w:vAlign w:val="center"/>
          </w:tcPr>
          <w:p w14:paraId="4D643C2C">
            <w:pPr>
              <w:keepNext w:val="0"/>
              <w:keepLines w:val="0"/>
              <w:pageBreakBefore w:val="0"/>
              <w:widowControl w:val="0"/>
              <w:kinsoku/>
              <w:wordWrap/>
              <w:overflowPunct/>
              <w:topLinePunct w:val="0"/>
              <w:bidi w:val="0"/>
              <w:spacing w:line="360" w:lineRule="exact"/>
              <w:ind w:firstLine="0" w:firstLineChars="0"/>
              <w:jc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有效开展</w:t>
            </w:r>
          </w:p>
        </w:tc>
        <w:tc>
          <w:tcPr>
            <w:tcW w:w="660" w:type="dxa"/>
            <w:noWrap w:val="0"/>
            <w:tcMar>
              <w:top w:w="15" w:type="dxa"/>
              <w:left w:w="15" w:type="dxa"/>
              <w:right w:w="15" w:type="dxa"/>
            </w:tcMar>
            <w:vAlign w:val="center"/>
          </w:tcPr>
          <w:p w14:paraId="7E13ADAB">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是</w:t>
            </w:r>
          </w:p>
        </w:tc>
        <w:tc>
          <w:tcPr>
            <w:tcW w:w="1230" w:type="dxa"/>
            <w:noWrap w:val="0"/>
            <w:tcMar>
              <w:top w:w="15" w:type="dxa"/>
              <w:left w:w="15" w:type="dxa"/>
              <w:right w:w="15" w:type="dxa"/>
            </w:tcMar>
            <w:vAlign w:val="center"/>
          </w:tcPr>
          <w:p w14:paraId="5C481A9C">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有效开展</w:t>
            </w:r>
          </w:p>
        </w:tc>
        <w:tc>
          <w:tcPr>
            <w:tcW w:w="1275" w:type="dxa"/>
            <w:noWrap w:val="0"/>
            <w:tcMar>
              <w:top w:w="15" w:type="dxa"/>
              <w:left w:w="15" w:type="dxa"/>
              <w:right w:w="15" w:type="dxa"/>
            </w:tcMar>
            <w:vAlign w:val="center"/>
          </w:tcPr>
          <w:p w14:paraId="0457B5E7">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有效开展</w:t>
            </w:r>
          </w:p>
        </w:tc>
        <w:tc>
          <w:tcPr>
            <w:tcW w:w="945" w:type="dxa"/>
            <w:noWrap w:val="0"/>
            <w:tcMar>
              <w:top w:w="15" w:type="dxa"/>
              <w:left w:w="15" w:type="dxa"/>
              <w:right w:w="15" w:type="dxa"/>
            </w:tcMar>
            <w:vAlign w:val="center"/>
          </w:tcPr>
          <w:p w14:paraId="7F91E6B1">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约束性</w:t>
            </w:r>
          </w:p>
        </w:tc>
        <w:tc>
          <w:tcPr>
            <w:tcW w:w="2373" w:type="dxa"/>
            <w:noWrap w:val="0"/>
            <w:tcMar>
              <w:top w:w="15" w:type="dxa"/>
              <w:left w:w="15" w:type="dxa"/>
              <w:right w:w="15" w:type="dxa"/>
            </w:tcMar>
            <w:vAlign w:val="center"/>
          </w:tcPr>
          <w:p w14:paraId="46FB595F">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yellow"/>
              </w:rPr>
            </w:pPr>
            <w:r>
              <w:rPr>
                <w:rFonts w:hint="eastAsia" w:ascii="Times New Roman" w:hAnsi="Times New Roman" w:eastAsia="仿宋_GB2312"/>
                <w:sz w:val="24"/>
                <w:szCs w:val="24"/>
                <w:highlight w:val="none"/>
                <w:lang w:eastAsia="zh-CN"/>
              </w:rPr>
              <w:t>柳江区</w:t>
            </w:r>
            <w:r>
              <w:rPr>
                <w:rFonts w:ascii="Times New Roman" w:hAnsi="Times New Roman" w:eastAsia="仿宋_GB2312"/>
                <w:sz w:val="24"/>
                <w:szCs w:val="24"/>
                <w:highlight w:val="none"/>
              </w:rPr>
              <w:t>党委</w:t>
            </w:r>
            <w:r>
              <w:rPr>
                <w:rFonts w:hint="eastAsia" w:eastAsia="仿宋_GB2312"/>
                <w:sz w:val="24"/>
                <w:szCs w:val="24"/>
                <w:highlight w:val="none"/>
                <w:lang w:eastAsia="zh-CN"/>
              </w:rPr>
              <w:t>、区</w:t>
            </w:r>
            <w:r>
              <w:rPr>
                <w:rFonts w:ascii="Times New Roman" w:hAnsi="Times New Roman" w:eastAsia="仿宋_GB2312"/>
                <w:sz w:val="24"/>
                <w:szCs w:val="24"/>
                <w:highlight w:val="none"/>
              </w:rPr>
              <w:t>政府</w:t>
            </w:r>
          </w:p>
        </w:tc>
      </w:tr>
      <w:tr w14:paraId="45F04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57" w:type="dxa"/>
            <w:vMerge w:val="continue"/>
            <w:noWrap w:val="0"/>
            <w:tcMar>
              <w:top w:w="15" w:type="dxa"/>
              <w:left w:w="15" w:type="dxa"/>
              <w:right w:w="15" w:type="dxa"/>
            </w:tcMar>
            <w:vAlign w:val="center"/>
          </w:tcPr>
          <w:p w14:paraId="61AE24D6">
            <w:pPr>
              <w:keepNext w:val="0"/>
              <w:keepLines w:val="0"/>
              <w:pageBreakBefore w:val="0"/>
              <w:widowControl w:val="0"/>
              <w:kinsoku/>
              <w:wordWrap/>
              <w:overflowPunct/>
              <w:topLinePunct w:val="0"/>
              <w:bidi w:val="0"/>
              <w:spacing w:line="360" w:lineRule="exact"/>
              <w:ind w:firstLine="0" w:firstLineChars="0"/>
              <w:jc w:val="center"/>
              <w:rPr>
                <w:rFonts w:ascii="Times New Roman" w:hAnsi="Times New Roman" w:eastAsia="仿宋_GB2312"/>
                <w:sz w:val="24"/>
                <w:szCs w:val="24"/>
                <w:highlight w:val="none"/>
              </w:rPr>
            </w:pPr>
          </w:p>
        </w:tc>
        <w:tc>
          <w:tcPr>
            <w:tcW w:w="780" w:type="dxa"/>
            <w:vMerge w:val="continue"/>
            <w:noWrap w:val="0"/>
            <w:tcMar>
              <w:top w:w="15" w:type="dxa"/>
              <w:left w:w="15" w:type="dxa"/>
              <w:right w:w="15" w:type="dxa"/>
            </w:tcMar>
            <w:vAlign w:val="center"/>
          </w:tcPr>
          <w:p w14:paraId="3251E795">
            <w:pPr>
              <w:keepNext w:val="0"/>
              <w:keepLines w:val="0"/>
              <w:pageBreakBefore w:val="0"/>
              <w:widowControl w:val="0"/>
              <w:kinsoku/>
              <w:wordWrap/>
              <w:overflowPunct/>
              <w:topLinePunct w:val="0"/>
              <w:bidi w:val="0"/>
              <w:spacing w:line="360" w:lineRule="exact"/>
              <w:ind w:firstLine="0" w:firstLineChars="0"/>
              <w:jc w:val="center"/>
              <w:rPr>
                <w:rFonts w:ascii="Times New Roman" w:hAnsi="Times New Roman" w:eastAsia="仿宋_GB2312"/>
                <w:sz w:val="24"/>
                <w:szCs w:val="24"/>
                <w:highlight w:val="none"/>
              </w:rPr>
            </w:pPr>
          </w:p>
        </w:tc>
        <w:tc>
          <w:tcPr>
            <w:tcW w:w="630" w:type="dxa"/>
            <w:noWrap w:val="0"/>
            <w:tcMar>
              <w:top w:w="15" w:type="dxa"/>
              <w:left w:w="15" w:type="dxa"/>
              <w:right w:w="15" w:type="dxa"/>
            </w:tcMar>
            <w:vAlign w:val="center"/>
          </w:tcPr>
          <w:p w14:paraId="2D43EA12">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3</w:t>
            </w:r>
          </w:p>
        </w:tc>
        <w:tc>
          <w:tcPr>
            <w:tcW w:w="2702" w:type="dxa"/>
            <w:noWrap w:val="0"/>
            <w:tcMar>
              <w:top w:w="15" w:type="dxa"/>
              <w:left w:w="15" w:type="dxa"/>
              <w:right w:w="15" w:type="dxa"/>
            </w:tcMar>
            <w:vAlign w:val="center"/>
          </w:tcPr>
          <w:p w14:paraId="0666E84A">
            <w:pPr>
              <w:keepNext w:val="0"/>
              <w:keepLines w:val="0"/>
              <w:pageBreakBefore w:val="0"/>
              <w:widowControl w:val="0"/>
              <w:kinsoku/>
              <w:wordWrap/>
              <w:overflowPunct/>
              <w:topLinePunct w:val="0"/>
              <w:bidi w:val="0"/>
              <w:spacing w:line="360" w:lineRule="exact"/>
              <w:ind w:firstLine="0" w:firstLineChars="0"/>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生态文明建设工作占党政实绩考核的比例</w:t>
            </w:r>
          </w:p>
        </w:tc>
        <w:tc>
          <w:tcPr>
            <w:tcW w:w="630" w:type="dxa"/>
            <w:noWrap w:val="0"/>
            <w:tcMar>
              <w:top w:w="15" w:type="dxa"/>
              <w:left w:w="15" w:type="dxa"/>
              <w:right w:w="15" w:type="dxa"/>
            </w:tcMar>
            <w:vAlign w:val="center"/>
          </w:tcPr>
          <w:p w14:paraId="7AA6AD46">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w:t>
            </w:r>
          </w:p>
        </w:tc>
        <w:tc>
          <w:tcPr>
            <w:tcW w:w="1245" w:type="dxa"/>
            <w:noWrap w:val="0"/>
            <w:tcMar>
              <w:top w:w="15" w:type="dxa"/>
              <w:left w:w="15" w:type="dxa"/>
              <w:right w:w="15" w:type="dxa"/>
            </w:tcMar>
            <w:vAlign w:val="center"/>
          </w:tcPr>
          <w:p w14:paraId="092879AC">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≥20</w:t>
            </w:r>
          </w:p>
        </w:tc>
        <w:tc>
          <w:tcPr>
            <w:tcW w:w="1335" w:type="dxa"/>
            <w:noWrap w:val="0"/>
            <w:tcMar>
              <w:top w:w="15" w:type="dxa"/>
              <w:left w:w="15" w:type="dxa"/>
              <w:right w:w="15" w:type="dxa"/>
            </w:tcMar>
            <w:vAlign w:val="center"/>
          </w:tcPr>
          <w:p w14:paraId="54C2BB61">
            <w:pPr>
              <w:keepNext w:val="0"/>
              <w:keepLines w:val="0"/>
              <w:pageBreakBefore w:val="0"/>
              <w:widowControl w:val="0"/>
              <w:kinsoku/>
              <w:wordWrap/>
              <w:overflowPunct/>
              <w:topLinePunct w:val="0"/>
              <w:bidi w:val="0"/>
              <w:spacing w:line="360" w:lineRule="exact"/>
              <w:ind w:firstLine="0" w:firstLineChars="0"/>
              <w:jc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20</w:t>
            </w:r>
          </w:p>
        </w:tc>
        <w:tc>
          <w:tcPr>
            <w:tcW w:w="660" w:type="dxa"/>
            <w:noWrap w:val="0"/>
            <w:tcMar>
              <w:top w:w="15" w:type="dxa"/>
              <w:left w:w="15" w:type="dxa"/>
              <w:right w:w="15" w:type="dxa"/>
            </w:tcMar>
            <w:vAlign w:val="center"/>
          </w:tcPr>
          <w:p w14:paraId="401CB910">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是</w:t>
            </w:r>
          </w:p>
        </w:tc>
        <w:tc>
          <w:tcPr>
            <w:tcW w:w="1230" w:type="dxa"/>
            <w:noWrap w:val="0"/>
            <w:tcMar>
              <w:top w:w="15" w:type="dxa"/>
              <w:left w:w="15" w:type="dxa"/>
              <w:right w:w="15" w:type="dxa"/>
            </w:tcMar>
            <w:vAlign w:val="center"/>
          </w:tcPr>
          <w:p w14:paraId="0C581B98">
            <w:pPr>
              <w:keepNext w:val="0"/>
              <w:keepLines w:val="0"/>
              <w:pageBreakBefore w:val="0"/>
              <w:widowControl w:val="0"/>
              <w:kinsoku/>
              <w:wordWrap/>
              <w:overflowPunct/>
              <w:topLinePunct w:val="0"/>
              <w:bidi w:val="0"/>
              <w:spacing w:line="360" w:lineRule="exact"/>
              <w:ind w:firstLine="0" w:firstLineChars="0"/>
              <w:jc w:val="center"/>
              <w:textAlignment w:val="center"/>
              <w:rPr>
                <w:rFonts w:hint="eastAsia" w:ascii="Times New Roman" w:hAnsi="Times New Roman" w:eastAsia="仿宋_GB2312"/>
                <w:sz w:val="24"/>
                <w:szCs w:val="24"/>
                <w:highlight w:val="none"/>
                <w:lang w:val="en-US" w:eastAsia="zh-CN"/>
              </w:rPr>
            </w:pPr>
            <w:r>
              <w:rPr>
                <w:rFonts w:ascii="Times New Roman" w:hAnsi="Times New Roman" w:eastAsia="仿宋_GB2312"/>
                <w:sz w:val="24"/>
                <w:szCs w:val="24"/>
                <w:highlight w:val="none"/>
              </w:rPr>
              <w:t>≥2</w:t>
            </w:r>
            <w:r>
              <w:rPr>
                <w:rFonts w:hint="eastAsia" w:ascii="Times New Roman" w:hAnsi="Times New Roman" w:eastAsia="仿宋_GB2312"/>
                <w:sz w:val="24"/>
                <w:szCs w:val="24"/>
                <w:highlight w:val="none"/>
                <w:lang w:val="en-US" w:eastAsia="zh-CN"/>
              </w:rPr>
              <w:t>0</w:t>
            </w:r>
          </w:p>
        </w:tc>
        <w:tc>
          <w:tcPr>
            <w:tcW w:w="1275" w:type="dxa"/>
            <w:noWrap w:val="0"/>
            <w:tcMar>
              <w:top w:w="15" w:type="dxa"/>
              <w:left w:w="15" w:type="dxa"/>
              <w:right w:w="15" w:type="dxa"/>
            </w:tcMar>
            <w:vAlign w:val="center"/>
          </w:tcPr>
          <w:p w14:paraId="23A1D630">
            <w:pPr>
              <w:keepNext w:val="0"/>
              <w:keepLines w:val="0"/>
              <w:pageBreakBefore w:val="0"/>
              <w:widowControl w:val="0"/>
              <w:kinsoku/>
              <w:wordWrap/>
              <w:overflowPunct/>
              <w:topLinePunct w:val="0"/>
              <w:bidi w:val="0"/>
              <w:spacing w:line="360" w:lineRule="exact"/>
              <w:ind w:firstLine="0" w:firstLineChars="0"/>
              <w:jc w:val="center"/>
              <w:textAlignment w:val="center"/>
              <w:rPr>
                <w:rFonts w:hint="eastAsia" w:ascii="Times New Roman" w:hAnsi="Times New Roman" w:eastAsia="仿宋_GB2312"/>
                <w:sz w:val="24"/>
                <w:szCs w:val="24"/>
                <w:highlight w:val="none"/>
                <w:lang w:eastAsia="zh-CN"/>
              </w:rPr>
            </w:pPr>
            <w:r>
              <w:rPr>
                <w:rFonts w:ascii="Times New Roman" w:hAnsi="Times New Roman" w:eastAsia="仿宋_GB2312"/>
                <w:sz w:val="24"/>
                <w:szCs w:val="24"/>
                <w:highlight w:val="none"/>
              </w:rPr>
              <w:t>≥2</w:t>
            </w:r>
            <w:r>
              <w:rPr>
                <w:rFonts w:hint="eastAsia" w:ascii="Times New Roman" w:hAnsi="Times New Roman" w:eastAsia="仿宋_GB2312"/>
                <w:sz w:val="24"/>
                <w:szCs w:val="24"/>
                <w:highlight w:val="none"/>
                <w:lang w:val="en-US" w:eastAsia="zh-CN"/>
              </w:rPr>
              <w:t>0</w:t>
            </w:r>
          </w:p>
        </w:tc>
        <w:tc>
          <w:tcPr>
            <w:tcW w:w="945" w:type="dxa"/>
            <w:noWrap w:val="0"/>
            <w:tcMar>
              <w:top w:w="15" w:type="dxa"/>
              <w:left w:w="15" w:type="dxa"/>
              <w:right w:w="15" w:type="dxa"/>
            </w:tcMar>
            <w:vAlign w:val="center"/>
          </w:tcPr>
          <w:p w14:paraId="548754CC">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约束性</w:t>
            </w:r>
          </w:p>
        </w:tc>
        <w:tc>
          <w:tcPr>
            <w:tcW w:w="2373" w:type="dxa"/>
            <w:noWrap w:val="0"/>
            <w:tcMar>
              <w:top w:w="15" w:type="dxa"/>
              <w:left w:w="15" w:type="dxa"/>
              <w:right w:w="15" w:type="dxa"/>
            </w:tcMar>
            <w:vAlign w:val="center"/>
          </w:tcPr>
          <w:p w14:paraId="7B5DFA6F">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yellow"/>
              </w:rPr>
            </w:pPr>
            <w:r>
              <w:rPr>
                <w:rFonts w:hint="eastAsia" w:ascii="Times New Roman" w:hAnsi="Times New Roman" w:eastAsia="仿宋_GB2312"/>
                <w:bCs/>
                <w:sz w:val="24"/>
                <w:szCs w:val="24"/>
                <w:highlight w:val="none"/>
                <w:lang w:eastAsia="zh-CN"/>
              </w:rPr>
              <w:t>柳江区</w:t>
            </w:r>
            <w:r>
              <w:rPr>
                <w:rFonts w:ascii="Times New Roman" w:hAnsi="Times New Roman" w:eastAsia="仿宋_GB2312"/>
                <w:bCs/>
                <w:sz w:val="24"/>
                <w:szCs w:val="24"/>
                <w:highlight w:val="none"/>
              </w:rPr>
              <w:t>委组织部、柳江区委督绩办</w:t>
            </w:r>
          </w:p>
        </w:tc>
      </w:tr>
      <w:tr w14:paraId="23892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57" w:type="dxa"/>
            <w:vMerge w:val="continue"/>
            <w:noWrap w:val="0"/>
            <w:tcMar>
              <w:top w:w="15" w:type="dxa"/>
              <w:left w:w="15" w:type="dxa"/>
              <w:right w:w="15" w:type="dxa"/>
            </w:tcMar>
            <w:vAlign w:val="center"/>
          </w:tcPr>
          <w:p w14:paraId="503144FA">
            <w:pPr>
              <w:keepNext w:val="0"/>
              <w:keepLines w:val="0"/>
              <w:pageBreakBefore w:val="0"/>
              <w:widowControl w:val="0"/>
              <w:kinsoku/>
              <w:wordWrap/>
              <w:overflowPunct/>
              <w:topLinePunct w:val="0"/>
              <w:bidi w:val="0"/>
              <w:spacing w:line="360" w:lineRule="exact"/>
              <w:ind w:firstLine="0" w:firstLineChars="0"/>
              <w:jc w:val="center"/>
              <w:rPr>
                <w:rFonts w:ascii="Times New Roman" w:hAnsi="Times New Roman" w:eastAsia="仿宋_GB2312"/>
                <w:sz w:val="24"/>
                <w:szCs w:val="24"/>
                <w:highlight w:val="none"/>
              </w:rPr>
            </w:pPr>
          </w:p>
        </w:tc>
        <w:tc>
          <w:tcPr>
            <w:tcW w:w="780" w:type="dxa"/>
            <w:vMerge w:val="continue"/>
            <w:noWrap w:val="0"/>
            <w:tcMar>
              <w:top w:w="15" w:type="dxa"/>
              <w:left w:w="15" w:type="dxa"/>
              <w:right w:w="15" w:type="dxa"/>
            </w:tcMar>
            <w:vAlign w:val="center"/>
          </w:tcPr>
          <w:p w14:paraId="38A47374">
            <w:pPr>
              <w:keepNext w:val="0"/>
              <w:keepLines w:val="0"/>
              <w:pageBreakBefore w:val="0"/>
              <w:widowControl w:val="0"/>
              <w:kinsoku/>
              <w:wordWrap/>
              <w:overflowPunct/>
              <w:topLinePunct w:val="0"/>
              <w:bidi w:val="0"/>
              <w:spacing w:line="360" w:lineRule="exact"/>
              <w:ind w:firstLine="0" w:firstLineChars="0"/>
              <w:jc w:val="center"/>
              <w:rPr>
                <w:rFonts w:ascii="Times New Roman" w:hAnsi="Times New Roman" w:eastAsia="仿宋_GB2312"/>
                <w:sz w:val="24"/>
                <w:szCs w:val="24"/>
                <w:highlight w:val="none"/>
              </w:rPr>
            </w:pPr>
          </w:p>
        </w:tc>
        <w:tc>
          <w:tcPr>
            <w:tcW w:w="630" w:type="dxa"/>
            <w:noWrap w:val="0"/>
            <w:tcMar>
              <w:top w:w="15" w:type="dxa"/>
              <w:left w:w="15" w:type="dxa"/>
              <w:right w:w="15" w:type="dxa"/>
            </w:tcMar>
            <w:vAlign w:val="center"/>
          </w:tcPr>
          <w:p w14:paraId="19364011">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4</w:t>
            </w:r>
          </w:p>
        </w:tc>
        <w:tc>
          <w:tcPr>
            <w:tcW w:w="2702" w:type="dxa"/>
            <w:noWrap w:val="0"/>
            <w:tcMar>
              <w:top w:w="15" w:type="dxa"/>
              <w:left w:w="15" w:type="dxa"/>
              <w:right w:w="15" w:type="dxa"/>
            </w:tcMar>
            <w:vAlign w:val="center"/>
          </w:tcPr>
          <w:p w14:paraId="1D0AA330">
            <w:pPr>
              <w:keepNext w:val="0"/>
              <w:keepLines w:val="0"/>
              <w:pageBreakBefore w:val="0"/>
              <w:widowControl w:val="0"/>
              <w:kinsoku/>
              <w:wordWrap/>
              <w:overflowPunct/>
              <w:topLinePunct w:val="0"/>
              <w:bidi w:val="0"/>
              <w:spacing w:line="360" w:lineRule="exact"/>
              <w:ind w:firstLine="0" w:firstLineChars="0"/>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河长制</w:t>
            </w:r>
          </w:p>
        </w:tc>
        <w:tc>
          <w:tcPr>
            <w:tcW w:w="630" w:type="dxa"/>
            <w:noWrap w:val="0"/>
            <w:tcMar>
              <w:top w:w="15" w:type="dxa"/>
              <w:left w:w="15" w:type="dxa"/>
              <w:right w:w="15" w:type="dxa"/>
            </w:tcMar>
            <w:vAlign w:val="center"/>
          </w:tcPr>
          <w:p w14:paraId="51D87075">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w:t>
            </w:r>
          </w:p>
        </w:tc>
        <w:tc>
          <w:tcPr>
            <w:tcW w:w="1245" w:type="dxa"/>
            <w:noWrap w:val="0"/>
            <w:tcMar>
              <w:top w:w="15" w:type="dxa"/>
              <w:left w:w="15" w:type="dxa"/>
              <w:right w:w="15" w:type="dxa"/>
            </w:tcMar>
            <w:vAlign w:val="center"/>
          </w:tcPr>
          <w:p w14:paraId="130E1CF5">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全面推行</w:t>
            </w:r>
          </w:p>
        </w:tc>
        <w:tc>
          <w:tcPr>
            <w:tcW w:w="1335" w:type="dxa"/>
            <w:noWrap w:val="0"/>
            <w:tcMar>
              <w:top w:w="15" w:type="dxa"/>
              <w:left w:w="15" w:type="dxa"/>
              <w:right w:w="15" w:type="dxa"/>
            </w:tcMar>
            <w:vAlign w:val="center"/>
          </w:tcPr>
          <w:p w14:paraId="1C8AB896">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全面推行</w:t>
            </w:r>
          </w:p>
        </w:tc>
        <w:tc>
          <w:tcPr>
            <w:tcW w:w="660" w:type="dxa"/>
            <w:noWrap w:val="0"/>
            <w:tcMar>
              <w:top w:w="15" w:type="dxa"/>
              <w:left w:w="15" w:type="dxa"/>
              <w:right w:w="15" w:type="dxa"/>
            </w:tcMar>
            <w:vAlign w:val="center"/>
          </w:tcPr>
          <w:p w14:paraId="2FD02C58">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是</w:t>
            </w:r>
          </w:p>
        </w:tc>
        <w:tc>
          <w:tcPr>
            <w:tcW w:w="1230" w:type="dxa"/>
            <w:noWrap w:val="0"/>
            <w:tcMar>
              <w:top w:w="15" w:type="dxa"/>
              <w:left w:w="15" w:type="dxa"/>
              <w:right w:w="15" w:type="dxa"/>
            </w:tcMar>
            <w:vAlign w:val="center"/>
          </w:tcPr>
          <w:p w14:paraId="583AA236">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全面推行</w:t>
            </w:r>
          </w:p>
        </w:tc>
        <w:tc>
          <w:tcPr>
            <w:tcW w:w="1275" w:type="dxa"/>
            <w:noWrap w:val="0"/>
            <w:tcMar>
              <w:top w:w="15" w:type="dxa"/>
              <w:left w:w="15" w:type="dxa"/>
              <w:right w:w="15" w:type="dxa"/>
            </w:tcMar>
            <w:vAlign w:val="center"/>
          </w:tcPr>
          <w:p w14:paraId="21664C4A">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全面推行</w:t>
            </w:r>
          </w:p>
        </w:tc>
        <w:tc>
          <w:tcPr>
            <w:tcW w:w="945" w:type="dxa"/>
            <w:noWrap w:val="0"/>
            <w:tcMar>
              <w:top w:w="15" w:type="dxa"/>
              <w:left w:w="15" w:type="dxa"/>
              <w:right w:w="15" w:type="dxa"/>
            </w:tcMar>
            <w:vAlign w:val="center"/>
          </w:tcPr>
          <w:p w14:paraId="0519E251">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约束性</w:t>
            </w:r>
          </w:p>
        </w:tc>
        <w:tc>
          <w:tcPr>
            <w:tcW w:w="2373" w:type="dxa"/>
            <w:noWrap w:val="0"/>
            <w:tcMar>
              <w:top w:w="15" w:type="dxa"/>
              <w:left w:w="15" w:type="dxa"/>
              <w:right w:w="15" w:type="dxa"/>
            </w:tcMar>
            <w:vAlign w:val="center"/>
          </w:tcPr>
          <w:p w14:paraId="39826E88">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hint="eastAsia" w:ascii="Times New Roman" w:hAnsi="Times New Roman" w:eastAsia="仿宋_GB2312"/>
                <w:sz w:val="24"/>
                <w:szCs w:val="24"/>
                <w:highlight w:val="none"/>
                <w:lang w:eastAsia="zh-CN"/>
              </w:rPr>
              <w:t>柳江区</w:t>
            </w:r>
            <w:r>
              <w:rPr>
                <w:rFonts w:ascii="Times New Roman" w:hAnsi="Times New Roman" w:eastAsia="仿宋_GB2312"/>
                <w:sz w:val="24"/>
                <w:szCs w:val="24"/>
                <w:highlight w:val="none"/>
              </w:rPr>
              <w:t>水利局</w:t>
            </w:r>
          </w:p>
        </w:tc>
      </w:tr>
      <w:tr w14:paraId="1D477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57" w:type="dxa"/>
            <w:vMerge w:val="continue"/>
            <w:noWrap w:val="0"/>
            <w:tcMar>
              <w:top w:w="15" w:type="dxa"/>
              <w:left w:w="15" w:type="dxa"/>
              <w:right w:w="15" w:type="dxa"/>
            </w:tcMar>
            <w:vAlign w:val="center"/>
          </w:tcPr>
          <w:p w14:paraId="1A9AB53C">
            <w:pPr>
              <w:keepNext w:val="0"/>
              <w:keepLines w:val="0"/>
              <w:pageBreakBefore w:val="0"/>
              <w:widowControl w:val="0"/>
              <w:kinsoku/>
              <w:wordWrap/>
              <w:overflowPunct/>
              <w:topLinePunct w:val="0"/>
              <w:bidi w:val="0"/>
              <w:spacing w:line="360" w:lineRule="exact"/>
              <w:ind w:firstLine="0" w:firstLineChars="0"/>
              <w:jc w:val="center"/>
              <w:rPr>
                <w:rFonts w:ascii="Times New Roman" w:hAnsi="Times New Roman" w:eastAsia="仿宋_GB2312"/>
                <w:sz w:val="24"/>
                <w:szCs w:val="24"/>
                <w:highlight w:val="none"/>
              </w:rPr>
            </w:pPr>
          </w:p>
        </w:tc>
        <w:tc>
          <w:tcPr>
            <w:tcW w:w="780" w:type="dxa"/>
            <w:vMerge w:val="continue"/>
            <w:noWrap w:val="0"/>
            <w:tcMar>
              <w:top w:w="15" w:type="dxa"/>
              <w:left w:w="15" w:type="dxa"/>
              <w:right w:w="15" w:type="dxa"/>
            </w:tcMar>
            <w:vAlign w:val="center"/>
          </w:tcPr>
          <w:p w14:paraId="3FFD0071">
            <w:pPr>
              <w:keepNext w:val="0"/>
              <w:keepLines w:val="0"/>
              <w:pageBreakBefore w:val="0"/>
              <w:widowControl w:val="0"/>
              <w:kinsoku/>
              <w:wordWrap/>
              <w:overflowPunct/>
              <w:topLinePunct w:val="0"/>
              <w:bidi w:val="0"/>
              <w:spacing w:line="360" w:lineRule="exact"/>
              <w:ind w:firstLine="0" w:firstLineChars="0"/>
              <w:jc w:val="center"/>
              <w:rPr>
                <w:rFonts w:ascii="Times New Roman" w:hAnsi="Times New Roman" w:eastAsia="仿宋_GB2312"/>
                <w:sz w:val="24"/>
                <w:szCs w:val="24"/>
                <w:highlight w:val="none"/>
              </w:rPr>
            </w:pPr>
          </w:p>
        </w:tc>
        <w:tc>
          <w:tcPr>
            <w:tcW w:w="630" w:type="dxa"/>
            <w:noWrap w:val="0"/>
            <w:tcMar>
              <w:top w:w="15" w:type="dxa"/>
              <w:left w:w="15" w:type="dxa"/>
              <w:right w:w="15" w:type="dxa"/>
            </w:tcMar>
            <w:vAlign w:val="center"/>
          </w:tcPr>
          <w:p w14:paraId="4D78F640">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5</w:t>
            </w:r>
          </w:p>
        </w:tc>
        <w:tc>
          <w:tcPr>
            <w:tcW w:w="2702" w:type="dxa"/>
            <w:noWrap w:val="0"/>
            <w:tcMar>
              <w:top w:w="15" w:type="dxa"/>
              <w:left w:w="15" w:type="dxa"/>
              <w:right w:w="15" w:type="dxa"/>
            </w:tcMar>
            <w:vAlign w:val="center"/>
          </w:tcPr>
          <w:p w14:paraId="5A787B60">
            <w:pPr>
              <w:keepNext w:val="0"/>
              <w:keepLines w:val="0"/>
              <w:pageBreakBefore w:val="0"/>
              <w:widowControl w:val="0"/>
              <w:kinsoku/>
              <w:wordWrap/>
              <w:overflowPunct/>
              <w:topLinePunct w:val="0"/>
              <w:bidi w:val="0"/>
              <w:spacing w:line="360" w:lineRule="exact"/>
              <w:ind w:firstLine="0" w:firstLineChars="0"/>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生态环境信息公开率</w:t>
            </w:r>
          </w:p>
        </w:tc>
        <w:tc>
          <w:tcPr>
            <w:tcW w:w="630" w:type="dxa"/>
            <w:noWrap w:val="0"/>
            <w:tcMar>
              <w:top w:w="15" w:type="dxa"/>
              <w:left w:w="15" w:type="dxa"/>
              <w:right w:w="15" w:type="dxa"/>
            </w:tcMar>
            <w:vAlign w:val="center"/>
          </w:tcPr>
          <w:p w14:paraId="5775FD1F">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w:t>
            </w:r>
          </w:p>
        </w:tc>
        <w:tc>
          <w:tcPr>
            <w:tcW w:w="1245" w:type="dxa"/>
            <w:noWrap w:val="0"/>
            <w:tcMar>
              <w:top w:w="15" w:type="dxa"/>
              <w:left w:w="15" w:type="dxa"/>
              <w:right w:w="15" w:type="dxa"/>
            </w:tcMar>
            <w:vAlign w:val="center"/>
          </w:tcPr>
          <w:p w14:paraId="6A3173C3">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100</w:t>
            </w:r>
          </w:p>
        </w:tc>
        <w:tc>
          <w:tcPr>
            <w:tcW w:w="1335" w:type="dxa"/>
            <w:noWrap w:val="0"/>
            <w:tcMar>
              <w:top w:w="15" w:type="dxa"/>
              <w:left w:w="15" w:type="dxa"/>
              <w:right w:w="15" w:type="dxa"/>
            </w:tcMar>
            <w:vAlign w:val="center"/>
          </w:tcPr>
          <w:p w14:paraId="30B9CB4E">
            <w:pPr>
              <w:keepNext w:val="0"/>
              <w:keepLines w:val="0"/>
              <w:pageBreakBefore w:val="0"/>
              <w:widowControl w:val="0"/>
              <w:kinsoku/>
              <w:wordWrap/>
              <w:overflowPunct/>
              <w:topLinePunct w:val="0"/>
              <w:bidi w:val="0"/>
              <w:spacing w:line="360" w:lineRule="exact"/>
              <w:ind w:firstLine="0" w:firstLineChars="0"/>
              <w:jc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100</w:t>
            </w:r>
          </w:p>
        </w:tc>
        <w:tc>
          <w:tcPr>
            <w:tcW w:w="660" w:type="dxa"/>
            <w:noWrap w:val="0"/>
            <w:tcMar>
              <w:top w:w="15" w:type="dxa"/>
              <w:left w:w="15" w:type="dxa"/>
              <w:right w:w="15" w:type="dxa"/>
            </w:tcMar>
            <w:vAlign w:val="center"/>
          </w:tcPr>
          <w:p w14:paraId="5FDE41C8">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是</w:t>
            </w:r>
          </w:p>
        </w:tc>
        <w:tc>
          <w:tcPr>
            <w:tcW w:w="1230" w:type="dxa"/>
            <w:noWrap w:val="0"/>
            <w:tcMar>
              <w:top w:w="15" w:type="dxa"/>
              <w:left w:w="15" w:type="dxa"/>
              <w:right w:w="15" w:type="dxa"/>
            </w:tcMar>
            <w:vAlign w:val="center"/>
          </w:tcPr>
          <w:p w14:paraId="16C066F6">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100</w:t>
            </w:r>
          </w:p>
        </w:tc>
        <w:tc>
          <w:tcPr>
            <w:tcW w:w="1275" w:type="dxa"/>
            <w:noWrap w:val="0"/>
            <w:tcMar>
              <w:top w:w="15" w:type="dxa"/>
              <w:left w:w="15" w:type="dxa"/>
              <w:right w:w="15" w:type="dxa"/>
            </w:tcMar>
            <w:vAlign w:val="center"/>
          </w:tcPr>
          <w:p w14:paraId="74309CDB">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100</w:t>
            </w:r>
          </w:p>
        </w:tc>
        <w:tc>
          <w:tcPr>
            <w:tcW w:w="945" w:type="dxa"/>
            <w:noWrap w:val="0"/>
            <w:tcMar>
              <w:top w:w="15" w:type="dxa"/>
              <w:left w:w="15" w:type="dxa"/>
              <w:right w:w="15" w:type="dxa"/>
            </w:tcMar>
            <w:vAlign w:val="center"/>
          </w:tcPr>
          <w:p w14:paraId="297C6977">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约束性</w:t>
            </w:r>
          </w:p>
        </w:tc>
        <w:tc>
          <w:tcPr>
            <w:tcW w:w="2373" w:type="dxa"/>
            <w:noWrap w:val="0"/>
            <w:tcMar>
              <w:top w:w="15" w:type="dxa"/>
              <w:left w:w="15" w:type="dxa"/>
              <w:right w:w="15" w:type="dxa"/>
            </w:tcMar>
            <w:vAlign w:val="center"/>
          </w:tcPr>
          <w:p w14:paraId="26AA3DB6">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hint="eastAsia" w:ascii="Times New Roman" w:hAnsi="Times New Roman" w:eastAsia="仿宋_GB2312"/>
                <w:sz w:val="24"/>
                <w:szCs w:val="24"/>
                <w:highlight w:val="none"/>
                <w:lang w:eastAsia="zh-CN"/>
              </w:rPr>
              <w:t>柳州市柳江</w:t>
            </w:r>
            <w:r>
              <w:rPr>
                <w:rFonts w:ascii="Times New Roman" w:hAnsi="Times New Roman" w:eastAsia="仿宋_GB2312"/>
                <w:sz w:val="24"/>
                <w:szCs w:val="24"/>
                <w:highlight w:val="none"/>
              </w:rPr>
              <w:t>生态环境局</w:t>
            </w:r>
          </w:p>
        </w:tc>
      </w:tr>
      <w:tr w14:paraId="53F17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57" w:type="dxa"/>
            <w:vMerge w:val="continue"/>
            <w:noWrap w:val="0"/>
            <w:tcMar>
              <w:top w:w="15" w:type="dxa"/>
              <w:left w:w="15" w:type="dxa"/>
              <w:right w:w="15" w:type="dxa"/>
            </w:tcMar>
            <w:vAlign w:val="center"/>
          </w:tcPr>
          <w:p w14:paraId="70537073">
            <w:pPr>
              <w:keepNext w:val="0"/>
              <w:keepLines w:val="0"/>
              <w:pageBreakBefore w:val="0"/>
              <w:widowControl w:val="0"/>
              <w:kinsoku/>
              <w:wordWrap/>
              <w:overflowPunct/>
              <w:topLinePunct w:val="0"/>
              <w:bidi w:val="0"/>
              <w:spacing w:line="360" w:lineRule="exact"/>
              <w:ind w:firstLine="0" w:firstLineChars="0"/>
              <w:jc w:val="center"/>
              <w:rPr>
                <w:rFonts w:ascii="Times New Roman" w:hAnsi="Times New Roman" w:eastAsia="仿宋_GB2312"/>
                <w:sz w:val="24"/>
                <w:szCs w:val="24"/>
                <w:highlight w:val="none"/>
              </w:rPr>
            </w:pPr>
          </w:p>
        </w:tc>
        <w:tc>
          <w:tcPr>
            <w:tcW w:w="780" w:type="dxa"/>
            <w:vMerge w:val="continue"/>
            <w:noWrap w:val="0"/>
            <w:tcMar>
              <w:top w:w="15" w:type="dxa"/>
              <w:left w:w="15" w:type="dxa"/>
              <w:right w:w="15" w:type="dxa"/>
            </w:tcMar>
            <w:vAlign w:val="center"/>
          </w:tcPr>
          <w:p w14:paraId="0902F756">
            <w:pPr>
              <w:keepNext w:val="0"/>
              <w:keepLines w:val="0"/>
              <w:pageBreakBefore w:val="0"/>
              <w:widowControl w:val="0"/>
              <w:kinsoku/>
              <w:wordWrap/>
              <w:overflowPunct/>
              <w:topLinePunct w:val="0"/>
              <w:bidi w:val="0"/>
              <w:spacing w:line="360" w:lineRule="exact"/>
              <w:ind w:firstLine="0" w:firstLineChars="0"/>
              <w:jc w:val="center"/>
              <w:rPr>
                <w:rFonts w:ascii="Times New Roman" w:hAnsi="Times New Roman" w:eastAsia="仿宋_GB2312"/>
                <w:sz w:val="24"/>
                <w:szCs w:val="24"/>
                <w:highlight w:val="none"/>
              </w:rPr>
            </w:pPr>
          </w:p>
        </w:tc>
        <w:tc>
          <w:tcPr>
            <w:tcW w:w="630" w:type="dxa"/>
            <w:noWrap w:val="0"/>
            <w:tcMar>
              <w:top w:w="15" w:type="dxa"/>
              <w:left w:w="15" w:type="dxa"/>
              <w:right w:w="15" w:type="dxa"/>
            </w:tcMar>
            <w:vAlign w:val="center"/>
          </w:tcPr>
          <w:p w14:paraId="235D9443">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6</w:t>
            </w:r>
          </w:p>
        </w:tc>
        <w:tc>
          <w:tcPr>
            <w:tcW w:w="2702" w:type="dxa"/>
            <w:noWrap w:val="0"/>
            <w:tcMar>
              <w:top w:w="15" w:type="dxa"/>
              <w:left w:w="15" w:type="dxa"/>
              <w:right w:w="15" w:type="dxa"/>
            </w:tcMar>
            <w:vAlign w:val="center"/>
          </w:tcPr>
          <w:p w14:paraId="4E62E4EE">
            <w:pPr>
              <w:keepNext w:val="0"/>
              <w:keepLines w:val="0"/>
              <w:pageBreakBefore w:val="0"/>
              <w:widowControl w:val="0"/>
              <w:kinsoku/>
              <w:wordWrap/>
              <w:overflowPunct/>
              <w:topLinePunct w:val="0"/>
              <w:bidi w:val="0"/>
              <w:spacing w:line="360" w:lineRule="exact"/>
              <w:ind w:firstLine="0" w:firstLineChars="0"/>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依法开展规划环境影响评价</w:t>
            </w:r>
          </w:p>
        </w:tc>
        <w:tc>
          <w:tcPr>
            <w:tcW w:w="630" w:type="dxa"/>
            <w:noWrap w:val="0"/>
            <w:tcMar>
              <w:top w:w="15" w:type="dxa"/>
              <w:left w:w="15" w:type="dxa"/>
              <w:right w:w="15" w:type="dxa"/>
            </w:tcMar>
            <w:vAlign w:val="center"/>
          </w:tcPr>
          <w:p w14:paraId="1E93F54B">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w:t>
            </w:r>
          </w:p>
        </w:tc>
        <w:tc>
          <w:tcPr>
            <w:tcW w:w="1245" w:type="dxa"/>
            <w:noWrap w:val="0"/>
            <w:tcMar>
              <w:top w:w="15" w:type="dxa"/>
              <w:left w:w="15" w:type="dxa"/>
              <w:right w:w="15" w:type="dxa"/>
            </w:tcMar>
            <w:vAlign w:val="center"/>
          </w:tcPr>
          <w:p w14:paraId="777A3552">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开展</w:t>
            </w:r>
          </w:p>
        </w:tc>
        <w:tc>
          <w:tcPr>
            <w:tcW w:w="1335" w:type="dxa"/>
            <w:noWrap w:val="0"/>
            <w:tcMar>
              <w:top w:w="15" w:type="dxa"/>
              <w:left w:w="15" w:type="dxa"/>
              <w:right w:w="15" w:type="dxa"/>
            </w:tcMar>
            <w:vAlign w:val="center"/>
          </w:tcPr>
          <w:p w14:paraId="63E45E92">
            <w:pPr>
              <w:keepNext w:val="0"/>
              <w:keepLines w:val="0"/>
              <w:pageBreakBefore w:val="0"/>
              <w:widowControl w:val="0"/>
              <w:kinsoku/>
              <w:wordWrap/>
              <w:overflowPunct/>
              <w:topLinePunct w:val="0"/>
              <w:bidi w:val="0"/>
              <w:spacing w:line="360" w:lineRule="exact"/>
              <w:ind w:firstLine="0" w:firstLineChars="0"/>
              <w:jc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开展</w:t>
            </w:r>
          </w:p>
        </w:tc>
        <w:tc>
          <w:tcPr>
            <w:tcW w:w="660" w:type="dxa"/>
            <w:noWrap w:val="0"/>
            <w:tcMar>
              <w:top w:w="15" w:type="dxa"/>
              <w:left w:w="15" w:type="dxa"/>
              <w:right w:w="15" w:type="dxa"/>
            </w:tcMar>
            <w:vAlign w:val="center"/>
          </w:tcPr>
          <w:p w14:paraId="279F68AF">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是</w:t>
            </w:r>
          </w:p>
        </w:tc>
        <w:tc>
          <w:tcPr>
            <w:tcW w:w="1230" w:type="dxa"/>
            <w:noWrap w:val="0"/>
            <w:tcMar>
              <w:top w:w="15" w:type="dxa"/>
              <w:left w:w="15" w:type="dxa"/>
              <w:right w:w="15" w:type="dxa"/>
            </w:tcMar>
            <w:vAlign w:val="center"/>
          </w:tcPr>
          <w:p w14:paraId="5B07F79E">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开展</w:t>
            </w:r>
          </w:p>
        </w:tc>
        <w:tc>
          <w:tcPr>
            <w:tcW w:w="1275" w:type="dxa"/>
            <w:noWrap w:val="0"/>
            <w:tcMar>
              <w:top w:w="15" w:type="dxa"/>
              <w:left w:w="15" w:type="dxa"/>
              <w:right w:w="15" w:type="dxa"/>
            </w:tcMar>
            <w:vAlign w:val="center"/>
          </w:tcPr>
          <w:p w14:paraId="35B79E3D">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开展</w:t>
            </w:r>
          </w:p>
        </w:tc>
        <w:tc>
          <w:tcPr>
            <w:tcW w:w="945" w:type="dxa"/>
            <w:noWrap w:val="0"/>
            <w:tcMar>
              <w:top w:w="15" w:type="dxa"/>
              <w:left w:w="15" w:type="dxa"/>
              <w:right w:w="15" w:type="dxa"/>
            </w:tcMar>
            <w:vAlign w:val="center"/>
          </w:tcPr>
          <w:p w14:paraId="374B4A4F">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参考性</w:t>
            </w:r>
          </w:p>
        </w:tc>
        <w:tc>
          <w:tcPr>
            <w:tcW w:w="2373" w:type="dxa"/>
            <w:noWrap w:val="0"/>
            <w:tcMar>
              <w:top w:w="15" w:type="dxa"/>
              <w:left w:w="15" w:type="dxa"/>
              <w:right w:w="15" w:type="dxa"/>
            </w:tcMar>
            <w:vAlign w:val="center"/>
          </w:tcPr>
          <w:p w14:paraId="610E2E04">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hint="eastAsia" w:ascii="Times New Roman" w:hAnsi="Times New Roman" w:eastAsia="仿宋_GB2312"/>
                <w:sz w:val="24"/>
                <w:szCs w:val="24"/>
                <w:highlight w:val="none"/>
                <w:lang w:eastAsia="zh-CN"/>
              </w:rPr>
              <w:t>柳州市柳江</w:t>
            </w:r>
            <w:r>
              <w:rPr>
                <w:rFonts w:ascii="Times New Roman" w:hAnsi="Times New Roman" w:eastAsia="仿宋_GB2312"/>
                <w:sz w:val="24"/>
                <w:szCs w:val="24"/>
                <w:highlight w:val="none"/>
              </w:rPr>
              <w:t>生态环境局</w:t>
            </w:r>
          </w:p>
        </w:tc>
      </w:tr>
      <w:tr w14:paraId="16EE5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57" w:type="dxa"/>
            <w:vMerge w:val="restart"/>
            <w:noWrap w:val="0"/>
            <w:tcMar>
              <w:top w:w="15" w:type="dxa"/>
              <w:left w:w="15" w:type="dxa"/>
              <w:right w:w="15" w:type="dxa"/>
            </w:tcMar>
            <w:vAlign w:val="center"/>
          </w:tcPr>
          <w:p w14:paraId="25E94A5E">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生态安全</w:t>
            </w:r>
          </w:p>
        </w:tc>
        <w:tc>
          <w:tcPr>
            <w:tcW w:w="780" w:type="dxa"/>
            <w:vMerge w:val="restart"/>
            <w:noWrap w:val="0"/>
            <w:tcMar>
              <w:top w:w="15" w:type="dxa"/>
              <w:left w:w="15" w:type="dxa"/>
              <w:right w:w="15" w:type="dxa"/>
            </w:tcMar>
            <w:vAlign w:val="center"/>
          </w:tcPr>
          <w:p w14:paraId="098C641D">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（二）生态环境质量改善</w:t>
            </w:r>
          </w:p>
        </w:tc>
        <w:tc>
          <w:tcPr>
            <w:tcW w:w="630" w:type="dxa"/>
            <w:noWrap w:val="0"/>
            <w:tcMar>
              <w:top w:w="15" w:type="dxa"/>
              <w:left w:w="15" w:type="dxa"/>
              <w:right w:w="15" w:type="dxa"/>
            </w:tcMar>
            <w:vAlign w:val="center"/>
          </w:tcPr>
          <w:p w14:paraId="4455673F">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7</w:t>
            </w:r>
          </w:p>
        </w:tc>
        <w:tc>
          <w:tcPr>
            <w:tcW w:w="2702" w:type="dxa"/>
            <w:noWrap w:val="0"/>
            <w:tcMar>
              <w:top w:w="15" w:type="dxa"/>
              <w:left w:w="15" w:type="dxa"/>
              <w:right w:w="15" w:type="dxa"/>
            </w:tcMar>
            <w:vAlign w:val="center"/>
          </w:tcPr>
          <w:p w14:paraId="23F57F7C">
            <w:pPr>
              <w:keepNext w:val="0"/>
              <w:keepLines w:val="0"/>
              <w:pageBreakBefore w:val="0"/>
              <w:widowControl w:val="0"/>
              <w:kinsoku/>
              <w:wordWrap/>
              <w:overflowPunct/>
              <w:topLinePunct w:val="0"/>
              <w:bidi w:val="0"/>
              <w:spacing w:line="360" w:lineRule="exact"/>
              <w:ind w:firstLine="0" w:firstLineChars="0"/>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环境空气质量</w:t>
            </w:r>
            <w:r>
              <w:rPr>
                <w:rFonts w:ascii="Times New Roman" w:hAnsi="Times New Roman" w:eastAsia="仿宋_GB2312"/>
                <w:sz w:val="24"/>
                <w:szCs w:val="24"/>
                <w:highlight w:val="none"/>
              </w:rPr>
              <w:br w:type="textWrapping"/>
            </w:r>
            <w:r>
              <w:rPr>
                <w:rFonts w:ascii="Times New Roman" w:hAnsi="Times New Roman" w:eastAsia="仿宋_GB2312"/>
                <w:sz w:val="24"/>
                <w:szCs w:val="24"/>
                <w:highlight w:val="none"/>
              </w:rPr>
              <w:t>（1）优良天数比例</w:t>
            </w:r>
            <w:r>
              <w:rPr>
                <w:rFonts w:ascii="Times New Roman" w:hAnsi="Times New Roman" w:eastAsia="仿宋_GB2312"/>
                <w:sz w:val="24"/>
                <w:szCs w:val="24"/>
                <w:highlight w:val="none"/>
              </w:rPr>
              <w:br w:type="textWrapping"/>
            </w:r>
            <w:r>
              <w:rPr>
                <w:rFonts w:ascii="Times New Roman" w:hAnsi="Times New Roman" w:eastAsia="仿宋_GB2312"/>
                <w:sz w:val="24"/>
                <w:szCs w:val="24"/>
                <w:highlight w:val="none"/>
              </w:rPr>
              <w:t>（2）PM</w:t>
            </w:r>
            <w:r>
              <w:rPr>
                <w:rFonts w:ascii="Times New Roman" w:hAnsi="Times New Roman" w:eastAsia="仿宋_GB2312"/>
                <w:sz w:val="24"/>
                <w:szCs w:val="24"/>
                <w:highlight w:val="none"/>
                <w:vertAlign w:val="subscript"/>
              </w:rPr>
              <w:t>2.5</w:t>
            </w:r>
            <w:r>
              <w:rPr>
                <w:rFonts w:ascii="Times New Roman" w:hAnsi="Times New Roman" w:eastAsia="仿宋_GB2312"/>
                <w:sz w:val="24"/>
                <w:szCs w:val="24"/>
                <w:highlight w:val="none"/>
              </w:rPr>
              <w:t>浓度下降幅度</w:t>
            </w:r>
          </w:p>
        </w:tc>
        <w:tc>
          <w:tcPr>
            <w:tcW w:w="630" w:type="dxa"/>
            <w:noWrap w:val="0"/>
            <w:tcMar>
              <w:top w:w="15" w:type="dxa"/>
              <w:left w:w="15" w:type="dxa"/>
              <w:right w:w="15" w:type="dxa"/>
            </w:tcMar>
            <w:vAlign w:val="center"/>
          </w:tcPr>
          <w:p w14:paraId="133F4FCC">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w:t>
            </w:r>
          </w:p>
        </w:tc>
        <w:tc>
          <w:tcPr>
            <w:tcW w:w="1245" w:type="dxa"/>
            <w:noWrap w:val="0"/>
            <w:tcMar>
              <w:top w:w="15" w:type="dxa"/>
              <w:left w:w="15" w:type="dxa"/>
              <w:right w:w="15" w:type="dxa"/>
            </w:tcMar>
            <w:vAlign w:val="center"/>
          </w:tcPr>
          <w:p w14:paraId="0A871A71">
            <w:pPr>
              <w:keepNext w:val="0"/>
              <w:keepLines w:val="0"/>
              <w:pageBreakBefore w:val="0"/>
              <w:widowControl w:val="0"/>
              <w:kinsoku/>
              <w:wordWrap/>
              <w:overflowPunct/>
              <w:topLinePunct w:val="0"/>
              <w:bidi w:val="0"/>
              <w:spacing w:line="360" w:lineRule="exact"/>
              <w:ind w:firstLine="0" w:firstLineChars="0"/>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完成上级规定的考核任务；</w:t>
            </w:r>
          </w:p>
          <w:p w14:paraId="62764918">
            <w:pPr>
              <w:keepNext w:val="0"/>
              <w:keepLines w:val="0"/>
              <w:pageBreakBefore w:val="0"/>
              <w:widowControl w:val="0"/>
              <w:kinsoku/>
              <w:wordWrap/>
              <w:overflowPunct/>
              <w:topLinePunct w:val="0"/>
              <w:bidi w:val="0"/>
              <w:spacing w:line="360" w:lineRule="exact"/>
              <w:ind w:firstLine="0" w:firstLineChars="0"/>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保持稳定或持续改善</w:t>
            </w:r>
          </w:p>
        </w:tc>
        <w:tc>
          <w:tcPr>
            <w:tcW w:w="1335" w:type="dxa"/>
            <w:noWrap w:val="0"/>
            <w:tcMar>
              <w:top w:w="15" w:type="dxa"/>
              <w:left w:w="15" w:type="dxa"/>
              <w:right w:w="15" w:type="dxa"/>
            </w:tcMar>
            <w:vAlign w:val="center"/>
          </w:tcPr>
          <w:p w14:paraId="729C5555">
            <w:pPr>
              <w:keepNext w:val="0"/>
              <w:keepLines w:val="0"/>
              <w:pageBreakBefore w:val="0"/>
              <w:widowControl w:val="0"/>
              <w:kinsoku/>
              <w:wordWrap/>
              <w:overflowPunct/>
              <w:topLinePunct w:val="0"/>
              <w:bidi w:val="0"/>
              <w:spacing w:line="360" w:lineRule="exact"/>
              <w:ind w:firstLine="0" w:firstLineChars="0"/>
              <w:textAlignment w:val="center"/>
              <w:rPr>
                <w:rFonts w:hint="eastAsia" w:ascii="Times New Roman" w:hAnsi="Times New Roman" w:eastAsia="仿宋_GB2312"/>
                <w:sz w:val="24"/>
                <w:szCs w:val="24"/>
                <w:highlight w:val="none"/>
                <w:lang w:eastAsia="zh-CN"/>
              </w:rPr>
            </w:pPr>
            <w:r>
              <w:rPr>
                <w:rFonts w:ascii="Times New Roman" w:hAnsi="Times New Roman" w:eastAsia="仿宋_GB2312"/>
                <w:sz w:val="24"/>
                <w:szCs w:val="24"/>
                <w:highlight w:val="none"/>
              </w:rPr>
              <w:t>（1）</w:t>
            </w:r>
            <w:r>
              <w:rPr>
                <w:rFonts w:hint="eastAsia" w:ascii="Times New Roman" w:hAnsi="Times New Roman" w:eastAsia="仿宋_GB2312"/>
                <w:sz w:val="24"/>
                <w:szCs w:val="24"/>
                <w:highlight w:val="none"/>
                <w:lang w:eastAsia="zh-CN"/>
              </w:rPr>
              <w:t>完成上级规定的考核任务；</w:t>
            </w:r>
          </w:p>
          <w:p w14:paraId="48868EFB">
            <w:pPr>
              <w:keepNext w:val="0"/>
              <w:keepLines w:val="0"/>
              <w:pageBreakBefore w:val="0"/>
              <w:widowControl w:val="0"/>
              <w:kinsoku/>
              <w:wordWrap/>
              <w:overflowPunct/>
              <w:topLinePunct w:val="0"/>
              <w:bidi w:val="0"/>
              <w:spacing w:line="360" w:lineRule="exact"/>
              <w:ind w:firstLine="0" w:firstLineChars="0"/>
              <w:textAlignment w:val="center"/>
              <w:rPr>
                <w:rFonts w:hint="eastAsia" w:ascii="Times New Roman" w:hAnsi="Times New Roman" w:eastAsia="仿宋_GB2312"/>
                <w:sz w:val="24"/>
                <w:szCs w:val="24"/>
                <w:highlight w:val="none"/>
                <w:lang w:eastAsia="zh-CN"/>
              </w:rPr>
            </w:pPr>
            <w:r>
              <w:rPr>
                <w:rFonts w:ascii="Times New Roman" w:hAnsi="Times New Roman" w:eastAsia="仿宋_GB2312"/>
                <w:sz w:val="24"/>
                <w:szCs w:val="24"/>
                <w:highlight w:val="none"/>
              </w:rPr>
              <w:t>（2）</w:t>
            </w:r>
            <w:r>
              <w:rPr>
                <w:rFonts w:hint="eastAsia" w:ascii="Times New Roman" w:hAnsi="Times New Roman" w:eastAsia="仿宋_GB2312"/>
                <w:sz w:val="24"/>
                <w:szCs w:val="24"/>
                <w:highlight w:val="none"/>
                <w:lang w:eastAsia="zh-CN"/>
              </w:rPr>
              <w:t>持续改善。</w:t>
            </w:r>
          </w:p>
        </w:tc>
        <w:tc>
          <w:tcPr>
            <w:tcW w:w="660" w:type="dxa"/>
            <w:noWrap w:val="0"/>
            <w:tcMar>
              <w:top w:w="15" w:type="dxa"/>
              <w:left w:w="15" w:type="dxa"/>
              <w:right w:w="15" w:type="dxa"/>
            </w:tcMar>
            <w:vAlign w:val="center"/>
          </w:tcPr>
          <w:p w14:paraId="255CD81B">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是</w:t>
            </w:r>
          </w:p>
        </w:tc>
        <w:tc>
          <w:tcPr>
            <w:tcW w:w="1230" w:type="dxa"/>
            <w:noWrap w:val="0"/>
            <w:tcMar>
              <w:top w:w="15" w:type="dxa"/>
              <w:left w:w="15" w:type="dxa"/>
              <w:right w:w="15" w:type="dxa"/>
            </w:tcMar>
            <w:vAlign w:val="center"/>
          </w:tcPr>
          <w:p w14:paraId="7E4FA866">
            <w:pPr>
              <w:keepNext w:val="0"/>
              <w:keepLines w:val="0"/>
              <w:pageBreakBefore w:val="0"/>
              <w:widowControl w:val="0"/>
              <w:numPr>
                <w:ilvl w:val="0"/>
                <w:numId w:val="0"/>
              </w:numPr>
              <w:kinsoku/>
              <w:wordWrap/>
              <w:overflowPunct/>
              <w:topLinePunct w:val="0"/>
              <w:bidi w:val="0"/>
              <w:spacing w:line="360" w:lineRule="exact"/>
              <w:ind w:firstLine="0" w:firstLineChars="0"/>
              <w:textAlignment w:val="center"/>
              <w:rPr>
                <w:rFonts w:hint="eastAsia" w:ascii="Times New Roman" w:hAnsi="Times New Roman" w:eastAsia="仿宋_GB2312" w:cs="Times New Roman"/>
                <w:sz w:val="24"/>
                <w:szCs w:val="24"/>
                <w:highlight w:val="none"/>
                <w:lang w:eastAsia="zh-CN"/>
              </w:rPr>
            </w:pPr>
            <w:r>
              <w:rPr>
                <w:rFonts w:hint="eastAsia" w:ascii="Times New Roman" w:hAnsi="Times New Roman" w:eastAsia="仿宋_GB2312" w:cs="Times New Roman"/>
                <w:sz w:val="24"/>
                <w:szCs w:val="24"/>
                <w:highlight w:val="none"/>
                <w:lang w:eastAsia="zh-CN"/>
              </w:rPr>
              <w:t>（</w:t>
            </w:r>
            <w:r>
              <w:rPr>
                <w:rFonts w:hint="eastAsia" w:ascii="Times New Roman" w:hAnsi="Times New Roman" w:eastAsia="仿宋_GB2312" w:cs="Times New Roman"/>
                <w:sz w:val="24"/>
                <w:szCs w:val="24"/>
                <w:highlight w:val="none"/>
                <w:lang w:val="en-US" w:eastAsia="zh-CN"/>
              </w:rPr>
              <w:t>1</w:t>
            </w:r>
            <w:r>
              <w:rPr>
                <w:rFonts w:hint="eastAsia" w:ascii="Times New Roman" w:hAnsi="Times New Roman" w:eastAsia="仿宋_GB2312" w:cs="Times New Roman"/>
                <w:sz w:val="24"/>
                <w:szCs w:val="24"/>
                <w:highlight w:val="none"/>
                <w:lang w:eastAsia="zh-CN"/>
              </w:rPr>
              <w:t>）完成上级规定的考核任务；</w:t>
            </w:r>
          </w:p>
          <w:p w14:paraId="0FCF7FBA">
            <w:pPr>
              <w:keepNext w:val="0"/>
              <w:keepLines w:val="0"/>
              <w:pageBreakBefore w:val="0"/>
              <w:widowControl w:val="0"/>
              <w:numPr>
                <w:ilvl w:val="0"/>
                <w:numId w:val="0"/>
              </w:numPr>
              <w:kinsoku/>
              <w:wordWrap/>
              <w:overflowPunct/>
              <w:topLinePunct w:val="0"/>
              <w:bidi w:val="0"/>
              <w:spacing w:line="360" w:lineRule="exact"/>
              <w:ind w:firstLine="0" w:firstLineChars="0"/>
              <w:textAlignment w:val="center"/>
              <w:rPr>
                <w:rFonts w:hint="eastAsia" w:ascii="Times New Roman" w:hAnsi="Times New Roman" w:eastAsia="仿宋_GB2312" w:cs="Times New Roman"/>
                <w:sz w:val="24"/>
                <w:szCs w:val="24"/>
                <w:highlight w:val="none"/>
                <w:lang w:eastAsia="zh-CN"/>
              </w:rPr>
            </w:pPr>
            <w:r>
              <w:rPr>
                <w:rFonts w:hint="eastAsia" w:ascii="Times New Roman" w:hAnsi="Times New Roman" w:eastAsia="仿宋_GB2312" w:cs="Times New Roman"/>
                <w:sz w:val="24"/>
                <w:szCs w:val="24"/>
                <w:highlight w:val="none"/>
                <w:lang w:eastAsia="zh-CN"/>
              </w:rPr>
              <w:t>（2）</w:t>
            </w:r>
            <w:r>
              <w:rPr>
                <w:rFonts w:hint="eastAsia" w:ascii="Times New Roman" w:hAnsi="Times New Roman" w:eastAsia="仿宋_GB2312" w:cs="Times New Roman"/>
                <w:sz w:val="24"/>
                <w:szCs w:val="24"/>
                <w:highlight w:val="none"/>
                <w:lang w:val="en-US" w:eastAsia="zh-CN"/>
              </w:rPr>
              <w:t>保持稳定或</w:t>
            </w:r>
            <w:r>
              <w:rPr>
                <w:rFonts w:hint="eastAsia" w:ascii="Times New Roman" w:hAnsi="Times New Roman" w:eastAsia="仿宋_GB2312" w:cs="Times New Roman"/>
                <w:sz w:val="24"/>
                <w:szCs w:val="24"/>
                <w:highlight w:val="none"/>
                <w:lang w:eastAsia="zh-CN"/>
              </w:rPr>
              <w:t>持续改善。</w:t>
            </w:r>
          </w:p>
        </w:tc>
        <w:tc>
          <w:tcPr>
            <w:tcW w:w="1275" w:type="dxa"/>
            <w:noWrap w:val="0"/>
            <w:tcMar>
              <w:top w:w="15" w:type="dxa"/>
              <w:left w:w="15" w:type="dxa"/>
              <w:right w:w="15" w:type="dxa"/>
            </w:tcMar>
            <w:vAlign w:val="center"/>
          </w:tcPr>
          <w:p w14:paraId="54C33AD2">
            <w:pPr>
              <w:keepNext w:val="0"/>
              <w:keepLines w:val="0"/>
              <w:pageBreakBefore w:val="0"/>
              <w:widowControl w:val="0"/>
              <w:numPr>
                <w:ilvl w:val="0"/>
                <w:numId w:val="0"/>
              </w:numPr>
              <w:kinsoku/>
              <w:wordWrap/>
              <w:overflowPunct/>
              <w:topLinePunct w:val="0"/>
              <w:bidi w:val="0"/>
              <w:spacing w:line="360" w:lineRule="exact"/>
              <w:ind w:firstLine="0" w:firstLineChars="0"/>
              <w:textAlignment w:val="center"/>
              <w:rPr>
                <w:rFonts w:hint="eastAsia" w:ascii="Times New Roman" w:hAnsi="Times New Roman" w:eastAsia="仿宋_GB2312" w:cs="Times New Roman"/>
                <w:sz w:val="24"/>
                <w:szCs w:val="24"/>
                <w:highlight w:val="none"/>
                <w:lang w:eastAsia="zh-CN"/>
              </w:rPr>
            </w:pPr>
            <w:r>
              <w:rPr>
                <w:rFonts w:hint="eastAsia" w:ascii="Times New Roman" w:hAnsi="Times New Roman" w:eastAsia="仿宋_GB2312" w:cs="Times New Roman"/>
                <w:sz w:val="24"/>
                <w:szCs w:val="24"/>
                <w:highlight w:val="none"/>
                <w:lang w:eastAsia="zh-CN"/>
              </w:rPr>
              <w:t>（1）完成上级规定的考核任务；</w:t>
            </w:r>
          </w:p>
          <w:p w14:paraId="7B4D78DC">
            <w:pPr>
              <w:keepNext w:val="0"/>
              <w:keepLines w:val="0"/>
              <w:pageBreakBefore w:val="0"/>
              <w:widowControl w:val="0"/>
              <w:numPr>
                <w:ilvl w:val="0"/>
                <w:numId w:val="0"/>
              </w:numPr>
              <w:kinsoku/>
              <w:wordWrap/>
              <w:overflowPunct/>
              <w:topLinePunct w:val="0"/>
              <w:bidi w:val="0"/>
              <w:spacing w:line="360" w:lineRule="exact"/>
              <w:ind w:firstLine="0" w:firstLineChars="0"/>
              <w:textAlignment w:val="center"/>
              <w:rPr>
                <w:rFonts w:hint="eastAsia" w:ascii="Times New Roman" w:hAnsi="Times New Roman" w:eastAsia="仿宋_GB2312" w:cs="Times New Roman"/>
                <w:sz w:val="24"/>
                <w:szCs w:val="24"/>
                <w:highlight w:val="none"/>
                <w:lang w:eastAsia="zh-CN"/>
              </w:rPr>
            </w:pPr>
            <w:r>
              <w:rPr>
                <w:rFonts w:hint="eastAsia" w:ascii="Times New Roman" w:hAnsi="Times New Roman" w:eastAsia="仿宋_GB2312" w:cs="Times New Roman"/>
                <w:sz w:val="24"/>
                <w:szCs w:val="24"/>
                <w:highlight w:val="none"/>
                <w:lang w:eastAsia="zh-CN"/>
              </w:rPr>
              <w:t>（2）</w:t>
            </w:r>
            <w:r>
              <w:rPr>
                <w:rFonts w:hint="eastAsia" w:ascii="Times New Roman" w:hAnsi="Times New Roman" w:eastAsia="仿宋_GB2312" w:cs="Times New Roman"/>
                <w:sz w:val="24"/>
                <w:szCs w:val="24"/>
                <w:highlight w:val="none"/>
                <w:lang w:val="en-US" w:eastAsia="zh-CN"/>
              </w:rPr>
              <w:t>保持稳定或</w:t>
            </w:r>
            <w:r>
              <w:rPr>
                <w:rFonts w:hint="eastAsia" w:ascii="Times New Roman" w:hAnsi="Times New Roman" w:eastAsia="仿宋_GB2312" w:cs="Times New Roman"/>
                <w:sz w:val="24"/>
                <w:szCs w:val="24"/>
                <w:highlight w:val="none"/>
                <w:lang w:eastAsia="zh-CN"/>
              </w:rPr>
              <w:t>持续改善。</w:t>
            </w:r>
          </w:p>
        </w:tc>
        <w:tc>
          <w:tcPr>
            <w:tcW w:w="945" w:type="dxa"/>
            <w:noWrap w:val="0"/>
            <w:tcMar>
              <w:top w:w="15" w:type="dxa"/>
              <w:left w:w="15" w:type="dxa"/>
              <w:right w:w="15" w:type="dxa"/>
            </w:tcMar>
            <w:vAlign w:val="center"/>
          </w:tcPr>
          <w:p w14:paraId="00F52CEF">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约束性</w:t>
            </w:r>
          </w:p>
        </w:tc>
        <w:tc>
          <w:tcPr>
            <w:tcW w:w="2373" w:type="dxa"/>
            <w:noWrap w:val="0"/>
            <w:tcMar>
              <w:top w:w="15" w:type="dxa"/>
              <w:left w:w="15" w:type="dxa"/>
              <w:right w:w="15" w:type="dxa"/>
            </w:tcMar>
            <w:vAlign w:val="center"/>
          </w:tcPr>
          <w:p w14:paraId="17A9299F">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yellow"/>
              </w:rPr>
            </w:pPr>
            <w:r>
              <w:rPr>
                <w:rFonts w:hint="eastAsia" w:ascii="Times New Roman" w:hAnsi="Times New Roman" w:eastAsia="仿宋_GB2312"/>
                <w:sz w:val="24"/>
                <w:szCs w:val="24"/>
                <w:highlight w:val="none"/>
                <w:lang w:eastAsia="zh-CN"/>
              </w:rPr>
              <w:t>柳州市柳江</w:t>
            </w:r>
            <w:r>
              <w:rPr>
                <w:rFonts w:ascii="Times New Roman" w:hAnsi="Times New Roman" w:eastAsia="仿宋_GB2312"/>
                <w:sz w:val="24"/>
                <w:szCs w:val="24"/>
                <w:highlight w:val="none"/>
              </w:rPr>
              <w:t>生态环境局</w:t>
            </w:r>
          </w:p>
        </w:tc>
      </w:tr>
      <w:tr w14:paraId="2AD77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57" w:type="dxa"/>
            <w:vMerge w:val="continue"/>
            <w:noWrap w:val="0"/>
            <w:tcMar>
              <w:top w:w="15" w:type="dxa"/>
              <w:left w:w="15" w:type="dxa"/>
              <w:right w:w="15" w:type="dxa"/>
            </w:tcMar>
            <w:vAlign w:val="center"/>
          </w:tcPr>
          <w:p w14:paraId="6522B78E">
            <w:pPr>
              <w:keepNext w:val="0"/>
              <w:keepLines w:val="0"/>
              <w:pageBreakBefore w:val="0"/>
              <w:widowControl w:val="0"/>
              <w:kinsoku/>
              <w:wordWrap/>
              <w:overflowPunct/>
              <w:topLinePunct w:val="0"/>
              <w:bidi w:val="0"/>
              <w:spacing w:line="360" w:lineRule="exact"/>
              <w:ind w:firstLine="0" w:firstLineChars="0"/>
              <w:jc w:val="center"/>
              <w:rPr>
                <w:rFonts w:ascii="Times New Roman" w:hAnsi="Times New Roman" w:eastAsia="仿宋_GB2312"/>
                <w:sz w:val="24"/>
                <w:szCs w:val="24"/>
                <w:highlight w:val="none"/>
              </w:rPr>
            </w:pPr>
          </w:p>
        </w:tc>
        <w:tc>
          <w:tcPr>
            <w:tcW w:w="780" w:type="dxa"/>
            <w:vMerge w:val="continue"/>
            <w:noWrap w:val="0"/>
            <w:tcMar>
              <w:top w:w="15" w:type="dxa"/>
              <w:left w:w="15" w:type="dxa"/>
              <w:right w:w="15" w:type="dxa"/>
            </w:tcMar>
            <w:vAlign w:val="center"/>
          </w:tcPr>
          <w:p w14:paraId="605A4059">
            <w:pPr>
              <w:keepNext w:val="0"/>
              <w:keepLines w:val="0"/>
              <w:pageBreakBefore w:val="0"/>
              <w:widowControl w:val="0"/>
              <w:kinsoku/>
              <w:wordWrap/>
              <w:overflowPunct/>
              <w:topLinePunct w:val="0"/>
              <w:bidi w:val="0"/>
              <w:spacing w:line="360" w:lineRule="exact"/>
              <w:ind w:firstLine="0" w:firstLineChars="0"/>
              <w:jc w:val="center"/>
              <w:rPr>
                <w:rFonts w:ascii="Times New Roman" w:hAnsi="Times New Roman" w:eastAsia="仿宋_GB2312"/>
                <w:sz w:val="24"/>
                <w:szCs w:val="24"/>
                <w:highlight w:val="none"/>
              </w:rPr>
            </w:pPr>
          </w:p>
        </w:tc>
        <w:tc>
          <w:tcPr>
            <w:tcW w:w="630" w:type="dxa"/>
            <w:noWrap w:val="0"/>
            <w:tcMar>
              <w:top w:w="15" w:type="dxa"/>
              <w:left w:w="15" w:type="dxa"/>
              <w:right w:w="15" w:type="dxa"/>
            </w:tcMar>
            <w:vAlign w:val="center"/>
          </w:tcPr>
          <w:p w14:paraId="0867749A">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8</w:t>
            </w:r>
          </w:p>
        </w:tc>
        <w:tc>
          <w:tcPr>
            <w:tcW w:w="2702" w:type="dxa"/>
            <w:noWrap w:val="0"/>
            <w:tcMar>
              <w:top w:w="15" w:type="dxa"/>
              <w:left w:w="15" w:type="dxa"/>
              <w:right w:w="15" w:type="dxa"/>
            </w:tcMar>
            <w:vAlign w:val="center"/>
          </w:tcPr>
          <w:p w14:paraId="468BBB4D">
            <w:pPr>
              <w:keepNext w:val="0"/>
              <w:keepLines w:val="0"/>
              <w:pageBreakBefore w:val="0"/>
              <w:widowControl w:val="0"/>
              <w:kinsoku/>
              <w:wordWrap/>
              <w:overflowPunct/>
              <w:topLinePunct w:val="0"/>
              <w:bidi w:val="0"/>
              <w:spacing w:line="360" w:lineRule="exact"/>
              <w:ind w:firstLine="0" w:firstLineChars="0"/>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 xml:space="preserve">水环境质量 </w:t>
            </w:r>
            <w:r>
              <w:rPr>
                <w:rFonts w:ascii="Times New Roman" w:hAnsi="Times New Roman" w:eastAsia="仿宋_GB2312"/>
                <w:sz w:val="24"/>
                <w:szCs w:val="24"/>
                <w:highlight w:val="none"/>
              </w:rPr>
              <w:br w:type="textWrapping"/>
            </w:r>
            <w:r>
              <w:rPr>
                <w:rFonts w:ascii="Times New Roman" w:hAnsi="Times New Roman" w:eastAsia="仿宋_GB2312"/>
                <w:sz w:val="24"/>
                <w:szCs w:val="24"/>
                <w:highlight w:val="none"/>
              </w:rPr>
              <w:t xml:space="preserve">（1）水质达到或优于Ⅲ类比例提高幅度 </w:t>
            </w:r>
            <w:r>
              <w:rPr>
                <w:rFonts w:ascii="Times New Roman" w:hAnsi="Times New Roman" w:eastAsia="仿宋_GB2312"/>
                <w:sz w:val="24"/>
                <w:szCs w:val="24"/>
                <w:highlight w:val="none"/>
              </w:rPr>
              <w:br w:type="textWrapping"/>
            </w:r>
            <w:r>
              <w:rPr>
                <w:rFonts w:ascii="Times New Roman" w:hAnsi="Times New Roman" w:eastAsia="仿宋_GB2312"/>
                <w:sz w:val="24"/>
                <w:szCs w:val="24"/>
                <w:highlight w:val="none"/>
              </w:rPr>
              <w:t xml:space="preserve">（2）劣V类水体比例下降幅度 </w:t>
            </w:r>
            <w:r>
              <w:rPr>
                <w:rFonts w:ascii="Times New Roman" w:hAnsi="Times New Roman" w:eastAsia="仿宋_GB2312"/>
                <w:sz w:val="24"/>
                <w:szCs w:val="24"/>
                <w:highlight w:val="none"/>
              </w:rPr>
              <w:br w:type="textWrapping"/>
            </w:r>
            <w:r>
              <w:rPr>
                <w:rFonts w:ascii="Times New Roman" w:hAnsi="Times New Roman" w:eastAsia="仿宋_GB2312"/>
                <w:sz w:val="24"/>
                <w:szCs w:val="24"/>
                <w:highlight w:val="none"/>
              </w:rPr>
              <w:t>（3）黑臭水体消除比例</w:t>
            </w:r>
          </w:p>
        </w:tc>
        <w:tc>
          <w:tcPr>
            <w:tcW w:w="630" w:type="dxa"/>
            <w:noWrap w:val="0"/>
            <w:tcMar>
              <w:top w:w="15" w:type="dxa"/>
              <w:left w:w="15" w:type="dxa"/>
              <w:right w:w="15" w:type="dxa"/>
            </w:tcMar>
            <w:vAlign w:val="center"/>
          </w:tcPr>
          <w:p w14:paraId="26444250">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w:t>
            </w:r>
          </w:p>
        </w:tc>
        <w:tc>
          <w:tcPr>
            <w:tcW w:w="1245" w:type="dxa"/>
            <w:noWrap w:val="0"/>
            <w:tcMar>
              <w:top w:w="15" w:type="dxa"/>
              <w:left w:w="15" w:type="dxa"/>
              <w:right w:w="15" w:type="dxa"/>
            </w:tcMar>
            <w:vAlign w:val="center"/>
          </w:tcPr>
          <w:p w14:paraId="4D1A4594">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完成上级规定的考核任务；保持稳定或持续改善</w:t>
            </w:r>
          </w:p>
        </w:tc>
        <w:tc>
          <w:tcPr>
            <w:tcW w:w="1335" w:type="dxa"/>
            <w:noWrap w:val="0"/>
            <w:tcMar>
              <w:top w:w="15" w:type="dxa"/>
              <w:left w:w="15" w:type="dxa"/>
              <w:right w:w="15" w:type="dxa"/>
            </w:tcMar>
            <w:vAlign w:val="center"/>
          </w:tcPr>
          <w:p w14:paraId="5CE7F7B4">
            <w:pPr>
              <w:keepNext w:val="0"/>
              <w:keepLines w:val="0"/>
              <w:pageBreakBefore w:val="0"/>
              <w:widowControl w:val="0"/>
              <w:tabs>
                <w:tab w:val="left" w:pos="450"/>
              </w:tabs>
              <w:kinsoku/>
              <w:wordWrap/>
              <w:overflowPunct/>
              <w:topLinePunct w:val="0"/>
              <w:bidi w:val="0"/>
              <w:spacing w:line="360" w:lineRule="exact"/>
              <w:ind w:firstLine="0" w:firstLineChars="0"/>
              <w:jc w:val="left"/>
              <w:rPr>
                <w:rFonts w:hint="default" w:ascii="Times New Roman" w:hAnsi="Times New Roman" w:eastAsia="仿宋_GB2312"/>
                <w:sz w:val="24"/>
                <w:szCs w:val="24"/>
                <w:highlight w:val="none"/>
                <w:lang w:val="en-US" w:eastAsia="zh-CN"/>
              </w:rPr>
            </w:pPr>
            <w:r>
              <w:rPr>
                <w:rFonts w:ascii="Times New Roman" w:hAnsi="Times New Roman" w:eastAsia="仿宋_GB2312"/>
                <w:sz w:val="24"/>
                <w:szCs w:val="24"/>
                <w:highlight w:val="none"/>
              </w:rPr>
              <w:t>（1）水质优于Ⅲ类</w:t>
            </w:r>
            <w:r>
              <w:rPr>
                <w:rFonts w:hint="eastAsia" w:ascii="Times New Roman" w:hAnsi="Times New Roman" w:eastAsia="仿宋_GB2312"/>
                <w:sz w:val="24"/>
                <w:szCs w:val="24"/>
                <w:highlight w:val="none"/>
                <w:lang w:eastAsia="zh-CN"/>
              </w:rPr>
              <w:t>；</w:t>
            </w:r>
            <w:r>
              <w:rPr>
                <w:rFonts w:ascii="Times New Roman" w:hAnsi="Times New Roman" w:eastAsia="仿宋_GB2312"/>
                <w:sz w:val="24"/>
                <w:szCs w:val="24"/>
                <w:highlight w:val="none"/>
              </w:rPr>
              <w:t>（2）无劣V类水体</w:t>
            </w:r>
            <w:r>
              <w:rPr>
                <w:rFonts w:hint="eastAsia" w:ascii="Times New Roman" w:hAnsi="Times New Roman" w:eastAsia="仿宋_GB2312"/>
                <w:sz w:val="24"/>
                <w:szCs w:val="24"/>
                <w:highlight w:val="none"/>
                <w:lang w:eastAsia="zh-CN"/>
              </w:rPr>
              <w:t>；</w:t>
            </w:r>
            <w:r>
              <w:rPr>
                <w:rFonts w:ascii="Times New Roman" w:hAnsi="Times New Roman" w:eastAsia="仿宋_GB2312"/>
                <w:sz w:val="24"/>
                <w:szCs w:val="24"/>
                <w:highlight w:val="none"/>
              </w:rPr>
              <w:t>（3）</w:t>
            </w:r>
            <w:r>
              <w:rPr>
                <w:rFonts w:hint="eastAsia" w:ascii="Times New Roman" w:hAnsi="Times New Roman" w:eastAsia="仿宋_GB2312"/>
                <w:sz w:val="24"/>
                <w:szCs w:val="24"/>
                <w:highlight w:val="none"/>
                <w:lang w:eastAsia="zh-CN"/>
              </w:rPr>
              <w:t>仅有一处</w:t>
            </w:r>
            <w:r>
              <w:rPr>
                <w:rFonts w:ascii="Times New Roman" w:hAnsi="Times New Roman" w:eastAsia="仿宋_GB2312"/>
                <w:sz w:val="24"/>
                <w:szCs w:val="24"/>
                <w:highlight w:val="none"/>
              </w:rPr>
              <w:t>黑臭水</w:t>
            </w:r>
            <w:r>
              <w:rPr>
                <w:rFonts w:hint="eastAsia" w:eastAsia="仿宋_GB2312"/>
                <w:sz w:val="24"/>
                <w:szCs w:val="24"/>
                <w:highlight w:val="none"/>
                <w:lang w:eastAsia="zh-CN"/>
              </w:rPr>
              <w:t>体，</w:t>
            </w:r>
            <w:r>
              <w:rPr>
                <w:rFonts w:hint="eastAsia" w:ascii="Times New Roman" w:hAnsi="Times New Roman" w:eastAsia="仿宋_GB2312"/>
                <w:sz w:val="24"/>
                <w:szCs w:val="24"/>
                <w:highlight w:val="none"/>
                <w:lang w:eastAsia="zh-CN"/>
              </w:rPr>
              <w:t>预计</w:t>
            </w:r>
            <w:r>
              <w:rPr>
                <w:rFonts w:hint="eastAsia" w:ascii="Times New Roman" w:hAnsi="Times New Roman" w:eastAsia="仿宋_GB2312"/>
                <w:sz w:val="24"/>
                <w:szCs w:val="24"/>
                <w:highlight w:val="none"/>
                <w:lang w:val="en-US" w:eastAsia="zh-CN"/>
              </w:rPr>
              <w:t>2024年底完成治理</w:t>
            </w:r>
          </w:p>
        </w:tc>
        <w:tc>
          <w:tcPr>
            <w:tcW w:w="660" w:type="dxa"/>
            <w:noWrap w:val="0"/>
            <w:tcMar>
              <w:top w:w="15" w:type="dxa"/>
              <w:left w:w="15" w:type="dxa"/>
              <w:right w:w="15" w:type="dxa"/>
            </w:tcMar>
            <w:vAlign w:val="center"/>
          </w:tcPr>
          <w:p w14:paraId="5ADE3B90">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是</w:t>
            </w:r>
          </w:p>
        </w:tc>
        <w:tc>
          <w:tcPr>
            <w:tcW w:w="1230" w:type="dxa"/>
            <w:noWrap w:val="0"/>
            <w:tcMar>
              <w:top w:w="15" w:type="dxa"/>
              <w:left w:w="15" w:type="dxa"/>
              <w:right w:w="15" w:type="dxa"/>
            </w:tcMar>
            <w:vAlign w:val="center"/>
          </w:tcPr>
          <w:p w14:paraId="66BB65A4">
            <w:pPr>
              <w:keepNext w:val="0"/>
              <w:keepLines w:val="0"/>
              <w:pageBreakBefore w:val="0"/>
              <w:widowControl w:val="0"/>
              <w:kinsoku/>
              <w:wordWrap/>
              <w:overflowPunct/>
              <w:topLinePunct w:val="0"/>
              <w:bidi w:val="0"/>
              <w:spacing w:line="360" w:lineRule="exact"/>
              <w:ind w:firstLine="0" w:firstLineChars="0"/>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完成上级规定的考核任务；保持稳定或持续改善</w:t>
            </w:r>
          </w:p>
        </w:tc>
        <w:tc>
          <w:tcPr>
            <w:tcW w:w="1275" w:type="dxa"/>
            <w:noWrap w:val="0"/>
            <w:tcMar>
              <w:top w:w="15" w:type="dxa"/>
              <w:left w:w="15" w:type="dxa"/>
              <w:right w:w="15" w:type="dxa"/>
            </w:tcMar>
            <w:vAlign w:val="center"/>
          </w:tcPr>
          <w:p w14:paraId="48FE8178">
            <w:pPr>
              <w:keepNext w:val="0"/>
              <w:keepLines w:val="0"/>
              <w:pageBreakBefore w:val="0"/>
              <w:widowControl w:val="0"/>
              <w:kinsoku/>
              <w:wordWrap/>
              <w:overflowPunct/>
              <w:topLinePunct w:val="0"/>
              <w:bidi w:val="0"/>
              <w:spacing w:line="360" w:lineRule="exact"/>
              <w:ind w:firstLine="0" w:firstLineChars="0"/>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完成上级规定的考核任务；保持稳定或持续改善</w:t>
            </w:r>
          </w:p>
        </w:tc>
        <w:tc>
          <w:tcPr>
            <w:tcW w:w="945" w:type="dxa"/>
            <w:noWrap w:val="0"/>
            <w:tcMar>
              <w:top w:w="15" w:type="dxa"/>
              <w:left w:w="15" w:type="dxa"/>
              <w:right w:w="15" w:type="dxa"/>
            </w:tcMar>
            <w:vAlign w:val="center"/>
          </w:tcPr>
          <w:p w14:paraId="0F67ED5F">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约束性</w:t>
            </w:r>
          </w:p>
        </w:tc>
        <w:tc>
          <w:tcPr>
            <w:tcW w:w="2373" w:type="dxa"/>
            <w:noWrap w:val="0"/>
            <w:tcMar>
              <w:top w:w="15" w:type="dxa"/>
              <w:left w:w="15" w:type="dxa"/>
              <w:right w:w="15" w:type="dxa"/>
            </w:tcMar>
            <w:vAlign w:val="center"/>
          </w:tcPr>
          <w:p w14:paraId="1D277141">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hint="eastAsia" w:ascii="Times New Roman" w:hAnsi="Times New Roman" w:eastAsia="仿宋_GB2312"/>
                <w:sz w:val="24"/>
                <w:szCs w:val="24"/>
                <w:highlight w:val="none"/>
                <w:lang w:eastAsia="zh-CN"/>
              </w:rPr>
              <w:t>柳州市柳江生态</w:t>
            </w:r>
            <w:r>
              <w:rPr>
                <w:rFonts w:ascii="Times New Roman" w:hAnsi="Times New Roman" w:eastAsia="仿宋_GB2312"/>
                <w:sz w:val="24"/>
                <w:szCs w:val="24"/>
                <w:highlight w:val="none"/>
              </w:rPr>
              <w:t>环境局</w:t>
            </w:r>
          </w:p>
        </w:tc>
      </w:tr>
      <w:tr w14:paraId="27AE1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57" w:type="dxa"/>
            <w:vMerge w:val="continue"/>
            <w:noWrap w:val="0"/>
            <w:tcMar>
              <w:top w:w="15" w:type="dxa"/>
              <w:left w:w="15" w:type="dxa"/>
              <w:right w:w="15" w:type="dxa"/>
            </w:tcMar>
            <w:vAlign w:val="center"/>
          </w:tcPr>
          <w:p w14:paraId="2F458CD8">
            <w:pPr>
              <w:keepNext w:val="0"/>
              <w:keepLines w:val="0"/>
              <w:pageBreakBefore w:val="0"/>
              <w:widowControl w:val="0"/>
              <w:kinsoku/>
              <w:wordWrap/>
              <w:overflowPunct/>
              <w:topLinePunct w:val="0"/>
              <w:bidi w:val="0"/>
              <w:spacing w:line="360" w:lineRule="exact"/>
              <w:ind w:firstLine="0" w:firstLineChars="0"/>
              <w:jc w:val="center"/>
              <w:rPr>
                <w:rFonts w:ascii="Times New Roman" w:hAnsi="Times New Roman" w:eastAsia="仿宋_GB2312"/>
                <w:sz w:val="24"/>
                <w:szCs w:val="24"/>
                <w:highlight w:val="yellow"/>
              </w:rPr>
            </w:pPr>
          </w:p>
        </w:tc>
        <w:tc>
          <w:tcPr>
            <w:tcW w:w="780" w:type="dxa"/>
            <w:vMerge w:val="restart"/>
            <w:noWrap w:val="0"/>
            <w:tcMar>
              <w:top w:w="15" w:type="dxa"/>
              <w:left w:w="15" w:type="dxa"/>
              <w:right w:w="15" w:type="dxa"/>
            </w:tcMar>
            <w:vAlign w:val="center"/>
          </w:tcPr>
          <w:p w14:paraId="7E90A3D9">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（三）生态系统保护</w:t>
            </w:r>
          </w:p>
        </w:tc>
        <w:tc>
          <w:tcPr>
            <w:tcW w:w="630" w:type="dxa"/>
            <w:noWrap w:val="0"/>
            <w:tcMar>
              <w:top w:w="15" w:type="dxa"/>
              <w:left w:w="15" w:type="dxa"/>
              <w:right w:w="15" w:type="dxa"/>
            </w:tcMar>
            <w:vAlign w:val="center"/>
          </w:tcPr>
          <w:p w14:paraId="1E76F609">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9</w:t>
            </w:r>
          </w:p>
        </w:tc>
        <w:tc>
          <w:tcPr>
            <w:tcW w:w="2702" w:type="dxa"/>
            <w:noWrap w:val="0"/>
            <w:tcMar>
              <w:top w:w="15" w:type="dxa"/>
              <w:left w:w="15" w:type="dxa"/>
              <w:right w:w="15" w:type="dxa"/>
            </w:tcMar>
            <w:vAlign w:val="center"/>
          </w:tcPr>
          <w:p w14:paraId="3F46B115">
            <w:pPr>
              <w:keepNext w:val="0"/>
              <w:keepLines w:val="0"/>
              <w:pageBreakBefore w:val="0"/>
              <w:widowControl w:val="0"/>
              <w:kinsoku/>
              <w:wordWrap/>
              <w:overflowPunct/>
              <w:topLinePunct w:val="0"/>
              <w:bidi w:val="0"/>
              <w:spacing w:line="360" w:lineRule="exact"/>
              <w:ind w:firstLine="0" w:firstLineChars="0"/>
              <w:textAlignment w:val="center"/>
              <w:rPr>
                <w:rFonts w:hint="eastAsia" w:ascii="Times New Roman" w:hAnsi="Times New Roman" w:eastAsia="仿宋_GB2312"/>
                <w:sz w:val="24"/>
                <w:szCs w:val="24"/>
                <w:highlight w:val="none"/>
                <w:lang w:eastAsia="zh-CN"/>
              </w:rPr>
            </w:pPr>
            <w:r>
              <w:rPr>
                <w:rFonts w:ascii="Times New Roman" w:hAnsi="Times New Roman" w:eastAsia="仿宋_GB2312"/>
                <w:sz w:val="24"/>
                <w:szCs w:val="24"/>
                <w:highlight w:val="none"/>
              </w:rPr>
              <w:t>生态环境状况指数</w:t>
            </w:r>
            <w:r>
              <w:rPr>
                <w:rFonts w:hint="eastAsia" w:ascii="Times New Roman" w:hAnsi="Times New Roman" w:eastAsia="仿宋_GB2312"/>
                <w:sz w:val="24"/>
                <w:szCs w:val="24"/>
                <w:highlight w:val="none"/>
                <w:lang w:eastAsia="zh-CN"/>
              </w:rPr>
              <w:t>（湿润地区）</w:t>
            </w:r>
          </w:p>
        </w:tc>
        <w:tc>
          <w:tcPr>
            <w:tcW w:w="630" w:type="dxa"/>
            <w:noWrap w:val="0"/>
            <w:tcMar>
              <w:top w:w="15" w:type="dxa"/>
              <w:left w:w="15" w:type="dxa"/>
              <w:right w:w="15" w:type="dxa"/>
            </w:tcMar>
            <w:vAlign w:val="center"/>
          </w:tcPr>
          <w:p w14:paraId="6D8B7764">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w:t>
            </w:r>
          </w:p>
        </w:tc>
        <w:tc>
          <w:tcPr>
            <w:tcW w:w="1245" w:type="dxa"/>
            <w:noWrap w:val="0"/>
            <w:tcMar>
              <w:top w:w="15" w:type="dxa"/>
              <w:left w:w="15" w:type="dxa"/>
              <w:right w:w="15" w:type="dxa"/>
            </w:tcMar>
            <w:vAlign w:val="center"/>
          </w:tcPr>
          <w:p w14:paraId="203095C1">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≥60</w:t>
            </w:r>
          </w:p>
        </w:tc>
        <w:tc>
          <w:tcPr>
            <w:tcW w:w="1335" w:type="dxa"/>
            <w:noWrap w:val="0"/>
            <w:tcMar>
              <w:top w:w="15" w:type="dxa"/>
              <w:left w:w="15" w:type="dxa"/>
              <w:right w:w="15" w:type="dxa"/>
            </w:tcMar>
            <w:vAlign w:val="center"/>
          </w:tcPr>
          <w:p w14:paraId="2E9D781F">
            <w:pPr>
              <w:keepNext w:val="0"/>
              <w:keepLines w:val="0"/>
              <w:pageBreakBefore w:val="0"/>
              <w:widowControl w:val="0"/>
              <w:kinsoku/>
              <w:wordWrap/>
              <w:overflowPunct/>
              <w:topLinePunct w:val="0"/>
              <w:bidi w:val="0"/>
              <w:spacing w:line="360" w:lineRule="exact"/>
              <w:ind w:firstLine="0" w:firstLineChars="0"/>
              <w:jc w:val="center"/>
              <w:rPr>
                <w:rFonts w:hint="default" w:ascii="Times New Roman" w:hAnsi="Times New Roman" w:eastAsia="仿宋_GB2312"/>
                <w:sz w:val="24"/>
                <w:szCs w:val="24"/>
                <w:highlight w:val="none"/>
                <w:lang w:val="en-US" w:eastAsia="zh-CN"/>
              </w:rPr>
            </w:pPr>
            <w:r>
              <w:rPr>
                <w:rFonts w:hint="eastAsia" w:ascii="Times New Roman" w:hAnsi="Times New Roman" w:eastAsia="仿宋_GB2312"/>
                <w:sz w:val="24"/>
                <w:szCs w:val="24"/>
                <w:highlight w:val="none"/>
                <w:lang w:val="en-US" w:eastAsia="zh-CN"/>
              </w:rPr>
              <w:t>84.71</w:t>
            </w:r>
          </w:p>
        </w:tc>
        <w:tc>
          <w:tcPr>
            <w:tcW w:w="660" w:type="dxa"/>
            <w:noWrap w:val="0"/>
            <w:tcMar>
              <w:top w:w="15" w:type="dxa"/>
              <w:left w:w="15" w:type="dxa"/>
              <w:right w:w="15" w:type="dxa"/>
            </w:tcMar>
            <w:vAlign w:val="center"/>
          </w:tcPr>
          <w:p w14:paraId="2629F992">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是</w:t>
            </w:r>
          </w:p>
        </w:tc>
        <w:tc>
          <w:tcPr>
            <w:tcW w:w="1230" w:type="dxa"/>
            <w:noWrap w:val="0"/>
            <w:tcMar>
              <w:top w:w="15" w:type="dxa"/>
              <w:left w:w="15" w:type="dxa"/>
              <w:right w:w="15" w:type="dxa"/>
            </w:tcMar>
            <w:vAlign w:val="center"/>
          </w:tcPr>
          <w:p w14:paraId="55CC9DE7">
            <w:pPr>
              <w:keepNext w:val="0"/>
              <w:keepLines w:val="0"/>
              <w:pageBreakBefore w:val="0"/>
              <w:widowControl w:val="0"/>
              <w:kinsoku/>
              <w:wordWrap/>
              <w:overflowPunct/>
              <w:topLinePunct w:val="0"/>
              <w:bidi w:val="0"/>
              <w:spacing w:line="360" w:lineRule="exact"/>
              <w:ind w:firstLine="0" w:firstLineChars="0"/>
              <w:jc w:val="center"/>
              <w:textAlignment w:val="center"/>
              <w:rPr>
                <w:rFonts w:hint="eastAsia" w:ascii="Times New Roman" w:hAnsi="Times New Roman" w:eastAsia="仿宋_GB2312"/>
                <w:sz w:val="24"/>
                <w:szCs w:val="24"/>
                <w:highlight w:val="none"/>
                <w:lang w:eastAsia="zh-CN"/>
              </w:rPr>
            </w:pPr>
            <w:r>
              <w:rPr>
                <w:rFonts w:hint="eastAsia" w:ascii="Times New Roman" w:hAnsi="Times New Roman" w:eastAsia="仿宋_GB2312"/>
                <w:sz w:val="24"/>
                <w:szCs w:val="24"/>
                <w:highlight w:val="none"/>
                <w:lang w:eastAsia="zh-CN"/>
              </w:rPr>
              <w:t>不降低</w:t>
            </w:r>
          </w:p>
        </w:tc>
        <w:tc>
          <w:tcPr>
            <w:tcW w:w="1275" w:type="dxa"/>
            <w:noWrap w:val="0"/>
            <w:tcMar>
              <w:top w:w="15" w:type="dxa"/>
              <w:left w:w="15" w:type="dxa"/>
              <w:right w:w="15" w:type="dxa"/>
            </w:tcMar>
            <w:vAlign w:val="center"/>
          </w:tcPr>
          <w:p w14:paraId="146F3FBA">
            <w:pPr>
              <w:keepNext w:val="0"/>
              <w:keepLines w:val="0"/>
              <w:pageBreakBefore w:val="0"/>
              <w:widowControl w:val="0"/>
              <w:kinsoku/>
              <w:wordWrap/>
              <w:overflowPunct/>
              <w:topLinePunct w:val="0"/>
              <w:bidi w:val="0"/>
              <w:spacing w:line="360" w:lineRule="exact"/>
              <w:ind w:firstLine="0" w:firstLineChars="0"/>
              <w:jc w:val="center"/>
              <w:textAlignment w:val="center"/>
              <w:rPr>
                <w:rFonts w:hint="eastAsia" w:ascii="Times New Roman" w:hAnsi="Times New Roman" w:eastAsia="仿宋_GB2312"/>
                <w:sz w:val="24"/>
                <w:szCs w:val="24"/>
                <w:highlight w:val="none"/>
                <w:lang w:eastAsia="zh-CN"/>
              </w:rPr>
            </w:pPr>
            <w:r>
              <w:rPr>
                <w:rFonts w:hint="eastAsia" w:ascii="Times New Roman" w:hAnsi="Times New Roman" w:eastAsia="仿宋_GB2312"/>
                <w:sz w:val="24"/>
                <w:szCs w:val="24"/>
                <w:highlight w:val="none"/>
                <w:lang w:eastAsia="zh-CN"/>
              </w:rPr>
              <w:t>不降低</w:t>
            </w:r>
          </w:p>
        </w:tc>
        <w:tc>
          <w:tcPr>
            <w:tcW w:w="945" w:type="dxa"/>
            <w:noWrap w:val="0"/>
            <w:tcMar>
              <w:top w:w="15" w:type="dxa"/>
              <w:left w:w="15" w:type="dxa"/>
              <w:right w:w="15" w:type="dxa"/>
            </w:tcMar>
            <w:vAlign w:val="center"/>
          </w:tcPr>
          <w:p w14:paraId="726F7FC9">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shd w:val="clear" w:color="auto" w:fill="auto"/>
              </w:rPr>
              <w:t>约束性</w:t>
            </w:r>
          </w:p>
        </w:tc>
        <w:tc>
          <w:tcPr>
            <w:tcW w:w="2373" w:type="dxa"/>
            <w:noWrap w:val="0"/>
            <w:tcMar>
              <w:top w:w="15" w:type="dxa"/>
              <w:left w:w="15" w:type="dxa"/>
              <w:right w:w="15" w:type="dxa"/>
            </w:tcMar>
            <w:vAlign w:val="center"/>
          </w:tcPr>
          <w:p w14:paraId="5DD7B673">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bCs/>
                <w:sz w:val="24"/>
                <w:szCs w:val="24"/>
                <w:highlight w:val="none"/>
              </w:rPr>
            </w:pPr>
            <w:r>
              <w:rPr>
                <w:rFonts w:hint="eastAsia" w:ascii="Times New Roman" w:hAnsi="Times New Roman" w:eastAsia="仿宋_GB2312"/>
                <w:bCs/>
                <w:sz w:val="24"/>
                <w:szCs w:val="24"/>
                <w:highlight w:val="none"/>
                <w:lang w:eastAsia="zh-CN"/>
              </w:rPr>
              <w:t>柳州市柳江</w:t>
            </w:r>
            <w:r>
              <w:rPr>
                <w:rFonts w:ascii="Times New Roman" w:hAnsi="Times New Roman" w:eastAsia="仿宋_GB2312"/>
                <w:bCs/>
                <w:sz w:val="24"/>
                <w:szCs w:val="24"/>
                <w:highlight w:val="none"/>
              </w:rPr>
              <w:t>生态环境局、</w:t>
            </w:r>
            <w:r>
              <w:rPr>
                <w:rFonts w:hint="eastAsia" w:ascii="Times New Roman" w:hAnsi="Times New Roman" w:eastAsia="仿宋_GB2312"/>
                <w:bCs/>
                <w:sz w:val="24"/>
                <w:szCs w:val="24"/>
                <w:highlight w:val="none"/>
                <w:lang w:eastAsia="zh-CN"/>
              </w:rPr>
              <w:t>柳江区</w:t>
            </w:r>
            <w:r>
              <w:rPr>
                <w:rFonts w:ascii="Times New Roman" w:hAnsi="Times New Roman" w:eastAsia="仿宋_GB2312"/>
                <w:bCs/>
                <w:sz w:val="24"/>
                <w:szCs w:val="24"/>
                <w:highlight w:val="none"/>
              </w:rPr>
              <w:t>自然</w:t>
            </w:r>
            <w:r>
              <w:rPr>
                <w:rFonts w:hint="eastAsia" w:ascii="Times New Roman" w:hAnsi="Times New Roman" w:eastAsia="仿宋_GB2312"/>
                <w:bCs/>
                <w:sz w:val="24"/>
                <w:szCs w:val="24"/>
                <w:highlight w:val="none"/>
                <w:lang w:eastAsia="zh-CN"/>
              </w:rPr>
              <w:t>资源</w:t>
            </w:r>
            <w:r>
              <w:rPr>
                <w:rFonts w:ascii="Times New Roman" w:hAnsi="Times New Roman" w:eastAsia="仿宋_GB2312"/>
                <w:bCs/>
                <w:sz w:val="24"/>
                <w:szCs w:val="24"/>
                <w:highlight w:val="none"/>
              </w:rPr>
              <w:t>局、</w:t>
            </w:r>
            <w:r>
              <w:rPr>
                <w:rFonts w:hint="eastAsia" w:ascii="Times New Roman" w:hAnsi="Times New Roman" w:eastAsia="仿宋_GB2312"/>
                <w:sz w:val="24"/>
                <w:szCs w:val="24"/>
                <w:highlight w:val="none"/>
                <w:lang w:eastAsia="zh-CN"/>
              </w:rPr>
              <w:t>柳江区</w:t>
            </w:r>
            <w:r>
              <w:rPr>
                <w:rFonts w:ascii="Times New Roman" w:hAnsi="Times New Roman" w:eastAsia="仿宋_GB2312"/>
                <w:bCs/>
                <w:sz w:val="24"/>
                <w:szCs w:val="24"/>
                <w:highlight w:val="none"/>
              </w:rPr>
              <w:t>水利局、</w:t>
            </w:r>
            <w:r>
              <w:rPr>
                <w:rFonts w:hint="eastAsia" w:ascii="Times New Roman" w:hAnsi="Times New Roman" w:eastAsia="仿宋_GB2312"/>
                <w:sz w:val="24"/>
                <w:szCs w:val="24"/>
                <w:highlight w:val="none"/>
                <w:lang w:eastAsia="zh-CN"/>
              </w:rPr>
              <w:t>柳江区</w:t>
            </w:r>
            <w:r>
              <w:rPr>
                <w:rFonts w:ascii="Times New Roman" w:hAnsi="Times New Roman" w:eastAsia="仿宋_GB2312"/>
                <w:bCs/>
                <w:sz w:val="24"/>
                <w:szCs w:val="24"/>
                <w:highlight w:val="none"/>
              </w:rPr>
              <w:t>林业局</w:t>
            </w:r>
          </w:p>
        </w:tc>
      </w:tr>
      <w:tr w14:paraId="6ED2C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57" w:type="dxa"/>
            <w:vMerge w:val="continue"/>
            <w:noWrap w:val="0"/>
            <w:tcMar>
              <w:top w:w="15" w:type="dxa"/>
              <w:left w:w="15" w:type="dxa"/>
              <w:right w:w="15" w:type="dxa"/>
            </w:tcMar>
            <w:vAlign w:val="center"/>
          </w:tcPr>
          <w:p w14:paraId="7728D93F">
            <w:pPr>
              <w:keepNext w:val="0"/>
              <w:keepLines w:val="0"/>
              <w:pageBreakBefore w:val="0"/>
              <w:widowControl w:val="0"/>
              <w:kinsoku/>
              <w:wordWrap/>
              <w:overflowPunct/>
              <w:topLinePunct w:val="0"/>
              <w:bidi w:val="0"/>
              <w:spacing w:line="360" w:lineRule="exact"/>
              <w:ind w:firstLine="0" w:firstLineChars="0"/>
              <w:jc w:val="center"/>
              <w:rPr>
                <w:rFonts w:ascii="Times New Roman" w:hAnsi="Times New Roman" w:eastAsia="仿宋_GB2312"/>
                <w:sz w:val="24"/>
                <w:szCs w:val="24"/>
                <w:highlight w:val="yellow"/>
              </w:rPr>
            </w:pPr>
          </w:p>
        </w:tc>
        <w:tc>
          <w:tcPr>
            <w:tcW w:w="780" w:type="dxa"/>
            <w:vMerge w:val="continue"/>
            <w:noWrap w:val="0"/>
            <w:tcMar>
              <w:top w:w="15" w:type="dxa"/>
              <w:left w:w="15" w:type="dxa"/>
              <w:right w:w="15" w:type="dxa"/>
            </w:tcMar>
            <w:vAlign w:val="center"/>
          </w:tcPr>
          <w:p w14:paraId="30E8242F">
            <w:pPr>
              <w:keepNext w:val="0"/>
              <w:keepLines w:val="0"/>
              <w:pageBreakBefore w:val="0"/>
              <w:widowControl w:val="0"/>
              <w:kinsoku/>
              <w:wordWrap/>
              <w:overflowPunct/>
              <w:topLinePunct w:val="0"/>
              <w:bidi w:val="0"/>
              <w:spacing w:line="360" w:lineRule="exact"/>
              <w:ind w:firstLine="0" w:firstLineChars="0"/>
              <w:jc w:val="center"/>
              <w:rPr>
                <w:rFonts w:ascii="Times New Roman" w:hAnsi="Times New Roman" w:eastAsia="仿宋_GB2312"/>
                <w:sz w:val="24"/>
                <w:szCs w:val="24"/>
                <w:highlight w:val="none"/>
              </w:rPr>
            </w:pPr>
          </w:p>
        </w:tc>
        <w:tc>
          <w:tcPr>
            <w:tcW w:w="630" w:type="dxa"/>
            <w:noWrap w:val="0"/>
            <w:tcMar>
              <w:top w:w="15" w:type="dxa"/>
              <w:left w:w="15" w:type="dxa"/>
              <w:right w:w="15" w:type="dxa"/>
            </w:tcMar>
            <w:vAlign w:val="center"/>
          </w:tcPr>
          <w:p w14:paraId="524CDE5C">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10</w:t>
            </w:r>
          </w:p>
        </w:tc>
        <w:tc>
          <w:tcPr>
            <w:tcW w:w="2702" w:type="dxa"/>
            <w:noWrap w:val="0"/>
            <w:tcMar>
              <w:top w:w="15" w:type="dxa"/>
              <w:left w:w="15" w:type="dxa"/>
              <w:right w:w="15" w:type="dxa"/>
            </w:tcMar>
            <w:vAlign w:val="center"/>
          </w:tcPr>
          <w:p w14:paraId="6A886E60">
            <w:pPr>
              <w:keepNext w:val="0"/>
              <w:keepLines w:val="0"/>
              <w:pageBreakBefore w:val="0"/>
              <w:widowControl w:val="0"/>
              <w:kinsoku/>
              <w:wordWrap/>
              <w:overflowPunct/>
              <w:topLinePunct w:val="0"/>
              <w:bidi w:val="0"/>
              <w:spacing w:line="360" w:lineRule="exact"/>
              <w:ind w:firstLine="0" w:firstLineChars="0"/>
              <w:textAlignment w:val="center"/>
              <w:rPr>
                <w:rFonts w:hint="eastAsia" w:ascii="Times New Roman" w:hAnsi="Times New Roman" w:eastAsia="仿宋_GB2312"/>
                <w:sz w:val="24"/>
                <w:szCs w:val="24"/>
                <w:highlight w:val="none"/>
                <w:lang w:eastAsia="zh-CN"/>
              </w:rPr>
            </w:pPr>
            <w:r>
              <w:rPr>
                <w:rFonts w:ascii="Times New Roman" w:hAnsi="Times New Roman" w:eastAsia="仿宋_GB2312"/>
                <w:sz w:val="24"/>
                <w:szCs w:val="24"/>
                <w:highlight w:val="none"/>
              </w:rPr>
              <w:t>林草覆盖率</w:t>
            </w:r>
            <w:r>
              <w:rPr>
                <w:rFonts w:hint="eastAsia" w:ascii="Times New Roman" w:hAnsi="Times New Roman" w:eastAsia="仿宋_GB2312"/>
                <w:sz w:val="24"/>
                <w:szCs w:val="24"/>
                <w:highlight w:val="none"/>
                <w:lang w:eastAsia="zh-CN"/>
              </w:rPr>
              <w:t>（丘陵地区）</w:t>
            </w:r>
          </w:p>
        </w:tc>
        <w:tc>
          <w:tcPr>
            <w:tcW w:w="630" w:type="dxa"/>
            <w:noWrap w:val="0"/>
            <w:tcMar>
              <w:top w:w="15" w:type="dxa"/>
              <w:left w:w="15" w:type="dxa"/>
              <w:right w:w="15" w:type="dxa"/>
            </w:tcMar>
            <w:vAlign w:val="center"/>
          </w:tcPr>
          <w:p w14:paraId="7847228A">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w:t>
            </w:r>
          </w:p>
        </w:tc>
        <w:tc>
          <w:tcPr>
            <w:tcW w:w="1245" w:type="dxa"/>
            <w:noWrap w:val="0"/>
            <w:tcMar>
              <w:top w:w="15" w:type="dxa"/>
              <w:left w:w="15" w:type="dxa"/>
              <w:right w:w="15" w:type="dxa"/>
            </w:tcMar>
            <w:vAlign w:val="center"/>
          </w:tcPr>
          <w:p w14:paraId="5C7A9ABB">
            <w:pPr>
              <w:keepNext w:val="0"/>
              <w:keepLines w:val="0"/>
              <w:pageBreakBefore w:val="0"/>
              <w:widowControl w:val="0"/>
              <w:kinsoku/>
              <w:wordWrap/>
              <w:overflowPunct/>
              <w:topLinePunct w:val="0"/>
              <w:bidi w:val="0"/>
              <w:spacing w:line="360" w:lineRule="exact"/>
              <w:ind w:firstLine="0" w:firstLineChars="0"/>
              <w:jc w:val="center"/>
              <w:textAlignment w:val="center"/>
              <w:rPr>
                <w:rFonts w:hint="default" w:ascii="Times New Roman" w:hAnsi="Times New Roman" w:eastAsia="仿宋_GB2312"/>
                <w:sz w:val="24"/>
                <w:szCs w:val="24"/>
                <w:highlight w:val="none"/>
                <w:lang w:val="en-US" w:eastAsia="zh-CN"/>
              </w:rPr>
            </w:pPr>
            <w:r>
              <w:rPr>
                <w:rFonts w:ascii="Times New Roman" w:hAnsi="Times New Roman" w:eastAsia="仿宋_GB2312"/>
                <w:sz w:val="24"/>
                <w:szCs w:val="24"/>
                <w:highlight w:val="none"/>
              </w:rPr>
              <w:t>≥</w:t>
            </w:r>
            <w:r>
              <w:rPr>
                <w:rFonts w:hint="eastAsia" w:ascii="Times New Roman" w:hAnsi="Times New Roman" w:eastAsia="仿宋_GB2312"/>
                <w:sz w:val="24"/>
                <w:szCs w:val="24"/>
                <w:highlight w:val="none"/>
                <w:lang w:val="en-US" w:eastAsia="zh-CN"/>
              </w:rPr>
              <w:t>40</w:t>
            </w:r>
          </w:p>
        </w:tc>
        <w:tc>
          <w:tcPr>
            <w:tcW w:w="1335" w:type="dxa"/>
            <w:noWrap w:val="0"/>
            <w:tcMar>
              <w:top w:w="15" w:type="dxa"/>
              <w:left w:w="15" w:type="dxa"/>
              <w:right w:w="15" w:type="dxa"/>
            </w:tcMar>
            <w:vAlign w:val="center"/>
          </w:tcPr>
          <w:p w14:paraId="5795F4EB">
            <w:pPr>
              <w:keepNext w:val="0"/>
              <w:keepLines w:val="0"/>
              <w:pageBreakBefore w:val="0"/>
              <w:widowControl w:val="0"/>
              <w:kinsoku/>
              <w:wordWrap/>
              <w:overflowPunct/>
              <w:topLinePunct w:val="0"/>
              <w:bidi w:val="0"/>
              <w:spacing w:line="360" w:lineRule="exact"/>
              <w:ind w:firstLine="0" w:firstLineChars="0"/>
              <w:jc w:val="center"/>
              <w:textAlignment w:val="center"/>
              <w:rPr>
                <w:rFonts w:hint="default" w:ascii="Times New Roman" w:hAnsi="Times New Roman" w:eastAsia="仿宋_GB2312"/>
                <w:sz w:val="24"/>
                <w:szCs w:val="24"/>
                <w:highlight w:val="none"/>
                <w:lang w:val="en-US" w:eastAsia="zh-CN"/>
              </w:rPr>
            </w:pPr>
            <w:r>
              <w:rPr>
                <w:rFonts w:hint="eastAsia" w:ascii="Times New Roman" w:hAnsi="Times New Roman" w:eastAsia="仿宋_GB2312"/>
                <w:sz w:val="24"/>
                <w:szCs w:val="24"/>
                <w:highlight w:val="none"/>
                <w:lang w:val="en-US" w:eastAsia="zh-CN"/>
              </w:rPr>
              <w:t>62.52</w:t>
            </w:r>
          </w:p>
        </w:tc>
        <w:tc>
          <w:tcPr>
            <w:tcW w:w="660" w:type="dxa"/>
            <w:noWrap w:val="0"/>
            <w:tcMar>
              <w:top w:w="15" w:type="dxa"/>
              <w:left w:w="15" w:type="dxa"/>
              <w:right w:w="15" w:type="dxa"/>
            </w:tcMar>
            <w:vAlign w:val="center"/>
          </w:tcPr>
          <w:p w14:paraId="7E6DE8E1">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是</w:t>
            </w:r>
          </w:p>
        </w:tc>
        <w:tc>
          <w:tcPr>
            <w:tcW w:w="1230" w:type="dxa"/>
            <w:noWrap w:val="0"/>
            <w:tcMar>
              <w:top w:w="15" w:type="dxa"/>
              <w:left w:w="15" w:type="dxa"/>
              <w:right w:w="15" w:type="dxa"/>
            </w:tcMar>
            <w:vAlign w:val="center"/>
          </w:tcPr>
          <w:p w14:paraId="4532D55C">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不降低</w:t>
            </w:r>
          </w:p>
        </w:tc>
        <w:tc>
          <w:tcPr>
            <w:tcW w:w="1275" w:type="dxa"/>
            <w:noWrap w:val="0"/>
            <w:tcMar>
              <w:top w:w="15" w:type="dxa"/>
              <w:left w:w="15" w:type="dxa"/>
              <w:right w:w="15" w:type="dxa"/>
            </w:tcMar>
            <w:vAlign w:val="center"/>
          </w:tcPr>
          <w:p w14:paraId="7E06387C">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不降低</w:t>
            </w:r>
          </w:p>
        </w:tc>
        <w:tc>
          <w:tcPr>
            <w:tcW w:w="945" w:type="dxa"/>
            <w:noWrap w:val="0"/>
            <w:tcMar>
              <w:top w:w="15" w:type="dxa"/>
              <w:left w:w="15" w:type="dxa"/>
              <w:right w:w="15" w:type="dxa"/>
            </w:tcMar>
            <w:vAlign w:val="center"/>
          </w:tcPr>
          <w:p w14:paraId="3FB603E6">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yellow"/>
              </w:rPr>
            </w:pPr>
            <w:r>
              <w:rPr>
                <w:rFonts w:ascii="Times New Roman" w:hAnsi="Times New Roman" w:eastAsia="仿宋_GB2312"/>
                <w:sz w:val="24"/>
                <w:szCs w:val="24"/>
                <w:highlight w:val="none"/>
              </w:rPr>
              <w:t>参考性</w:t>
            </w:r>
          </w:p>
        </w:tc>
        <w:tc>
          <w:tcPr>
            <w:tcW w:w="2373" w:type="dxa"/>
            <w:noWrap w:val="0"/>
            <w:tcMar>
              <w:top w:w="15" w:type="dxa"/>
              <w:left w:w="15" w:type="dxa"/>
              <w:right w:w="15" w:type="dxa"/>
            </w:tcMar>
            <w:vAlign w:val="center"/>
          </w:tcPr>
          <w:p w14:paraId="7C8CE0EB">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yellow"/>
              </w:rPr>
            </w:pPr>
            <w:r>
              <w:rPr>
                <w:rFonts w:hint="eastAsia" w:ascii="Times New Roman" w:hAnsi="Times New Roman" w:eastAsia="仿宋_GB2312"/>
                <w:sz w:val="24"/>
                <w:szCs w:val="24"/>
                <w:highlight w:val="none"/>
                <w:lang w:eastAsia="zh-CN"/>
              </w:rPr>
              <w:t>柳江区</w:t>
            </w:r>
            <w:r>
              <w:rPr>
                <w:rFonts w:ascii="Times New Roman" w:hAnsi="Times New Roman" w:eastAsia="仿宋_GB2312"/>
                <w:sz w:val="24"/>
                <w:szCs w:val="24"/>
                <w:highlight w:val="none"/>
              </w:rPr>
              <w:t>林业局</w:t>
            </w:r>
          </w:p>
        </w:tc>
      </w:tr>
      <w:tr w14:paraId="67E3C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57" w:type="dxa"/>
            <w:vMerge w:val="continue"/>
            <w:noWrap w:val="0"/>
            <w:tcMar>
              <w:top w:w="15" w:type="dxa"/>
              <w:left w:w="15" w:type="dxa"/>
              <w:right w:w="15" w:type="dxa"/>
            </w:tcMar>
            <w:vAlign w:val="center"/>
          </w:tcPr>
          <w:p w14:paraId="42749735">
            <w:pPr>
              <w:keepNext w:val="0"/>
              <w:keepLines w:val="0"/>
              <w:pageBreakBefore w:val="0"/>
              <w:widowControl w:val="0"/>
              <w:kinsoku/>
              <w:wordWrap/>
              <w:overflowPunct/>
              <w:topLinePunct w:val="0"/>
              <w:bidi w:val="0"/>
              <w:spacing w:line="360" w:lineRule="exact"/>
              <w:ind w:firstLine="0" w:firstLineChars="0"/>
              <w:jc w:val="center"/>
              <w:rPr>
                <w:rFonts w:ascii="Times New Roman" w:hAnsi="Times New Roman" w:eastAsia="仿宋_GB2312"/>
                <w:sz w:val="24"/>
                <w:szCs w:val="24"/>
                <w:highlight w:val="yellow"/>
              </w:rPr>
            </w:pPr>
          </w:p>
        </w:tc>
        <w:tc>
          <w:tcPr>
            <w:tcW w:w="780" w:type="dxa"/>
            <w:vMerge w:val="continue"/>
            <w:noWrap w:val="0"/>
            <w:tcMar>
              <w:top w:w="15" w:type="dxa"/>
              <w:left w:w="15" w:type="dxa"/>
              <w:right w:w="15" w:type="dxa"/>
            </w:tcMar>
            <w:vAlign w:val="center"/>
          </w:tcPr>
          <w:p w14:paraId="29760F45">
            <w:pPr>
              <w:keepNext w:val="0"/>
              <w:keepLines w:val="0"/>
              <w:pageBreakBefore w:val="0"/>
              <w:widowControl w:val="0"/>
              <w:kinsoku/>
              <w:wordWrap/>
              <w:overflowPunct/>
              <w:topLinePunct w:val="0"/>
              <w:bidi w:val="0"/>
              <w:spacing w:line="360" w:lineRule="exact"/>
              <w:ind w:firstLine="0" w:firstLineChars="0"/>
              <w:jc w:val="center"/>
              <w:rPr>
                <w:rFonts w:ascii="Times New Roman" w:hAnsi="Times New Roman" w:eastAsia="仿宋_GB2312"/>
                <w:sz w:val="24"/>
                <w:szCs w:val="24"/>
                <w:highlight w:val="none"/>
              </w:rPr>
            </w:pPr>
          </w:p>
        </w:tc>
        <w:tc>
          <w:tcPr>
            <w:tcW w:w="630" w:type="dxa"/>
            <w:noWrap w:val="0"/>
            <w:tcMar>
              <w:top w:w="15" w:type="dxa"/>
              <w:left w:w="15" w:type="dxa"/>
              <w:right w:w="15" w:type="dxa"/>
            </w:tcMar>
            <w:vAlign w:val="center"/>
          </w:tcPr>
          <w:p w14:paraId="72404E92">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11</w:t>
            </w:r>
          </w:p>
        </w:tc>
        <w:tc>
          <w:tcPr>
            <w:tcW w:w="2702" w:type="dxa"/>
            <w:noWrap w:val="0"/>
            <w:tcMar>
              <w:top w:w="15" w:type="dxa"/>
              <w:left w:w="15" w:type="dxa"/>
              <w:right w:w="15" w:type="dxa"/>
            </w:tcMar>
            <w:vAlign w:val="center"/>
          </w:tcPr>
          <w:p w14:paraId="3E6B5B7B">
            <w:pPr>
              <w:keepNext w:val="0"/>
              <w:keepLines w:val="0"/>
              <w:pageBreakBefore w:val="0"/>
              <w:widowControl w:val="0"/>
              <w:kinsoku/>
              <w:wordWrap/>
              <w:overflowPunct/>
              <w:topLinePunct w:val="0"/>
              <w:bidi w:val="0"/>
              <w:spacing w:line="360" w:lineRule="exact"/>
              <w:ind w:firstLine="0" w:firstLineChars="0"/>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生物多样性保护</w:t>
            </w:r>
            <w:r>
              <w:rPr>
                <w:rFonts w:ascii="Times New Roman" w:hAnsi="Times New Roman" w:eastAsia="仿宋_GB2312"/>
                <w:sz w:val="24"/>
                <w:szCs w:val="24"/>
                <w:highlight w:val="none"/>
              </w:rPr>
              <w:br w:type="textWrapping"/>
            </w:r>
            <w:r>
              <w:rPr>
                <w:rFonts w:ascii="Times New Roman" w:hAnsi="Times New Roman" w:eastAsia="仿宋_GB2312"/>
                <w:sz w:val="24"/>
                <w:szCs w:val="24"/>
                <w:highlight w:val="none"/>
              </w:rPr>
              <w:t>（1）国家重点保护野生动植物保护率</w:t>
            </w:r>
            <w:r>
              <w:rPr>
                <w:rFonts w:ascii="Times New Roman" w:hAnsi="Times New Roman" w:eastAsia="仿宋_GB2312"/>
                <w:sz w:val="24"/>
                <w:szCs w:val="24"/>
                <w:highlight w:val="none"/>
              </w:rPr>
              <w:br w:type="textWrapping"/>
            </w:r>
            <w:r>
              <w:rPr>
                <w:rFonts w:ascii="Times New Roman" w:hAnsi="Times New Roman" w:eastAsia="仿宋_GB2312"/>
                <w:sz w:val="24"/>
                <w:szCs w:val="24"/>
                <w:highlight w:val="none"/>
              </w:rPr>
              <w:t>（2）外来物种入侵</w:t>
            </w:r>
            <w:r>
              <w:rPr>
                <w:rFonts w:ascii="Times New Roman" w:hAnsi="Times New Roman" w:eastAsia="仿宋_GB2312"/>
                <w:sz w:val="24"/>
                <w:szCs w:val="24"/>
                <w:highlight w:val="none"/>
              </w:rPr>
              <w:br w:type="textWrapping"/>
            </w:r>
            <w:r>
              <w:rPr>
                <w:rFonts w:ascii="Times New Roman" w:hAnsi="Times New Roman" w:eastAsia="仿宋_GB2312"/>
                <w:sz w:val="24"/>
                <w:szCs w:val="24"/>
                <w:highlight w:val="none"/>
              </w:rPr>
              <w:t>（3）特有性或指示性水生物种保持率</w:t>
            </w:r>
          </w:p>
        </w:tc>
        <w:tc>
          <w:tcPr>
            <w:tcW w:w="630" w:type="dxa"/>
            <w:noWrap w:val="0"/>
            <w:tcMar>
              <w:top w:w="15" w:type="dxa"/>
              <w:left w:w="15" w:type="dxa"/>
              <w:right w:w="15" w:type="dxa"/>
            </w:tcMar>
            <w:vAlign w:val="center"/>
          </w:tcPr>
          <w:p w14:paraId="3A024B7F">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 xml:space="preserve">%        —       </w:t>
            </w:r>
          </w:p>
          <w:p w14:paraId="5F278F16">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w:t>
            </w:r>
          </w:p>
        </w:tc>
        <w:tc>
          <w:tcPr>
            <w:tcW w:w="1245" w:type="dxa"/>
            <w:noWrap w:val="0"/>
            <w:tcMar>
              <w:top w:w="15" w:type="dxa"/>
              <w:left w:w="15" w:type="dxa"/>
              <w:right w:w="15" w:type="dxa"/>
            </w:tcMar>
            <w:vAlign w:val="center"/>
          </w:tcPr>
          <w:p w14:paraId="09A17A4B">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 xml:space="preserve">≥95       </w:t>
            </w:r>
          </w:p>
          <w:p w14:paraId="455766D4">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不明显</w:t>
            </w:r>
          </w:p>
          <w:p w14:paraId="13CECA34">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 xml:space="preserve"> 不降低</w:t>
            </w:r>
          </w:p>
        </w:tc>
        <w:tc>
          <w:tcPr>
            <w:tcW w:w="1335" w:type="dxa"/>
            <w:noWrap w:val="0"/>
            <w:tcMar>
              <w:top w:w="15" w:type="dxa"/>
              <w:left w:w="15" w:type="dxa"/>
              <w:right w:w="15" w:type="dxa"/>
            </w:tcMar>
            <w:vAlign w:val="center"/>
          </w:tcPr>
          <w:p w14:paraId="16CAEBB8">
            <w:pPr>
              <w:keepNext w:val="0"/>
              <w:keepLines w:val="0"/>
              <w:pageBreakBefore w:val="0"/>
              <w:widowControl w:val="0"/>
              <w:kinsoku/>
              <w:wordWrap/>
              <w:overflowPunct/>
              <w:topLinePunct w:val="0"/>
              <w:bidi w:val="0"/>
              <w:spacing w:line="360" w:lineRule="exact"/>
              <w:ind w:firstLine="0" w:firstLineChars="0"/>
              <w:jc w:val="center"/>
              <w:textAlignment w:val="center"/>
              <w:rPr>
                <w:rFonts w:hint="eastAsia" w:ascii="Times New Roman" w:hAnsi="Times New Roman" w:eastAsia="仿宋_GB2312"/>
                <w:sz w:val="24"/>
                <w:szCs w:val="24"/>
                <w:highlight w:val="none"/>
                <w:lang w:val="en-US" w:eastAsia="zh-CN"/>
              </w:rPr>
            </w:pPr>
            <w:r>
              <w:rPr>
                <w:rFonts w:hint="eastAsia" w:ascii="Times New Roman" w:hAnsi="Times New Roman" w:eastAsia="仿宋_GB2312"/>
                <w:sz w:val="24"/>
                <w:szCs w:val="24"/>
                <w:highlight w:val="none"/>
                <w:lang w:val="en-US" w:eastAsia="zh-CN"/>
              </w:rPr>
              <w:t>90</w:t>
            </w:r>
          </w:p>
          <w:p w14:paraId="35F16036">
            <w:pPr>
              <w:pStyle w:val="54"/>
              <w:keepNext w:val="0"/>
              <w:keepLines w:val="0"/>
              <w:pageBreakBefore w:val="0"/>
              <w:widowControl w:val="0"/>
              <w:kinsoku/>
              <w:wordWrap/>
              <w:overflowPunct/>
              <w:topLinePunct w:val="0"/>
              <w:bidi w:val="0"/>
              <w:snapToGrid w:val="0"/>
              <w:spacing w:line="360" w:lineRule="exact"/>
              <w:ind w:firstLine="0" w:firstLineChars="0"/>
              <w:jc w:val="center"/>
              <w:rPr>
                <w:rFonts w:hint="eastAsia" w:ascii="Times New Roman" w:hAnsi="Times New Roman"/>
                <w:sz w:val="24"/>
                <w:szCs w:val="24"/>
                <w:highlight w:val="none"/>
                <w:lang w:eastAsia="zh-CN"/>
              </w:rPr>
            </w:pPr>
            <w:r>
              <w:rPr>
                <w:rFonts w:hint="eastAsia" w:ascii="Times New Roman" w:hAnsi="Times New Roman"/>
                <w:sz w:val="24"/>
                <w:szCs w:val="24"/>
                <w:highlight w:val="none"/>
                <w:lang w:eastAsia="zh-CN"/>
              </w:rPr>
              <w:t>尚未统计</w:t>
            </w:r>
          </w:p>
          <w:p w14:paraId="0C7961C3">
            <w:pPr>
              <w:pStyle w:val="54"/>
              <w:keepNext w:val="0"/>
              <w:keepLines w:val="0"/>
              <w:pageBreakBefore w:val="0"/>
              <w:widowControl w:val="0"/>
              <w:kinsoku/>
              <w:wordWrap/>
              <w:overflowPunct/>
              <w:topLinePunct w:val="0"/>
              <w:bidi w:val="0"/>
              <w:snapToGrid w:val="0"/>
              <w:spacing w:line="360" w:lineRule="exact"/>
              <w:ind w:firstLine="0" w:firstLineChars="0"/>
              <w:jc w:val="center"/>
              <w:rPr>
                <w:rFonts w:hint="default"/>
                <w:color w:val="auto"/>
                <w:sz w:val="24"/>
                <w:szCs w:val="24"/>
                <w:highlight w:val="none"/>
              </w:rPr>
            </w:pPr>
            <w:r>
              <w:rPr>
                <w:rFonts w:hint="eastAsia" w:ascii="Times New Roman" w:hAnsi="Times New Roman"/>
                <w:sz w:val="24"/>
                <w:szCs w:val="24"/>
                <w:highlight w:val="none"/>
                <w:lang w:eastAsia="zh-CN"/>
              </w:rPr>
              <w:t>尚未统计</w:t>
            </w:r>
          </w:p>
        </w:tc>
        <w:tc>
          <w:tcPr>
            <w:tcW w:w="660" w:type="dxa"/>
            <w:noWrap w:val="0"/>
            <w:tcMar>
              <w:top w:w="15" w:type="dxa"/>
              <w:left w:w="15" w:type="dxa"/>
              <w:right w:w="15" w:type="dxa"/>
            </w:tcMar>
            <w:vAlign w:val="center"/>
          </w:tcPr>
          <w:p w14:paraId="58B2B092">
            <w:pPr>
              <w:keepNext w:val="0"/>
              <w:keepLines w:val="0"/>
              <w:pageBreakBefore w:val="0"/>
              <w:widowControl w:val="0"/>
              <w:kinsoku/>
              <w:wordWrap/>
              <w:overflowPunct/>
              <w:topLinePunct w:val="0"/>
              <w:bidi w:val="0"/>
              <w:spacing w:line="360" w:lineRule="exact"/>
              <w:ind w:firstLine="0" w:firstLineChars="0"/>
              <w:jc w:val="center"/>
              <w:textAlignment w:val="center"/>
              <w:rPr>
                <w:rFonts w:hint="eastAsia" w:ascii="Times New Roman" w:hAnsi="Times New Roman" w:eastAsia="仿宋_GB2312"/>
                <w:sz w:val="24"/>
                <w:szCs w:val="24"/>
                <w:highlight w:val="none"/>
                <w:lang w:eastAsia="zh-CN"/>
              </w:rPr>
            </w:pPr>
            <w:r>
              <w:rPr>
                <w:rFonts w:hint="eastAsia" w:ascii="Times New Roman" w:hAnsi="Times New Roman" w:eastAsia="仿宋_GB2312"/>
                <w:sz w:val="24"/>
                <w:szCs w:val="24"/>
                <w:highlight w:val="none"/>
                <w:lang w:eastAsia="zh-CN"/>
              </w:rPr>
              <w:t>否</w:t>
            </w:r>
          </w:p>
        </w:tc>
        <w:tc>
          <w:tcPr>
            <w:tcW w:w="1230" w:type="dxa"/>
            <w:noWrap w:val="0"/>
            <w:tcMar>
              <w:top w:w="15" w:type="dxa"/>
              <w:left w:w="15" w:type="dxa"/>
              <w:right w:w="15" w:type="dxa"/>
            </w:tcMar>
            <w:vAlign w:val="center"/>
          </w:tcPr>
          <w:p w14:paraId="0BC7BED8">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 xml:space="preserve">≥95 </w:t>
            </w:r>
          </w:p>
          <w:p w14:paraId="4672337F">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不明显</w:t>
            </w:r>
          </w:p>
          <w:p w14:paraId="2474BAA2">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不降低</w:t>
            </w:r>
          </w:p>
        </w:tc>
        <w:tc>
          <w:tcPr>
            <w:tcW w:w="1275" w:type="dxa"/>
            <w:noWrap w:val="0"/>
            <w:tcMar>
              <w:top w:w="15" w:type="dxa"/>
              <w:left w:w="15" w:type="dxa"/>
              <w:right w:w="15" w:type="dxa"/>
            </w:tcMar>
            <w:vAlign w:val="center"/>
          </w:tcPr>
          <w:p w14:paraId="4C91AAA1">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 xml:space="preserve">≥95 </w:t>
            </w:r>
          </w:p>
          <w:p w14:paraId="1A92E389">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不明显</w:t>
            </w:r>
          </w:p>
          <w:p w14:paraId="56E9FED7">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不降低</w:t>
            </w:r>
          </w:p>
        </w:tc>
        <w:tc>
          <w:tcPr>
            <w:tcW w:w="945" w:type="dxa"/>
            <w:noWrap w:val="0"/>
            <w:tcMar>
              <w:top w:w="15" w:type="dxa"/>
              <w:left w:w="15" w:type="dxa"/>
              <w:right w:w="15" w:type="dxa"/>
            </w:tcMar>
            <w:vAlign w:val="center"/>
          </w:tcPr>
          <w:p w14:paraId="5EC43D8A">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参考性</w:t>
            </w:r>
          </w:p>
        </w:tc>
        <w:tc>
          <w:tcPr>
            <w:tcW w:w="2373" w:type="dxa"/>
            <w:noWrap w:val="0"/>
            <w:tcMar>
              <w:top w:w="15" w:type="dxa"/>
              <w:left w:w="15" w:type="dxa"/>
              <w:right w:w="15" w:type="dxa"/>
            </w:tcMar>
            <w:vAlign w:val="center"/>
          </w:tcPr>
          <w:p w14:paraId="2E557EAE">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hint="eastAsia" w:ascii="Times New Roman" w:hAnsi="Times New Roman" w:eastAsia="仿宋_GB2312"/>
                <w:sz w:val="24"/>
                <w:szCs w:val="24"/>
                <w:highlight w:val="none"/>
                <w:lang w:eastAsia="zh-CN"/>
              </w:rPr>
              <w:t>柳江区</w:t>
            </w:r>
            <w:r>
              <w:rPr>
                <w:rFonts w:ascii="Times New Roman" w:hAnsi="Times New Roman" w:eastAsia="仿宋_GB2312"/>
                <w:bCs/>
                <w:sz w:val="24"/>
                <w:szCs w:val="24"/>
                <w:highlight w:val="none"/>
              </w:rPr>
              <w:t>林业局、</w:t>
            </w:r>
            <w:r>
              <w:rPr>
                <w:rFonts w:hint="eastAsia" w:ascii="Times New Roman" w:hAnsi="Times New Roman" w:eastAsia="仿宋_GB2312"/>
                <w:sz w:val="24"/>
                <w:szCs w:val="24"/>
                <w:highlight w:val="none"/>
                <w:lang w:eastAsia="zh-CN"/>
              </w:rPr>
              <w:t>柳江区</w:t>
            </w:r>
            <w:r>
              <w:rPr>
                <w:rFonts w:ascii="Times New Roman" w:hAnsi="Times New Roman" w:eastAsia="仿宋_GB2312"/>
                <w:bCs/>
                <w:sz w:val="24"/>
                <w:szCs w:val="24"/>
                <w:highlight w:val="none"/>
              </w:rPr>
              <w:t>农业农村局</w:t>
            </w:r>
          </w:p>
        </w:tc>
      </w:tr>
      <w:tr w14:paraId="3C7B9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57" w:type="dxa"/>
            <w:vMerge w:val="continue"/>
            <w:noWrap w:val="0"/>
            <w:tcMar>
              <w:top w:w="15" w:type="dxa"/>
              <w:left w:w="15" w:type="dxa"/>
              <w:right w:w="15" w:type="dxa"/>
            </w:tcMar>
            <w:vAlign w:val="center"/>
          </w:tcPr>
          <w:p w14:paraId="049F4620">
            <w:pPr>
              <w:keepNext w:val="0"/>
              <w:keepLines w:val="0"/>
              <w:pageBreakBefore w:val="0"/>
              <w:widowControl w:val="0"/>
              <w:kinsoku/>
              <w:wordWrap/>
              <w:overflowPunct/>
              <w:topLinePunct w:val="0"/>
              <w:bidi w:val="0"/>
              <w:spacing w:line="360" w:lineRule="exact"/>
              <w:ind w:firstLine="0" w:firstLineChars="0"/>
              <w:jc w:val="center"/>
              <w:rPr>
                <w:rFonts w:ascii="Times New Roman" w:hAnsi="Times New Roman" w:eastAsia="仿宋_GB2312"/>
                <w:sz w:val="24"/>
                <w:szCs w:val="24"/>
                <w:highlight w:val="yellow"/>
              </w:rPr>
            </w:pPr>
          </w:p>
        </w:tc>
        <w:tc>
          <w:tcPr>
            <w:tcW w:w="780" w:type="dxa"/>
            <w:vMerge w:val="restart"/>
            <w:noWrap w:val="0"/>
            <w:tcMar>
              <w:top w:w="15" w:type="dxa"/>
              <w:left w:w="15" w:type="dxa"/>
              <w:right w:w="15" w:type="dxa"/>
            </w:tcMar>
            <w:vAlign w:val="center"/>
          </w:tcPr>
          <w:p w14:paraId="73145515">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（四）生态环境风险防范</w:t>
            </w:r>
          </w:p>
        </w:tc>
        <w:tc>
          <w:tcPr>
            <w:tcW w:w="630" w:type="dxa"/>
            <w:noWrap w:val="0"/>
            <w:tcMar>
              <w:top w:w="15" w:type="dxa"/>
              <w:left w:w="15" w:type="dxa"/>
              <w:right w:w="15" w:type="dxa"/>
            </w:tcMar>
            <w:vAlign w:val="center"/>
          </w:tcPr>
          <w:p w14:paraId="21FCC76C">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12</w:t>
            </w:r>
          </w:p>
        </w:tc>
        <w:tc>
          <w:tcPr>
            <w:tcW w:w="2702" w:type="dxa"/>
            <w:noWrap w:val="0"/>
            <w:tcMar>
              <w:top w:w="15" w:type="dxa"/>
              <w:left w:w="15" w:type="dxa"/>
              <w:right w:w="15" w:type="dxa"/>
            </w:tcMar>
            <w:vAlign w:val="center"/>
          </w:tcPr>
          <w:p w14:paraId="7754422D">
            <w:pPr>
              <w:keepNext w:val="0"/>
              <w:keepLines w:val="0"/>
              <w:pageBreakBefore w:val="0"/>
              <w:widowControl w:val="0"/>
              <w:kinsoku/>
              <w:wordWrap/>
              <w:overflowPunct/>
              <w:topLinePunct w:val="0"/>
              <w:bidi w:val="0"/>
              <w:spacing w:line="360" w:lineRule="exact"/>
              <w:ind w:firstLine="0" w:firstLineChars="0"/>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危险废物利用处置率</w:t>
            </w:r>
          </w:p>
        </w:tc>
        <w:tc>
          <w:tcPr>
            <w:tcW w:w="630" w:type="dxa"/>
            <w:noWrap w:val="0"/>
            <w:tcMar>
              <w:top w:w="15" w:type="dxa"/>
              <w:left w:w="15" w:type="dxa"/>
              <w:right w:w="15" w:type="dxa"/>
            </w:tcMar>
            <w:vAlign w:val="center"/>
          </w:tcPr>
          <w:p w14:paraId="3D3D444F">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w:t>
            </w:r>
          </w:p>
        </w:tc>
        <w:tc>
          <w:tcPr>
            <w:tcW w:w="1245" w:type="dxa"/>
            <w:noWrap w:val="0"/>
            <w:tcMar>
              <w:top w:w="15" w:type="dxa"/>
              <w:left w:w="15" w:type="dxa"/>
              <w:right w:w="15" w:type="dxa"/>
            </w:tcMar>
            <w:vAlign w:val="center"/>
          </w:tcPr>
          <w:p w14:paraId="3CE126B1">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100</w:t>
            </w:r>
          </w:p>
        </w:tc>
        <w:tc>
          <w:tcPr>
            <w:tcW w:w="1335" w:type="dxa"/>
            <w:noWrap w:val="0"/>
            <w:tcMar>
              <w:top w:w="15" w:type="dxa"/>
              <w:left w:w="15" w:type="dxa"/>
              <w:right w:w="15" w:type="dxa"/>
            </w:tcMar>
            <w:vAlign w:val="center"/>
          </w:tcPr>
          <w:p w14:paraId="414EFAD6">
            <w:pPr>
              <w:keepNext w:val="0"/>
              <w:keepLines w:val="0"/>
              <w:pageBreakBefore w:val="0"/>
              <w:widowControl w:val="0"/>
              <w:kinsoku/>
              <w:wordWrap/>
              <w:overflowPunct/>
              <w:topLinePunct w:val="0"/>
              <w:bidi w:val="0"/>
              <w:spacing w:line="360" w:lineRule="exact"/>
              <w:ind w:firstLine="0" w:firstLineChars="0"/>
              <w:jc w:val="center"/>
              <w:rPr>
                <w:rFonts w:hint="default" w:ascii="Times New Roman" w:hAnsi="Times New Roman" w:eastAsia="仿宋_GB2312"/>
                <w:sz w:val="24"/>
                <w:szCs w:val="24"/>
                <w:highlight w:val="none"/>
                <w:lang w:val="en-US" w:eastAsia="zh-CN"/>
              </w:rPr>
            </w:pPr>
            <w:r>
              <w:rPr>
                <w:rFonts w:hint="eastAsia" w:ascii="Times New Roman" w:hAnsi="Times New Roman" w:eastAsia="仿宋_GB2312"/>
                <w:sz w:val="24"/>
                <w:szCs w:val="24"/>
                <w:highlight w:val="none"/>
                <w:lang w:val="en-US" w:eastAsia="zh-CN"/>
              </w:rPr>
              <w:t>95.1</w:t>
            </w:r>
          </w:p>
        </w:tc>
        <w:tc>
          <w:tcPr>
            <w:tcW w:w="660" w:type="dxa"/>
            <w:noWrap w:val="0"/>
            <w:tcMar>
              <w:top w:w="15" w:type="dxa"/>
              <w:left w:w="15" w:type="dxa"/>
              <w:right w:w="15" w:type="dxa"/>
            </w:tcMar>
            <w:vAlign w:val="center"/>
          </w:tcPr>
          <w:p w14:paraId="3CA73732">
            <w:pPr>
              <w:keepNext w:val="0"/>
              <w:keepLines w:val="0"/>
              <w:pageBreakBefore w:val="0"/>
              <w:widowControl w:val="0"/>
              <w:kinsoku/>
              <w:wordWrap/>
              <w:overflowPunct/>
              <w:topLinePunct w:val="0"/>
              <w:bidi w:val="0"/>
              <w:spacing w:line="360" w:lineRule="exact"/>
              <w:ind w:firstLine="0" w:firstLineChars="0"/>
              <w:jc w:val="center"/>
              <w:textAlignment w:val="center"/>
              <w:rPr>
                <w:rFonts w:hint="eastAsia" w:ascii="Times New Roman" w:hAnsi="Times New Roman" w:eastAsia="仿宋_GB2312"/>
                <w:sz w:val="24"/>
                <w:szCs w:val="24"/>
                <w:highlight w:val="none"/>
                <w:lang w:eastAsia="zh-CN"/>
              </w:rPr>
            </w:pPr>
            <w:r>
              <w:rPr>
                <w:rFonts w:hint="eastAsia" w:ascii="Times New Roman" w:hAnsi="Times New Roman" w:eastAsia="仿宋_GB2312"/>
                <w:sz w:val="24"/>
                <w:szCs w:val="24"/>
                <w:highlight w:val="none"/>
                <w:lang w:eastAsia="zh-CN"/>
              </w:rPr>
              <w:t>否</w:t>
            </w:r>
          </w:p>
        </w:tc>
        <w:tc>
          <w:tcPr>
            <w:tcW w:w="1230" w:type="dxa"/>
            <w:noWrap w:val="0"/>
            <w:tcMar>
              <w:top w:w="15" w:type="dxa"/>
              <w:left w:w="15" w:type="dxa"/>
              <w:right w:w="15" w:type="dxa"/>
            </w:tcMar>
            <w:vAlign w:val="center"/>
          </w:tcPr>
          <w:p w14:paraId="7B6D1549">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100</w:t>
            </w:r>
          </w:p>
        </w:tc>
        <w:tc>
          <w:tcPr>
            <w:tcW w:w="1275" w:type="dxa"/>
            <w:noWrap w:val="0"/>
            <w:tcMar>
              <w:top w:w="15" w:type="dxa"/>
              <w:left w:w="15" w:type="dxa"/>
              <w:right w:w="15" w:type="dxa"/>
            </w:tcMar>
            <w:vAlign w:val="center"/>
          </w:tcPr>
          <w:p w14:paraId="1D513A01">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100</w:t>
            </w:r>
          </w:p>
        </w:tc>
        <w:tc>
          <w:tcPr>
            <w:tcW w:w="945" w:type="dxa"/>
            <w:noWrap w:val="0"/>
            <w:tcMar>
              <w:top w:w="15" w:type="dxa"/>
              <w:left w:w="15" w:type="dxa"/>
              <w:right w:w="15" w:type="dxa"/>
            </w:tcMar>
            <w:vAlign w:val="center"/>
          </w:tcPr>
          <w:p w14:paraId="011C00BB">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约束性</w:t>
            </w:r>
          </w:p>
        </w:tc>
        <w:tc>
          <w:tcPr>
            <w:tcW w:w="2373" w:type="dxa"/>
            <w:noWrap w:val="0"/>
            <w:tcMar>
              <w:top w:w="15" w:type="dxa"/>
              <w:left w:w="15" w:type="dxa"/>
              <w:right w:w="15" w:type="dxa"/>
            </w:tcMar>
            <w:vAlign w:val="center"/>
          </w:tcPr>
          <w:p w14:paraId="56F9A007">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hint="eastAsia" w:ascii="Times New Roman" w:hAnsi="Times New Roman" w:eastAsia="仿宋_GB2312"/>
                <w:sz w:val="24"/>
                <w:szCs w:val="24"/>
                <w:highlight w:val="none"/>
                <w:lang w:eastAsia="zh-CN"/>
              </w:rPr>
              <w:t>柳州市柳江</w:t>
            </w:r>
            <w:r>
              <w:rPr>
                <w:rFonts w:ascii="Times New Roman" w:hAnsi="Times New Roman" w:eastAsia="仿宋_GB2312"/>
                <w:sz w:val="24"/>
                <w:szCs w:val="24"/>
                <w:highlight w:val="none"/>
              </w:rPr>
              <w:t>生态环境局</w:t>
            </w:r>
          </w:p>
        </w:tc>
      </w:tr>
      <w:tr w14:paraId="51792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57" w:type="dxa"/>
            <w:vMerge w:val="continue"/>
            <w:noWrap w:val="0"/>
            <w:tcMar>
              <w:top w:w="15" w:type="dxa"/>
              <w:left w:w="15" w:type="dxa"/>
              <w:right w:w="15" w:type="dxa"/>
            </w:tcMar>
            <w:vAlign w:val="center"/>
          </w:tcPr>
          <w:p w14:paraId="7A6F3908">
            <w:pPr>
              <w:keepNext w:val="0"/>
              <w:keepLines w:val="0"/>
              <w:pageBreakBefore w:val="0"/>
              <w:widowControl w:val="0"/>
              <w:kinsoku/>
              <w:wordWrap/>
              <w:overflowPunct/>
              <w:topLinePunct w:val="0"/>
              <w:bidi w:val="0"/>
              <w:spacing w:line="360" w:lineRule="exact"/>
              <w:ind w:firstLine="0" w:firstLineChars="0"/>
              <w:jc w:val="center"/>
              <w:rPr>
                <w:rFonts w:ascii="Times New Roman" w:hAnsi="Times New Roman" w:eastAsia="仿宋_GB2312"/>
                <w:sz w:val="24"/>
                <w:szCs w:val="24"/>
                <w:highlight w:val="yellow"/>
              </w:rPr>
            </w:pPr>
          </w:p>
        </w:tc>
        <w:tc>
          <w:tcPr>
            <w:tcW w:w="780" w:type="dxa"/>
            <w:vMerge w:val="continue"/>
            <w:noWrap w:val="0"/>
            <w:tcMar>
              <w:top w:w="15" w:type="dxa"/>
              <w:left w:w="15" w:type="dxa"/>
              <w:right w:w="15" w:type="dxa"/>
            </w:tcMar>
            <w:vAlign w:val="center"/>
          </w:tcPr>
          <w:p w14:paraId="1847C4BE">
            <w:pPr>
              <w:keepNext w:val="0"/>
              <w:keepLines w:val="0"/>
              <w:pageBreakBefore w:val="0"/>
              <w:widowControl w:val="0"/>
              <w:kinsoku/>
              <w:wordWrap/>
              <w:overflowPunct/>
              <w:topLinePunct w:val="0"/>
              <w:bidi w:val="0"/>
              <w:spacing w:line="360" w:lineRule="exact"/>
              <w:ind w:firstLine="0" w:firstLineChars="0"/>
              <w:jc w:val="center"/>
              <w:rPr>
                <w:rFonts w:ascii="Times New Roman" w:hAnsi="Times New Roman" w:eastAsia="仿宋_GB2312"/>
                <w:sz w:val="24"/>
                <w:szCs w:val="24"/>
                <w:highlight w:val="none"/>
              </w:rPr>
            </w:pPr>
          </w:p>
        </w:tc>
        <w:tc>
          <w:tcPr>
            <w:tcW w:w="630" w:type="dxa"/>
            <w:noWrap w:val="0"/>
            <w:tcMar>
              <w:top w:w="15" w:type="dxa"/>
              <w:left w:w="15" w:type="dxa"/>
              <w:right w:w="15" w:type="dxa"/>
            </w:tcMar>
            <w:vAlign w:val="center"/>
          </w:tcPr>
          <w:p w14:paraId="1E14196D">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13</w:t>
            </w:r>
          </w:p>
        </w:tc>
        <w:tc>
          <w:tcPr>
            <w:tcW w:w="2702" w:type="dxa"/>
            <w:noWrap w:val="0"/>
            <w:tcMar>
              <w:top w:w="15" w:type="dxa"/>
              <w:left w:w="15" w:type="dxa"/>
              <w:right w:w="15" w:type="dxa"/>
            </w:tcMar>
            <w:vAlign w:val="center"/>
          </w:tcPr>
          <w:p w14:paraId="0EDA4834">
            <w:pPr>
              <w:keepNext w:val="0"/>
              <w:keepLines w:val="0"/>
              <w:pageBreakBefore w:val="0"/>
              <w:widowControl w:val="0"/>
              <w:kinsoku/>
              <w:wordWrap/>
              <w:overflowPunct/>
              <w:topLinePunct w:val="0"/>
              <w:bidi w:val="0"/>
              <w:spacing w:line="360" w:lineRule="exact"/>
              <w:ind w:firstLine="0" w:firstLineChars="0"/>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建设用地土壤污染风险管控和修复名录制度</w:t>
            </w:r>
          </w:p>
        </w:tc>
        <w:tc>
          <w:tcPr>
            <w:tcW w:w="630" w:type="dxa"/>
            <w:noWrap w:val="0"/>
            <w:tcMar>
              <w:top w:w="15" w:type="dxa"/>
              <w:left w:w="15" w:type="dxa"/>
              <w:right w:w="15" w:type="dxa"/>
            </w:tcMar>
            <w:vAlign w:val="center"/>
          </w:tcPr>
          <w:p w14:paraId="4D2BDDBA">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w:t>
            </w:r>
          </w:p>
        </w:tc>
        <w:tc>
          <w:tcPr>
            <w:tcW w:w="1245" w:type="dxa"/>
            <w:noWrap w:val="0"/>
            <w:tcMar>
              <w:top w:w="15" w:type="dxa"/>
              <w:left w:w="15" w:type="dxa"/>
              <w:right w:w="15" w:type="dxa"/>
            </w:tcMar>
            <w:vAlign w:val="center"/>
          </w:tcPr>
          <w:p w14:paraId="2B53C451">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建立</w:t>
            </w:r>
          </w:p>
        </w:tc>
        <w:tc>
          <w:tcPr>
            <w:tcW w:w="1335" w:type="dxa"/>
            <w:noWrap w:val="0"/>
            <w:tcMar>
              <w:top w:w="15" w:type="dxa"/>
              <w:left w:w="15" w:type="dxa"/>
              <w:right w:w="15" w:type="dxa"/>
            </w:tcMar>
            <w:vAlign w:val="center"/>
          </w:tcPr>
          <w:p w14:paraId="616F9F09">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配合建立</w:t>
            </w:r>
          </w:p>
        </w:tc>
        <w:tc>
          <w:tcPr>
            <w:tcW w:w="660" w:type="dxa"/>
            <w:noWrap w:val="0"/>
            <w:tcMar>
              <w:top w:w="15" w:type="dxa"/>
              <w:left w:w="15" w:type="dxa"/>
              <w:right w:w="15" w:type="dxa"/>
            </w:tcMar>
            <w:vAlign w:val="center"/>
          </w:tcPr>
          <w:p w14:paraId="5AB77248">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是</w:t>
            </w:r>
          </w:p>
        </w:tc>
        <w:tc>
          <w:tcPr>
            <w:tcW w:w="1230" w:type="dxa"/>
            <w:noWrap w:val="0"/>
            <w:tcMar>
              <w:top w:w="15" w:type="dxa"/>
              <w:left w:w="15" w:type="dxa"/>
              <w:right w:w="15" w:type="dxa"/>
            </w:tcMar>
            <w:vAlign w:val="center"/>
          </w:tcPr>
          <w:p w14:paraId="10926FBE">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配合建立</w:t>
            </w:r>
          </w:p>
        </w:tc>
        <w:tc>
          <w:tcPr>
            <w:tcW w:w="1275" w:type="dxa"/>
            <w:noWrap w:val="0"/>
            <w:tcMar>
              <w:top w:w="15" w:type="dxa"/>
              <w:left w:w="15" w:type="dxa"/>
              <w:right w:w="15" w:type="dxa"/>
            </w:tcMar>
            <w:vAlign w:val="center"/>
          </w:tcPr>
          <w:p w14:paraId="7CC9B67A">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配合建立</w:t>
            </w:r>
          </w:p>
        </w:tc>
        <w:tc>
          <w:tcPr>
            <w:tcW w:w="945" w:type="dxa"/>
            <w:noWrap w:val="0"/>
            <w:tcMar>
              <w:top w:w="15" w:type="dxa"/>
              <w:left w:w="15" w:type="dxa"/>
              <w:right w:w="15" w:type="dxa"/>
            </w:tcMar>
            <w:vAlign w:val="center"/>
          </w:tcPr>
          <w:p w14:paraId="3ABE0C5B">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参考性</w:t>
            </w:r>
          </w:p>
        </w:tc>
        <w:tc>
          <w:tcPr>
            <w:tcW w:w="2373" w:type="dxa"/>
            <w:noWrap w:val="0"/>
            <w:tcMar>
              <w:top w:w="15" w:type="dxa"/>
              <w:left w:w="15" w:type="dxa"/>
              <w:right w:w="15" w:type="dxa"/>
            </w:tcMar>
            <w:vAlign w:val="center"/>
          </w:tcPr>
          <w:p w14:paraId="16B3E097">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hint="eastAsia" w:ascii="Times New Roman" w:hAnsi="Times New Roman" w:eastAsia="仿宋_GB2312"/>
                <w:sz w:val="24"/>
                <w:szCs w:val="24"/>
                <w:highlight w:val="none"/>
                <w:lang w:eastAsia="zh-CN"/>
              </w:rPr>
              <w:t>柳州市柳江</w:t>
            </w:r>
            <w:r>
              <w:rPr>
                <w:rFonts w:ascii="Times New Roman" w:hAnsi="Times New Roman" w:eastAsia="仿宋_GB2312"/>
                <w:sz w:val="24"/>
                <w:szCs w:val="24"/>
                <w:highlight w:val="none"/>
              </w:rPr>
              <w:t>生态环境局</w:t>
            </w:r>
          </w:p>
        </w:tc>
      </w:tr>
      <w:tr w14:paraId="5FE2B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57" w:type="dxa"/>
            <w:vMerge w:val="continue"/>
            <w:noWrap w:val="0"/>
            <w:tcMar>
              <w:top w:w="15" w:type="dxa"/>
              <w:left w:w="15" w:type="dxa"/>
              <w:right w:w="15" w:type="dxa"/>
            </w:tcMar>
            <w:vAlign w:val="center"/>
          </w:tcPr>
          <w:p w14:paraId="20F78EAD">
            <w:pPr>
              <w:keepNext w:val="0"/>
              <w:keepLines w:val="0"/>
              <w:pageBreakBefore w:val="0"/>
              <w:widowControl w:val="0"/>
              <w:kinsoku/>
              <w:wordWrap/>
              <w:overflowPunct/>
              <w:topLinePunct w:val="0"/>
              <w:bidi w:val="0"/>
              <w:spacing w:line="360" w:lineRule="exact"/>
              <w:ind w:firstLine="0" w:firstLineChars="0"/>
              <w:jc w:val="center"/>
              <w:rPr>
                <w:rFonts w:ascii="Times New Roman" w:hAnsi="Times New Roman" w:eastAsia="仿宋_GB2312"/>
                <w:sz w:val="24"/>
                <w:szCs w:val="24"/>
                <w:highlight w:val="yellow"/>
              </w:rPr>
            </w:pPr>
          </w:p>
        </w:tc>
        <w:tc>
          <w:tcPr>
            <w:tcW w:w="780" w:type="dxa"/>
            <w:vMerge w:val="continue"/>
            <w:noWrap w:val="0"/>
            <w:tcMar>
              <w:top w:w="15" w:type="dxa"/>
              <w:left w:w="15" w:type="dxa"/>
              <w:right w:w="15" w:type="dxa"/>
            </w:tcMar>
            <w:vAlign w:val="center"/>
          </w:tcPr>
          <w:p w14:paraId="2E105CCC">
            <w:pPr>
              <w:keepNext w:val="0"/>
              <w:keepLines w:val="0"/>
              <w:pageBreakBefore w:val="0"/>
              <w:widowControl w:val="0"/>
              <w:kinsoku/>
              <w:wordWrap/>
              <w:overflowPunct/>
              <w:topLinePunct w:val="0"/>
              <w:bidi w:val="0"/>
              <w:spacing w:line="360" w:lineRule="exact"/>
              <w:ind w:firstLine="0" w:firstLineChars="0"/>
              <w:jc w:val="center"/>
              <w:rPr>
                <w:rFonts w:ascii="Times New Roman" w:hAnsi="Times New Roman" w:eastAsia="仿宋_GB2312"/>
                <w:sz w:val="24"/>
                <w:szCs w:val="24"/>
                <w:highlight w:val="none"/>
              </w:rPr>
            </w:pPr>
          </w:p>
        </w:tc>
        <w:tc>
          <w:tcPr>
            <w:tcW w:w="630" w:type="dxa"/>
            <w:noWrap w:val="0"/>
            <w:tcMar>
              <w:top w:w="15" w:type="dxa"/>
              <w:left w:w="15" w:type="dxa"/>
              <w:right w:w="15" w:type="dxa"/>
            </w:tcMar>
            <w:vAlign w:val="center"/>
          </w:tcPr>
          <w:p w14:paraId="07835FE0">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14</w:t>
            </w:r>
          </w:p>
        </w:tc>
        <w:tc>
          <w:tcPr>
            <w:tcW w:w="2702" w:type="dxa"/>
            <w:noWrap w:val="0"/>
            <w:tcMar>
              <w:top w:w="15" w:type="dxa"/>
              <w:left w:w="15" w:type="dxa"/>
              <w:right w:w="15" w:type="dxa"/>
            </w:tcMar>
            <w:vAlign w:val="center"/>
          </w:tcPr>
          <w:p w14:paraId="528312AC">
            <w:pPr>
              <w:keepNext w:val="0"/>
              <w:keepLines w:val="0"/>
              <w:pageBreakBefore w:val="0"/>
              <w:widowControl w:val="0"/>
              <w:kinsoku/>
              <w:wordWrap/>
              <w:overflowPunct/>
              <w:topLinePunct w:val="0"/>
              <w:bidi w:val="0"/>
              <w:spacing w:line="360" w:lineRule="exact"/>
              <w:ind w:firstLine="0" w:firstLineChars="0"/>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突发生态环境事件应急管理机制</w:t>
            </w:r>
          </w:p>
        </w:tc>
        <w:tc>
          <w:tcPr>
            <w:tcW w:w="630" w:type="dxa"/>
            <w:noWrap w:val="0"/>
            <w:tcMar>
              <w:top w:w="15" w:type="dxa"/>
              <w:left w:w="15" w:type="dxa"/>
              <w:right w:w="15" w:type="dxa"/>
            </w:tcMar>
            <w:vAlign w:val="center"/>
          </w:tcPr>
          <w:p w14:paraId="40E9F32B">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w:t>
            </w:r>
          </w:p>
        </w:tc>
        <w:tc>
          <w:tcPr>
            <w:tcW w:w="1245" w:type="dxa"/>
            <w:noWrap w:val="0"/>
            <w:tcMar>
              <w:top w:w="15" w:type="dxa"/>
              <w:left w:w="15" w:type="dxa"/>
              <w:right w:w="15" w:type="dxa"/>
            </w:tcMar>
            <w:vAlign w:val="center"/>
          </w:tcPr>
          <w:p w14:paraId="60A66229">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建立</w:t>
            </w:r>
          </w:p>
        </w:tc>
        <w:tc>
          <w:tcPr>
            <w:tcW w:w="1335" w:type="dxa"/>
            <w:noWrap w:val="0"/>
            <w:tcMar>
              <w:top w:w="15" w:type="dxa"/>
              <w:left w:w="15" w:type="dxa"/>
              <w:right w:w="15" w:type="dxa"/>
            </w:tcMar>
            <w:vAlign w:val="center"/>
          </w:tcPr>
          <w:p w14:paraId="5FDD65B1">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建立</w:t>
            </w:r>
          </w:p>
        </w:tc>
        <w:tc>
          <w:tcPr>
            <w:tcW w:w="660" w:type="dxa"/>
            <w:noWrap w:val="0"/>
            <w:tcMar>
              <w:top w:w="15" w:type="dxa"/>
              <w:left w:w="15" w:type="dxa"/>
              <w:right w:w="15" w:type="dxa"/>
            </w:tcMar>
            <w:vAlign w:val="center"/>
          </w:tcPr>
          <w:p w14:paraId="124C965A">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是</w:t>
            </w:r>
          </w:p>
        </w:tc>
        <w:tc>
          <w:tcPr>
            <w:tcW w:w="1230" w:type="dxa"/>
            <w:noWrap w:val="0"/>
            <w:tcMar>
              <w:top w:w="15" w:type="dxa"/>
              <w:left w:w="15" w:type="dxa"/>
              <w:right w:w="15" w:type="dxa"/>
            </w:tcMar>
            <w:vAlign w:val="center"/>
          </w:tcPr>
          <w:p w14:paraId="1FCD7CB2">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建立</w:t>
            </w:r>
          </w:p>
        </w:tc>
        <w:tc>
          <w:tcPr>
            <w:tcW w:w="1275" w:type="dxa"/>
            <w:noWrap w:val="0"/>
            <w:tcMar>
              <w:top w:w="15" w:type="dxa"/>
              <w:left w:w="15" w:type="dxa"/>
              <w:right w:w="15" w:type="dxa"/>
            </w:tcMar>
            <w:vAlign w:val="center"/>
          </w:tcPr>
          <w:p w14:paraId="749FAADA">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建立</w:t>
            </w:r>
          </w:p>
        </w:tc>
        <w:tc>
          <w:tcPr>
            <w:tcW w:w="945" w:type="dxa"/>
            <w:noWrap w:val="0"/>
            <w:tcMar>
              <w:top w:w="15" w:type="dxa"/>
              <w:left w:w="15" w:type="dxa"/>
              <w:right w:w="15" w:type="dxa"/>
            </w:tcMar>
            <w:vAlign w:val="center"/>
          </w:tcPr>
          <w:p w14:paraId="39A67CDE">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约束性</w:t>
            </w:r>
          </w:p>
        </w:tc>
        <w:tc>
          <w:tcPr>
            <w:tcW w:w="2373" w:type="dxa"/>
            <w:noWrap w:val="0"/>
            <w:tcMar>
              <w:top w:w="15" w:type="dxa"/>
              <w:left w:w="15" w:type="dxa"/>
              <w:right w:w="15" w:type="dxa"/>
            </w:tcMar>
            <w:vAlign w:val="center"/>
          </w:tcPr>
          <w:p w14:paraId="5118579D">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hint="eastAsia" w:ascii="Times New Roman" w:hAnsi="Times New Roman" w:eastAsia="仿宋_GB2312"/>
                <w:sz w:val="24"/>
                <w:szCs w:val="24"/>
                <w:highlight w:val="none"/>
                <w:lang w:eastAsia="zh-CN"/>
              </w:rPr>
              <w:t>柳州市柳江</w:t>
            </w:r>
            <w:r>
              <w:rPr>
                <w:rFonts w:ascii="Times New Roman" w:hAnsi="Times New Roman" w:eastAsia="仿宋_GB2312"/>
                <w:sz w:val="24"/>
                <w:szCs w:val="24"/>
                <w:highlight w:val="none"/>
              </w:rPr>
              <w:t>生态环境局</w:t>
            </w:r>
          </w:p>
        </w:tc>
      </w:tr>
      <w:tr w14:paraId="520FE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57" w:type="dxa"/>
            <w:vMerge w:val="restart"/>
            <w:noWrap w:val="0"/>
            <w:tcMar>
              <w:top w:w="15" w:type="dxa"/>
              <w:left w:w="15" w:type="dxa"/>
              <w:right w:w="15" w:type="dxa"/>
            </w:tcMar>
            <w:vAlign w:val="center"/>
          </w:tcPr>
          <w:p w14:paraId="716CE5EB">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生态空间</w:t>
            </w:r>
          </w:p>
        </w:tc>
        <w:tc>
          <w:tcPr>
            <w:tcW w:w="780" w:type="dxa"/>
            <w:vMerge w:val="restart"/>
            <w:noWrap w:val="0"/>
            <w:tcMar>
              <w:top w:w="15" w:type="dxa"/>
              <w:left w:w="15" w:type="dxa"/>
              <w:right w:w="15" w:type="dxa"/>
            </w:tcMar>
            <w:vAlign w:val="center"/>
          </w:tcPr>
          <w:p w14:paraId="2309B79F">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（五）空间格局优化</w:t>
            </w:r>
          </w:p>
        </w:tc>
        <w:tc>
          <w:tcPr>
            <w:tcW w:w="630" w:type="dxa"/>
            <w:noWrap w:val="0"/>
            <w:tcMar>
              <w:top w:w="15" w:type="dxa"/>
              <w:left w:w="15" w:type="dxa"/>
              <w:right w:w="15" w:type="dxa"/>
            </w:tcMar>
            <w:vAlign w:val="center"/>
          </w:tcPr>
          <w:p w14:paraId="0FF577EA">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15</w:t>
            </w:r>
          </w:p>
        </w:tc>
        <w:tc>
          <w:tcPr>
            <w:tcW w:w="2702" w:type="dxa"/>
            <w:noWrap w:val="0"/>
            <w:tcMar>
              <w:top w:w="15" w:type="dxa"/>
              <w:left w:w="15" w:type="dxa"/>
              <w:right w:w="15" w:type="dxa"/>
            </w:tcMar>
            <w:vAlign w:val="center"/>
          </w:tcPr>
          <w:p w14:paraId="17742CFC">
            <w:pPr>
              <w:keepNext w:val="0"/>
              <w:keepLines w:val="0"/>
              <w:pageBreakBefore w:val="0"/>
              <w:widowControl w:val="0"/>
              <w:kinsoku/>
              <w:wordWrap/>
              <w:overflowPunct/>
              <w:topLinePunct w:val="0"/>
              <w:bidi w:val="0"/>
              <w:spacing w:line="360" w:lineRule="exact"/>
              <w:ind w:firstLine="0" w:firstLineChars="0"/>
              <w:jc w:val="left"/>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自然生态空间                     （1）生态保护红线                  （2）自然保护地</w:t>
            </w:r>
          </w:p>
        </w:tc>
        <w:tc>
          <w:tcPr>
            <w:tcW w:w="630" w:type="dxa"/>
            <w:noWrap w:val="0"/>
            <w:tcMar>
              <w:top w:w="15" w:type="dxa"/>
              <w:left w:w="15" w:type="dxa"/>
              <w:right w:w="15" w:type="dxa"/>
            </w:tcMar>
            <w:vAlign w:val="center"/>
          </w:tcPr>
          <w:p w14:paraId="78F29AC8">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w:t>
            </w:r>
          </w:p>
        </w:tc>
        <w:tc>
          <w:tcPr>
            <w:tcW w:w="1245" w:type="dxa"/>
            <w:noWrap w:val="0"/>
            <w:tcMar>
              <w:top w:w="15" w:type="dxa"/>
              <w:left w:w="15" w:type="dxa"/>
              <w:right w:w="15" w:type="dxa"/>
            </w:tcMar>
            <w:vAlign w:val="center"/>
          </w:tcPr>
          <w:p w14:paraId="695BEA49">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面积不减少，性质不改变，功能不降低</w:t>
            </w:r>
          </w:p>
        </w:tc>
        <w:tc>
          <w:tcPr>
            <w:tcW w:w="1335" w:type="dxa"/>
            <w:noWrap w:val="0"/>
            <w:tcMar>
              <w:top w:w="15" w:type="dxa"/>
              <w:left w:w="15" w:type="dxa"/>
              <w:right w:w="15" w:type="dxa"/>
            </w:tcMar>
            <w:vAlign w:val="center"/>
          </w:tcPr>
          <w:p w14:paraId="2354B04E">
            <w:pPr>
              <w:keepNext w:val="0"/>
              <w:keepLines w:val="0"/>
              <w:pageBreakBefore w:val="0"/>
              <w:widowControl w:val="0"/>
              <w:kinsoku/>
              <w:wordWrap/>
              <w:overflowPunct/>
              <w:topLinePunct w:val="0"/>
              <w:bidi w:val="0"/>
              <w:snapToGrid w:val="0"/>
              <w:spacing w:line="360" w:lineRule="exact"/>
              <w:ind w:firstLine="0" w:firstLineChars="0"/>
              <w:rPr>
                <w:rFonts w:ascii="Times New Roman" w:hAnsi="Times New Roman" w:eastAsia="仿宋_GB2312"/>
                <w:sz w:val="24"/>
                <w:szCs w:val="24"/>
                <w:highlight w:val="yellow"/>
              </w:rPr>
            </w:pPr>
            <w:r>
              <w:rPr>
                <w:rFonts w:ascii="Times New Roman" w:hAnsi="Times New Roman" w:eastAsia="仿宋_GB2312"/>
                <w:sz w:val="24"/>
                <w:szCs w:val="24"/>
                <w:highlight w:val="none"/>
              </w:rPr>
              <w:t>面积不减少，性质不改变，功能不降低</w:t>
            </w:r>
          </w:p>
        </w:tc>
        <w:tc>
          <w:tcPr>
            <w:tcW w:w="660" w:type="dxa"/>
            <w:noWrap w:val="0"/>
            <w:tcMar>
              <w:top w:w="15" w:type="dxa"/>
              <w:left w:w="15" w:type="dxa"/>
              <w:right w:w="15" w:type="dxa"/>
            </w:tcMar>
            <w:vAlign w:val="center"/>
          </w:tcPr>
          <w:p w14:paraId="3D624076">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是</w:t>
            </w:r>
          </w:p>
        </w:tc>
        <w:tc>
          <w:tcPr>
            <w:tcW w:w="1230" w:type="dxa"/>
            <w:noWrap w:val="0"/>
            <w:tcMar>
              <w:top w:w="15" w:type="dxa"/>
              <w:left w:w="15" w:type="dxa"/>
              <w:right w:w="15" w:type="dxa"/>
            </w:tcMar>
            <w:vAlign w:val="center"/>
          </w:tcPr>
          <w:p w14:paraId="5429801C">
            <w:pPr>
              <w:keepNext w:val="0"/>
              <w:keepLines w:val="0"/>
              <w:pageBreakBefore w:val="0"/>
              <w:widowControl w:val="0"/>
              <w:kinsoku/>
              <w:wordWrap/>
              <w:overflowPunct/>
              <w:topLinePunct w:val="0"/>
              <w:bidi w:val="0"/>
              <w:spacing w:line="360" w:lineRule="exact"/>
              <w:ind w:firstLine="0" w:firstLineChars="0"/>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面积不减少，性质不改变，功能不降低</w:t>
            </w:r>
          </w:p>
        </w:tc>
        <w:tc>
          <w:tcPr>
            <w:tcW w:w="1275" w:type="dxa"/>
            <w:noWrap w:val="0"/>
            <w:tcMar>
              <w:top w:w="15" w:type="dxa"/>
              <w:left w:w="15" w:type="dxa"/>
              <w:right w:w="15" w:type="dxa"/>
            </w:tcMar>
            <w:vAlign w:val="center"/>
          </w:tcPr>
          <w:p w14:paraId="5526257D">
            <w:pPr>
              <w:keepNext w:val="0"/>
              <w:keepLines w:val="0"/>
              <w:pageBreakBefore w:val="0"/>
              <w:widowControl w:val="0"/>
              <w:kinsoku/>
              <w:wordWrap/>
              <w:overflowPunct/>
              <w:topLinePunct w:val="0"/>
              <w:bidi w:val="0"/>
              <w:spacing w:line="360" w:lineRule="exact"/>
              <w:ind w:firstLine="0" w:firstLineChars="0"/>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面积不减少，性质不改变，功能不降低</w:t>
            </w:r>
          </w:p>
        </w:tc>
        <w:tc>
          <w:tcPr>
            <w:tcW w:w="945" w:type="dxa"/>
            <w:noWrap w:val="0"/>
            <w:tcMar>
              <w:top w:w="15" w:type="dxa"/>
              <w:left w:w="15" w:type="dxa"/>
              <w:right w:w="15" w:type="dxa"/>
            </w:tcMar>
            <w:vAlign w:val="center"/>
          </w:tcPr>
          <w:p w14:paraId="5FA53FD0">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约束性</w:t>
            </w:r>
          </w:p>
        </w:tc>
        <w:tc>
          <w:tcPr>
            <w:tcW w:w="2373" w:type="dxa"/>
            <w:noWrap w:val="0"/>
            <w:tcMar>
              <w:top w:w="15" w:type="dxa"/>
              <w:left w:w="15" w:type="dxa"/>
              <w:right w:w="15" w:type="dxa"/>
            </w:tcMar>
            <w:vAlign w:val="center"/>
          </w:tcPr>
          <w:p w14:paraId="082E4060">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yellow"/>
              </w:rPr>
            </w:pPr>
            <w:r>
              <w:rPr>
                <w:rFonts w:hint="eastAsia" w:ascii="Times New Roman" w:hAnsi="Times New Roman" w:eastAsia="仿宋_GB2312"/>
                <w:sz w:val="24"/>
                <w:szCs w:val="24"/>
                <w:highlight w:val="none"/>
                <w:lang w:eastAsia="zh-CN"/>
              </w:rPr>
              <w:t>柳江区</w:t>
            </w:r>
            <w:r>
              <w:rPr>
                <w:rFonts w:ascii="Times New Roman" w:hAnsi="Times New Roman" w:eastAsia="仿宋_GB2312"/>
                <w:sz w:val="24"/>
                <w:szCs w:val="24"/>
                <w:highlight w:val="none"/>
              </w:rPr>
              <w:t>自然</w:t>
            </w:r>
            <w:r>
              <w:rPr>
                <w:rFonts w:hint="eastAsia" w:ascii="Times New Roman" w:hAnsi="Times New Roman" w:eastAsia="仿宋_GB2312"/>
                <w:sz w:val="24"/>
                <w:szCs w:val="24"/>
                <w:highlight w:val="none"/>
                <w:lang w:eastAsia="zh-CN"/>
              </w:rPr>
              <w:t>资源</w:t>
            </w:r>
            <w:r>
              <w:rPr>
                <w:rFonts w:ascii="Times New Roman" w:hAnsi="Times New Roman" w:eastAsia="仿宋_GB2312"/>
                <w:sz w:val="24"/>
                <w:szCs w:val="24"/>
                <w:highlight w:val="none"/>
              </w:rPr>
              <w:t>局、</w:t>
            </w:r>
            <w:r>
              <w:rPr>
                <w:rFonts w:hint="eastAsia" w:ascii="Times New Roman" w:hAnsi="Times New Roman" w:eastAsia="仿宋_GB2312"/>
                <w:sz w:val="24"/>
                <w:szCs w:val="24"/>
                <w:highlight w:val="none"/>
                <w:lang w:eastAsia="zh-CN"/>
              </w:rPr>
              <w:t>柳州市柳江</w:t>
            </w:r>
            <w:r>
              <w:rPr>
                <w:rFonts w:ascii="Times New Roman" w:hAnsi="Times New Roman" w:eastAsia="仿宋_GB2312"/>
                <w:sz w:val="24"/>
                <w:szCs w:val="24"/>
                <w:highlight w:val="none"/>
              </w:rPr>
              <w:t>生态环境局</w:t>
            </w:r>
          </w:p>
        </w:tc>
      </w:tr>
      <w:tr w14:paraId="13390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jc w:val="center"/>
        </w:trPr>
        <w:tc>
          <w:tcPr>
            <w:tcW w:w="557" w:type="dxa"/>
            <w:vMerge w:val="continue"/>
            <w:noWrap w:val="0"/>
            <w:tcMar>
              <w:top w:w="15" w:type="dxa"/>
              <w:left w:w="15" w:type="dxa"/>
              <w:right w:w="15" w:type="dxa"/>
            </w:tcMar>
            <w:vAlign w:val="center"/>
          </w:tcPr>
          <w:p w14:paraId="7EBD2C88">
            <w:pPr>
              <w:keepNext w:val="0"/>
              <w:keepLines w:val="0"/>
              <w:pageBreakBefore w:val="0"/>
              <w:widowControl w:val="0"/>
              <w:kinsoku/>
              <w:wordWrap/>
              <w:overflowPunct/>
              <w:topLinePunct w:val="0"/>
              <w:bidi w:val="0"/>
              <w:spacing w:line="360" w:lineRule="exact"/>
              <w:ind w:firstLine="0" w:firstLineChars="0"/>
              <w:jc w:val="center"/>
              <w:rPr>
                <w:rFonts w:ascii="Times New Roman" w:hAnsi="Times New Roman" w:eastAsia="仿宋_GB2312"/>
                <w:sz w:val="24"/>
                <w:szCs w:val="24"/>
                <w:highlight w:val="none"/>
              </w:rPr>
            </w:pPr>
          </w:p>
        </w:tc>
        <w:tc>
          <w:tcPr>
            <w:tcW w:w="780" w:type="dxa"/>
            <w:vMerge w:val="continue"/>
            <w:noWrap w:val="0"/>
            <w:tcMar>
              <w:top w:w="15" w:type="dxa"/>
              <w:left w:w="15" w:type="dxa"/>
              <w:right w:w="15" w:type="dxa"/>
            </w:tcMar>
            <w:vAlign w:val="center"/>
          </w:tcPr>
          <w:p w14:paraId="517BD7BD">
            <w:pPr>
              <w:keepNext w:val="0"/>
              <w:keepLines w:val="0"/>
              <w:pageBreakBefore w:val="0"/>
              <w:widowControl w:val="0"/>
              <w:kinsoku/>
              <w:wordWrap/>
              <w:overflowPunct/>
              <w:topLinePunct w:val="0"/>
              <w:bidi w:val="0"/>
              <w:spacing w:line="360" w:lineRule="exact"/>
              <w:ind w:firstLine="0" w:firstLineChars="0"/>
              <w:jc w:val="center"/>
              <w:rPr>
                <w:rFonts w:ascii="Times New Roman" w:hAnsi="Times New Roman" w:eastAsia="仿宋_GB2312"/>
                <w:sz w:val="24"/>
                <w:szCs w:val="24"/>
                <w:highlight w:val="none"/>
              </w:rPr>
            </w:pPr>
          </w:p>
        </w:tc>
        <w:tc>
          <w:tcPr>
            <w:tcW w:w="630" w:type="dxa"/>
            <w:noWrap w:val="0"/>
            <w:tcMar>
              <w:top w:w="15" w:type="dxa"/>
              <w:left w:w="15" w:type="dxa"/>
              <w:right w:w="15" w:type="dxa"/>
            </w:tcMar>
            <w:vAlign w:val="center"/>
          </w:tcPr>
          <w:p w14:paraId="71586E39">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16</w:t>
            </w:r>
          </w:p>
        </w:tc>
        <w:tc>
          <w:tcPr>
            <w:tcW w:w="2702" w:type="dxa"/>
            <w:noWrap w:val="0"/>
            <w:tcMar>
              <w:top w:w="15" w:type="dxa"/>
              <w:left w:w="15" w:type="dxa"/>
              <w:right w:w="15" w:type="dxa"/>
            </w:tcMar>
            <w:vAlign w:val="center"/>
          </w:tcPr>
          <w:p w14:paraId="08609208">
            <w:pPr>
              <w:keepNext w:val="0"/>
              <w:keepLines w:val="0"/>
              <w:pageBreakBefore w:val="0"/>
              <w:widowControl w:val="0"/>
              <w:kinsoku/>
              <w:wordWrap/>
              <w:overflowPunct/>
              <w:topLinePunct w:val="0"/>
              <w:bidi w:val="0"/>
              <w:spacing w:line="360" w:lineRule="exact"/>
              <w:ind w:firstLine="0" w:firstLineChars="0"/>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河湖岸线保护率</w:t>
            </w:r>
          </w:p>
        </w:tc>
        <w:tc>
          <w:tcPr>
            <w:tcW w:w="630" w:type="dxa"/>
            <w:noWrap w:val="0"/>
            <w:tcMar>
              <w:top w:w="15" w:type="dxa"/>
              <w:left w:w="15" w:type="dxa"/>
              <w:right w:w="15" w:type="dxa"/>
            </w:tcMar>
            <w:vAlign w:val="center"/>
          </w:tcPr>
          <w:p w14:paraId="1CD30B8C">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w:t>
            </w:r>
          </w:p>
        </w:tc>
        <w:tc>
          <w:tcPr>
            <w:tcW w:w="1245" w:type="dxa"/>
            <w:noWrap w:val="0"/>
            <w:tcMar>
              <w:top w:w="15" w:type="dxa"/>
              <w:left w:w="15" w:type="dxa"/>
              <w:right w:w="15" w:type="dxa"/>
            </w:tcMar>
            <w:vAlign w:val="center"/>
          </w:tcPr>
          <w:p w14:paraId="4A870EC4">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完成上级管控目标</w:t>
            </w:r>
          </w:p>
        </w:tc>
        <w:tc>
          <w:tcPr>
            <w:tcW w:w="1335" w:type="dxa"/>
            <w:noWrap w:val="0"/>
            <w:tcMar>
              <w:top w:w="15" w:type="dxa"/>
              <w:left w:w="15" w:type="dxa"/>
              <w:right w:w="15" w:type="dxa"/>
            </w:tcMar>
            <w:vAlign w:val="center"/>
          </w:tcPr>
          <w:p w14:paraId="6F117FDD">
            <w:pPr>
              <w:keepNext w:val="0"/>
              <w:keepLines w:val="0"/>
              <w:pageBreakBefore w:val="0"/>
              <w:widowControl w:val="0"/>
              <w:kinsoku/>
              <w:wordWrap/>
              <w:overflowPunct/>
              <w:topLinePunct w:val="0"/>
              <w:bidi w:val="0"/>
              <w:spacing w:line="360" w:lineRule="exact"/>
              <w:ind w:firstLine="0" w:firstLineChars="0"/>
              <w:jc w:val="center"/>
              <w:textAlignment w:val="center"/>
              <w:rPr>
                <w:rFonts w:hint="eastAsia" w:ascii="Times New Roman" w:hAnsi="Times New Roman" w:eastAsia="仿宋_GB2312"/>
                <w:sz w:val="24"/>
                <w:szCs w:val="24"/>
                <w:highlight w:val="none"/>
                <w:lang w:eastAsia="zh-CN"/>
              </w:rPr>
            </w:pPr>
            <w:r>
              <w:rPr>
                <w:rFonts w:hint="eastAsia" w:ascii="Times New Roman" w:hAnsi="Times New Roman" w:eastAsia="仿宋_GB2312"/>
                <w:sz w:val="24"/>
                <w:szCs w:val="24"/>
                <w:highlight w:val="none"/>
                <w:lang w:eastAsia="zh-CN"/>
              </w:rPr>
              <w:t>未开展</w:t>
            </w:r>
          </w:p>
        </w:tc>
        <w:tc>
          <w:tcPr>
            <w:tcW w:w="660" w:type="dxa"/>
            <w:noWrap w:val="0"/>
            <w:tcMar>
              <w:top w:w="15" w:type="dxa"/>
              <w:left w:w="15" w:type="dxa"/>
              <w:right w:w="15" w:type="dxa"/>
            </w:tcMar>
            <w:vAlign w:val="center"/>
          </w:tcPr>
          <w:p w14:paraId="3FBB01C8">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否</w:t>
            </w:r>
          </w:p>
        </w:tc>
        <w:tc>
          <w:tcPr>
            <w:tcW w:w="1230" w:type="dxa"/>
            <w:noWrap w:val="0"/>
            <w:tcMar>
              <w:top w:w="15" w:type="dxa"/>
              <w:left w:w="15" w:type="dxa"/>
              <w:right w:w="15" w:type="dxa"/>
            </w:tcMar>
            <w:vAlign w:val="center"/>
          </w:tcPr>
          <w:p w14:paraId="5D62B0A6">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hint="eastAsia" w:ascii="Times New Roman" w:hAnsi="Times New Roman" w:eastAsia="仿宋_GB2312"/>
                <w:sz w:val="24"/>
                <w:szCs w:val="24"/>
                <w:highlight w:val="none"/>
              </w:rPr>
              <w:t>编制河道岸线保护和利用规划</w:t>
            </w:r>
          </w:p>
        </w:tc>
        <w:tc>
          <w:tcPr>
            <w:tcW w:w="1275" w:type="dxa"/>
            <w:noWrap w:val="0"/>
            <w:tcMar>
              <w:top w:w="15" w:type="dxa"/>
              <w:left w:w="15" w:type="dxa"/>
              <w:right w:w="15" w:type="dxa"/>
            </w:tcMar>
            <w:vAlign w:val="center"/>
          </w:tcPr>
          <w:p w14:paraId="794F6B6D">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hint="eastAsia" w:ascii="Times New Roman" w:hAnsi="Times New Roman" w:eastAsia="仿宋_GB2312"/>
                <w:sz w:val="24"/>
                <w:szCs w:val="24"/>
                <w:highlight w:val="none"/>
              </w:rPr>
              <w:t>编制河道岸线保护和利用规划</w:t>
            </w:r>
          </w:p>
        </w:tc>
        <w:tc>
          <w:tcPr>
            <w:tcW w:w="945" w:type="dxa"/>
            <w:noWrap w:val="0"/>
            <w:tcMar>
              <w:top w:w="15" w:type="dxa"/>
              <w:left w:w="15" w:type="dxa"/>
              <w:right w:w="15" w:type="dxa"/>
            </w:tcMar>
            <w:vAlign w:val="center"/>
          </w:tcPr>
          <w:p w14:paraId="06F75AEA">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参考性</w:t>
            </w:r>
          </w:p>
        </w:tc>
        <w:tc>
          <w:tcPr>
            <w:tcW w:w="2373" w:type="dxa"/>
            <w:noWrap w:val="0"/>
            <w:tcMar>
              <w:top w:w="15" w:type="dxa"/>
              <w:left w:w="15" w:type="dxa"/>
              <w:right w:w="15" w:type="dxa"/>
            </w:tcMar>
            <w:vAlign w:val="center"/>
          </w:tcPr>
          <w:p w14:paraId="1E49C5AB">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hint="eastAsia" w:ascii="Times New Roman" w:hAnsi="Times New Roman" w:eastAsia="仿宋_GB2312"/>
                <w:sz w:val="24"/>
                <w:szCs w:val="24"/>
                <w:highlight w:val="none"/>
                <w:lang w:eastAsia="zh-CN"/>
              </w:rPr>
              <w:t>柳江区</w:t>
            </w:r>
            <w:r>
              <w:rPr>
                <w:rFonts w:ascii="Times New Roman" w:hAnsi="Times New Roman" w:eastAsia="仿宋_GB2312"/>
                <w:sz w:val="24"/>
                <w:szCs w:val="24"/>
                <w:highlight w:val="none"/>
              </w:rPr>
              <w:t>水利局</w:t>
            </w:r>
          </w:p>
        </w:tc>
      </w:tr>
      <w:tr w14:paraId="715E6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57" w:type="dxa"/>
            <w:vMerge w:val="restart"/>
            <w:noWrap w:val="0"/>
            <w:tcMar>
              <w:top w:w="15" w:type="dxa"/>
              <w:left w:w="15" w:type="dxa"/>
              <w:right w:w="15" w:type="dxa"/>
            </w:tcMar>
            <w:vAlign w:val="center"/>
          </w:tcPr>
          <w:p w14:paraId="1541032E">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生态经济</w:t>
            </w:r>
          </w:p>
        </w:tc>
        <w:tc>
          <w:tcPr>
            <w:tcW w:w="780" w:type="dxa"/>
            <w:vMerge w:val="restart"/>
            <w:noWrap w:val="0"/>
            <w:tcMar>
              <w:top w:w="15" w:type="dxa"/>
              <w:left w:w="15" w:type="dxa"/>
              <w:right w:w="15" w:type="dxa"/>
            </w:tcMar>
            <w:vAlign w:val="center"/>
          </w:tcPr>
          <w:p w14:paraId="48CB76E2">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（六）资源节约与利用</w:t>
            </w:r>
          </w:p>
        </w:tc>
        <w:tc>
          <w:tcPr>
            <w:tcW w:w="630" w:type="dxa"/>
            <w:noWrap w:val="0"/>
            <w:tcMar>
              <w:top w:w="15" w:type="dxa"/>
              <w:left w:w="15" w:type="dxa"/>
              <w:right w:w="15" w:type="dxa"/>
            </w:tcMar>
            <w:vAlign w:val="center"/>
          </w:tcPr>
          <w:p w14:paraId="6FED61E5">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17</w:t>
            </w:r>
          </w:p>
        </w:tc>
        <w:tc>
          <w:tcPr>
            <w:tcW w:w="2702" w:type="dxa"/>
            <w:noWrap w:val="0"/>
            <w:tcMar>
              <w:top w:w="15" w:type="dxa"/>
              <w:left w:w="15" w:type="dxa"/>
              <w:right w:w="15" w:type="dxa"/>
            </w:tcMar>
            <w:vAlign w:val="center"/>
          </w:tcPr>
          <w:p w14:paraId="2AF609CC">
            <w:pPr>
              <w:keepNext w:val="0"/>
              <w:keepLines w:val="0"/>
              <w:pageBreakBefore w:val="0"/>
              <w:widowControl w:val="0"/>
              <w:kinsoku/>
              <w:wordWrap/>
              <w:overflowPunct/>
              <w:topLinePunct w:val="0"/>
              <w:bidi w:val="0"/>
              <w:spacing w:line="360" w:lineRule="exact"/>
              <w:ind w:firstLine="0" w:firstLineChars="0"/>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单位地区生产总值能耗</w:t>
            </w:r>
          </w:p>
        </w:tc>
        <w:tc>
          <w:tcPr>
            <w:tcW w:w="630" w:type="dxa"/>
            <w:noWrap w:val="0"/>
            <w:tcMar>
              <w:top w:w="15" w:type="dxa"/>
              <w:left w:w="15" w:type="dxa"/>
              <w:right w:w="15" w:type="dxa"/>
            </w:tcMar>
            <w:vAlign w:val="center"/>
          </w:tcPr>
          <w:p w14:paraId="647898E4">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吨标准煤/万元</w:t>
            </w:r>
          </w:p>
        </w:tc>
        <w:tc>
          <w:tcPr>
            <w:tcW w:w="1245" w:type="dxa"/>
            <w:noWrap w:val="0"/>
            <w:tcMar>
              <w:top w:w="15" w:type="dxa"/>
              <w:left w:w="15" w:type="dxa"/>
              <w:right w:w="15" w:type="dxa"/>
            </w:tcMar>
            <w:vAlign w:val="center"/>
          </w:tcPr>
          <w:p w14:paraId="5E836D05">
            <w:pPr>
              <w:keepNext w:val="0"/>
              <w:keepLines w:val="0"/>
              <w:pageBreakBefore w:val="0"/>
              <w:widowControl w:val="0"/>
              <w:kinsoku/>
              <w:wordWrap/>
              <w:overflowPunct/>
              <w:topLinePunct w:val="0"/>
              <w:bidi w:val="0"/>
              <w:spacing w:line="360" w:lineRule="exact"/>
              <w:ind w:firstLine="0" w:firstLineChars="0"/>
              <w:jc w:val="left"/>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完成上级规定的目标任务；保持稳定或持续改善</w:t>
            </w:r>
          </w:p>
        </w:tc>
        <w:tc>
          <w:tcPr>
            <w:tcW w:w="1335" w:type="dxa"/>
            <w:noWrap w:val="0"/>
            <w:tcMar>
              <w:top w:w="15" w:type="dxa"/>
              <w:left w:w="15" w:type="dxa"/>
              <w:right w:w="15" w:type="dxa"/>
            </w:tcMar>
            <w:vAlign w:val="center"/>
          </w:tcPr>
          <w:p w14:paraId="19729DFF">
            <w:pPr>
              <w:keepNext w:val="0"/>
              <w:keepLines w:val="0"/>
              <w:pageBreakBefore w:val="0"/>
              <w:widowControl w:val="0"/>
              <w:kinsoku/>
              <w:wordWrap/>
              <w:overflowPunct/>
              <w:topLinePunct w:val="0"/>
              <w:bidi w:val="0"/>
              <w:spacing w:line="360" w:lineRule="exact"/>
              <w:ind w:firstLine="0" w:firstLineChars="0"/>
              <w:jc w:val="center"/>
              <w:textAlignment w:val="center"/>
              <w:rPr>
                <w:rFonts w:hint="default" w:ascii="Times New Roman" w:hAnsi="Times New Roman" w:eastAsia="仿宋_GB2312"/>
                <w:sz w:val="24"/>
                <w:szCs w:val="24"/>
                <w:highlight w:val="none"/>
                <w:lang w:val="en-US" w:eastAsia="zh-CN"/>
              </w:rPr>
            </w:pPr>
            <w:r>
              <w:rPr>
                <w:rFonts w:hint="eastAsia" w:ascii="Times New Roman" w:hAnsi="Times New Roman" w:eastAsia="仿宋_GB2312"/>
                <w:sz w:val="24"/>
                <w:szCs w:val="24"/>
                <w:highlight w:val="none"/>
                <w:lang w:val="en-US" w:eastAsia="zh-CN"/>
              </w:rPr>
              <w:t>0.335，持续改善</w:t>
            </w:r>
          </w:p>
        </w:tc>
        <w:tc>
          <w:tcPr>
            <w:tcW w:w="660" w:type="dxa"/>
            <w:noWrap w:val="0"/>
            <w:tcMar>
              <w:top w:w="15" w:type="dxa"/>
              <w:left w:w="15" w:type="dxa"/>
              <w:right w:w="15" w:type="dxa"/>
            </w:tcMar>
            <w:vAlign w:val="center"/>
          </w:tcPr>
          <w:p w14:paraId="5A882CE4">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是</w:t>
            </w:r>
          </w:p>
        </w:tc>
        <w:tc>
          <w:tcPr>
            <w:tcW w:w="1230" w:type="dxa"/>
            <w:noWrap w:val="0"/>
            <w:tcMar>
              <w:top w:w="15" w:type="dxa"/>
              <w:left w:w="15" w:type="dxa"/>
              <w:right w:w="15" w:type="dxa"/>
            </w:tcMar>
            <w:vAlign w:val="center"/>
          </w:tcPr>
          <w:p w14:paraId="22BA6F28">
            <w:pPr>
              <w:keepNext w:val="0"/>
              <w:keepLines w:val="0"/>
              <w:pageBreakBefore w:val="0"/>
              <w:widowControl w:val="0"/>
              <w:kinsoku/>
              <w:wordWrap/>
              <w:overflowPunct/>
              <w:topLinePunct w:val="0"/>
              <w:bidi w:val="0"/>
              <w:spacing w:line="360" w:lineRule="exact"/>
              <w:ind w:firstLine="0" w:firstLineChars="0"/>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完成上级规定的目标任务；保持稳定或持续改善</w:t>
            </w:r>
          </w:p>
        </w:tc>
        <w:tc>
          <w:tcPr>
            <w:tcW w:w="1275" w:type="dxa"/>
            <w:noWrap w:val="0"/>
            <w:tcMar>
              <w:top w:w="15" w:type="dxa"/>
              <w:left w:w="15" w:type="dxa"/>
              <w:right w:w="15" w:type="dxa"/>
            </w:tcMar>
            <w:vAlign w:val="center"/>
          </w:tcPr>
          <w:p w14:paraId="6DD0450F">
            <w:pPr>
              <w:keepNext w:val="0"/>
              <w:keepLines w:val="0"/>
              <w:pageBreakBefore w:val="0"/>
              <w:widowControl w:val="0"/>
              <w:kinsoku/>
              <w:wordWrap/>
              <w:overflowPunct/>
              <w:topLinePunct w:val="0"/>
              <w:bidi w:val="0"/>
              <w:spacing w:line="360" w:lineRule="exact"/>
              <w:ind w:firstLine="0" w:firstLineChars="0"/>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完成上级规定的目标任务；保持稳定或持续改善</w:t>
            </w:r>
          </w:p>
        </w:tc>
        <w:tc>
          <w:tcPr>
            <w:tcW w:w="945" w:type="dxa"/>
            <w:noWrap w:val="0"/>
            <w:tcMar>
              <w:top w:w="15" w:type="dxa"/>
              <w:left w:w="15" w:type="dxa"/>
              <w:right w:w="15" w:type="dxa"/>
            </w:tcMar>
            <w:vAlign w:val="center"/>
          </w:tcPr>
          <w:p w14:paraId="31810559">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约束性</w:t>
            </w:r>
          </w:p>
        </w:tc>
        <w:tc>
          <w:tcPr>
            <w:tcW w:w="2373" w:type="dxa"/>
            <w:noWrap w:val="0"/>
            <w:tcMar>
              <w:top w:w="15" w:type="dxa"/>
              <w:left w:w="15" w:type="dxa"/>
              <w:right w:w="15" w:type="dxa"/>
            </w:tcMar>
            <w:vAlign w:val="center"/>
          </w:tcPr>
          <w:p w14:paraId="03EC49E9">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hint="eastAsia" w:ascii="Times New Roman" w:hAnsi="Times New Roman" w:eastAsia="仿宋_GB2312"/>
                <w:sz w:val="24"/>
                <w:szCs w:val="24"/>
                <w:highlight w:val="none"/>
                <w:lang w:eastAsia="zh-CN"/>
              </w:rPr>
              <w:t>柳江区</w:t>
            </w:r>
            <w:r>
              <w:rPr>
                <w:rFonts w:ascii="Times New Roman" w:hAnsi="Times New Roman" w:eastAsia="仿宋_GB2312"/>
                <w:sz w:val="24"/>
                <w:szCs w:val="24"/>
                <w:highlight w:val="none"/>
              </w:rPr>
              <w:t>发改局、</w:t>
            </w:r>
            <w:r>
              <w:rPr>
                <w:rFonts w:hint="eastAsia" w:ascii="Times New Roman" w:hAnsi="Times New Roman" w:eastAsia="仿宋_GB2312"/>
                <w:sz w:val="24"/>
                <w:szCs w:val="24"/>
                <w:highlight w:val="none"/>
                <w:lang w:eastAsia="zh-CN"/>
              </w:rPr>
              <w:t>柳江区</w:t>
            </w:r>
            <w:r>
              <w:rPr>
                <w:rFonts w:ascii="Times New Roman" w:hAnsi="Times New Roman" w:eastAsia="仿宋_GB2312"/>
                <w:sz w:val="24"/>
                <w:szCs w:val="24"/>
                <w:highlight w:val="none"/>
              </w:rPr>
              <w:t>工信局、</w:t>
            </w:r>
            <w:r>
              <w:rPr>
                <w:rFonts w:hint="eastAsia" w:ascii="Times New Roman" w:hAnsi="Times New Roman" w:eastAsia="仿宋_GB2312"/>
                <w:sz w:val="24"/>
                <w:szCs w:val="24"/>
                <w:highlight w:val="none"/>
                <w:lang w:eastAsia="zh-CN"/>
              </w:rPr>
              <w:t>柳江区</w:t>
            </w:r>
            <w:r>
              <w:rPr>
                <w:rFonts w:ascii="Times New Roman" w:hAnsi="Times New Roman" w:eastAsia="仿宋_GB2312"/>
                <w:sz w:val="24"/>
                <w:szCs w:val="24"/>
                <w:highlight w:val="none"/>
              </w:rPr>
              <w:t>统计局</w:t>
            </w:r>
          </w:p>
        </w:tc>
      </w:tr>
      <w:tr w14:paraId="71A5F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57" w:type="dxa"/>
            <w:vMerge w:val="continue"/>
            <w:noWrap w:val="0"/>
            <w:tcMar>
              <w:top w:w="15" w:type="dxa"/>
              <w:left w:w="15" w:type="dxa"/>
              <w:right w:w="15" w:type="dxa"/>
            </w:tcMar>
            <w:vAlign w:val="center"/>
          </w:tcPr>
          <w:p w14:paraId="6FF37978">
            <w:pPr>
              <w:keepNext w:val="0"/>
              <w:keepLines w:val="0"/>
              <w:pageBreakBefore w:val="0"/>
              <w:widowControl w:val="0"/>
              <w:kinsoku/>
              <w:wordWrap/>
              <w:overflowPunct/>
              <w:topLinePunct w:val="0"/>
              <w:bidi w:val="0"/>
              <w:spacing w:line="360" w:lineRule="exact"/>
              <w:ind w:firstLine="0" w:firstLineChars="0"/>
              <w:jc w:val="center"/>
              <w:rPr>
                <w:rFonts w:ascii="Times New Roman" w:hAnsi="Times New Roman" w:eastAsia="仿宋_GB2312"/>
                <w:sz w:val="24"/>
                <w:szCs w:val="24"/>
                <w:highlight w:val="yellow"/>
              </w:rPr>
            </w:pPr>
          </w:p>
        </w:tc>
        <w:tc>
          <w:tcPr>
            <w:tcW w:w="780" w:type="dxa"/>
            <w:vMerge w:val="continue"/>
            <w:noWrap w:val="0"/>
            <w:tcMar>
              <w:top w:w="15" w:type="dxa"/>
              <w:left w:w="15" w:type="dxa"/>
              <w:right w:w="15" w:type="dxa"/>
            </w:tcMar>
            <w:vAlign w:val="center"/>
          </w:tcPr>
          <w:p w14:paraId="17A18846">
            <w:pPr>
              <w:keepNext w:val="0"/>
              <w:keepLines w:val="0"/>
              <w:pageBreakBefore w:val="0"/>
              <w:widowControl w:val="0"/>
              <w:kinsoku/>
              <w:wordWrap/>
              <w:overflowPunct/>
              <w:topLinePunct w:val="0"/>
              <w:bidi w:val="0"/>
              <w:spacing w:line="360" w:lineRule="exact"/>
              <w:ind w:firstLine="0" w:firstLineChars="0"/>
              <w:jc w:val="center"/>
              <w:rPr>
                <w:rFonts w:ascii="Times New Roman" w:hAnsi="Times New Roman" w:eastAsia="仿宋_GB2312"/>
                <w:sz w:val="24"/>
                <w:szCs w:val="24"/>
                <w:highlight w:val="yellow"/>
              </w:rPr>
            </w:pPr>
          </w:p>
        </w:tc>
        <w:tc>
          <w:tcPr>
            <w:tcW w:w="630" w:type="dxa"/>
            <w:noWrap w:val="0"/>
            <w:tcMar>
              <w:top w:w="15" w:type="dxa"/>
              <w:left w:w="15" w:type="dxa"/>
              <w:right w:w="15" w:type="dxa"/>
            </w:tcMar>
            <w:vAlign w:val="center"/>
          </w:tcPr>
          <w:p w14:paraId="25746870">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18</w:t>
            </w:r>
          </w:p>
        </w:tc>
        <w:tc>
          <w:tcPr>
            <w:tcW w:w="2702" w:type="dxa"/>
            <w:noWrap w:val="0"/>
            <w:tcMar>
              <w:top w:w="15" w:type="dxa"/>
              <w:left w:w="15" w:type="dxa"/>
              <w:right w:w="15" w:type="dxa"/>
            </w:tcMar>
            <w:vAlign w:val="center"/>
          </w:tcPr>
          <w:p w14:paraId="34C7A2E4">
            <w:pPr>
              <w:keepNext w:val="0"/>
              <w:keepLines w:val="0"/>
              <w:pageBreakBefore w:val="0"/>
              <w:widowControl w:val="0"/>
              <w:kinsoku/>
              <w:wordWrap/>
              <w:overflowPunct/>
              <w:topLinePunct w:val="0"/>
              <w:bidi w:val="0"/>
              <w:spacing w:line="360" w:lineRule="exact"/>
              <w:ind w:firstLine="0" w:firstLineChars="0"/>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单位地区生产总值用水量</w:t>
            </w:r>
          </w:p>
        </w:tc>
        <w:tc>
          <w:tcPr>
            <w:tcW w:w="630" w:type="dxa"/>
            <w:noWrap w:val="0"/>
            <w:tcMar>
              <w:top w:w="15" w:type="dxa"/>
              <w:left w:w="15" w:type="dxa"/>
              <w:right w:w="15" w:type="dxa"/>
            </w:tcMar>
            <w:vAlign w:val="center"/>
          </w:tcPr>
          <w:p w14:paraId="11737C6C">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立方米</w:t>
            </w:r>
            <w:r>
              <w:rPr>
                <w:rStyle w:val="67"/>
                <w:rFonts w:eastAsia="仿宋_GB2312"/>
                <w:color w:val="auto"/>
                <w:sz w:val="24"/>
                <w:szCs w:val="24"/>
                <w:highlight w:val="none"/>
              </w:rPr>
              <w:t>/</w:t>
            </w:r>
            <w:r>
              <w:rPr>
                <w:rFonts w:ascii="Times New Roman" w:hAnsi="Times New Roman" w:eastAsia="仿宋_GB2312"/>
                <w:sz w:val="24"/>
                <w:szCs w:val="24"/>
                <w:highlight w:val="none"/>
              </w:rPr>
              <w:t>万元</w:t>
            </w:r>
          </w:p>
        </w:tc>
        <w:tc>
          <w:tcPr>
            <w:tcW w:w="1245" w:type="dxa"/>
            <w:noWrap w:val="0"/>
            <w:tcMar>
              <w:top w:w="15" w:type="dxa"/>
              <w:left w:w="15" w:type="dxa"/>
              <w:right w:w="15" w:type="dxa"/>
            </w:tcMar>
            <w:vAlign w:val="center"/>
          </w:tcPr>
          <w:p w14:paraId="18DADE7C">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完成上级规定的目标任务；保持稳定或持续改善</w:t>
            </w:r>
          </w:p>
        </w:tc>
        <w:tc>
          <w:tcPr>
            <w:tcW w:w="1335" w:type="dxa"/>
            <w:noWrap w:val="0"/>
            <w:tcMar>
              <w:top w:w="15" w:type="dxa"/>
              <w:left w:w="15" w:type="dxa"/>
              <w:right w:w="15" w:type="dxa"/>
            </w:tcMar>
            <w:vAlign w:val="center"/>
          </w:tcPr>
          <w:p w14:paraId="00ED133D">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yellow"/>
              </w:rPr>
            </w:pPr>
            <w:r>
              <w:rPr>
                <w:rFonts w:ascii="Times New Roman" w:hAnsi="Times New Roman" w:eastAsia="仿宋_GB2312"/>
                <w:sz w:val="24"/>
                <w:szCs w:val="24"/>
                <w:highlight w:val="none"/>
              </w:rPr>
              <w:t>完成上级规定的目标任务</w:t>
            </w:r>
          </w:p>
        </w:tc>
        <w:tc>
          <w:tcPr>
            <w:tcW w:w="660" w:type="dxa"/>
            <w:noWrap w:val="0"/>
            <w:tcMar>
              <w:top w:w="15" w:type="dxa"/>
              <w:left w:w="15" w:type="dxa"/>
              <w:right w:w="15" w:type="dxa"/>
            </w:tcMar>
            <w:vAlign w:val="center"/>
          </w:tcPr>
          <w:p w14:paraId="1E397ED3">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是</w:t>
            </w:r>
          </w:p>
        </w:tc>
        <w:tc>
          <w:tcPr>
            <w:tcW w:w="1230" w:type="dxa"/>
            <w:noWrap w:val="0"/>
            <w:tcMar>
              <w:top w:w="15" w:type="dxa"/>
              <w:left w:w="15" w:type="dxa"/>
              <w:right w:w="15" w:type="dxa"/>
            </w:tcMar>
            <w:vAlign w:val="center"/>
          </w:tcPr>
          <w:p w14:paraId="1EC7CAC5">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完成上级规定的目标任务；保持稳定或持续改善</w:t>
            </w:r>
          </w:p>
        </w:tc>
        <w:tc>
          <w:tcPr>
            <w:tcW w:w="1275" w:type="dxa"/>
            <w:noWrap w:val="0"/>
            <w:tcMar>
              <w:top w:w="15" w:type="dxa"/>
              <w:left w:w="15" w:type="dxa"/>
              <w:right w:w="15" w:type="dxa"/>
            </w:tcMar>
            <w:vAlign w:val="center"/>
          </w:tcPr>
          <w:p w14:paraId="518B7708">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完成上级规定的目标任务；保持稳定或持续改善</w:t>
            </w:r>
          </w:p>
        </w:tc>
        <w:tc>
          <w:tcPr>
            <w:tcW w:w="945" w:type="dxa"/>
            <w:noWrap w:val="0"/>
            <w:tcMar>
              <w:top w:w="15" w:type="dxa"/>
              <w:left w:w="15" w:type="dxa"/>
              <w:right w:w="15" w:type="dxa"/>
            </w:tcMar>
            <w:vAlign w:val="center"/>
          </w:tcPr>
          <w:p w14:paraId="7FF5787A">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约束性</w:t>
            </w:r>
          </w:p>
        </w:tc>
        <w:tc>
          <w:tcPr>
            <w:tcW w:w="2373" w:type="dxa"/>
            <w:noWrap w:val="0"/>
            <w:tcMar>
              <w:top w:w="15" w:type="dxa"/>
              <w:left w:w="15" w:type="dxa"/>
              <w:right w:w="15" w:type="dxa"/>
            </w:tcMar>
            <w:vAlign w:val="center"/>
          </w:tcPr>
          <w:p w14:paraId="4EBCF951">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yellow"/>
              </w:rPr>
            </w:pPr>
            <w:r>
              <w:rPr>
                <w:rFonts w:hint="eastAsia" w:ascii="Times New Roman" w:hAnsi="Times New Roman" w:eastAsia="仿宋_GB2312"/>
                <w:sz w:val="24"/>
                <w:szCs w:val="24"/>
                <w:highlight w:val="none"/>
                <w:lang w:eastAsia="zh-CN"/>
              </w:rPr>
              <w:t>柳江区</w:t>
            </w:r>
            <w:r>
              <w:rPr>
                <w:rFonts w:ascii="Times New Roman" w:hAnsi="Times New Roman" w:eastAsia="仿宋_GB2312"/>
                <w:sz w:val="24"/>
                <w:szCs w:val="24"/>
                <w:highlight w:val="none"/>
              </w:rPr>
              <w:t>水利局、</w:t>
            </w:r>
            <w:r>
              <w:rPr>
                <w:rFonts w:hint="eastAsia" w:ascii="Times New Roman" w:hAnsi="Times New Roman" w:eastAsia="仿宋_GB2312"/>
                <w:sz w:val="24"/>
                <w:szCs w:val="24"/>
                <w:highlight w:val="none"/>
                <w:lang w:eastAsia="zh-CN"/>
              </w:rPr>
              <w:t>柳江区</w:t>
            </w:r>
            <w:r>
              <w:rPr>
                <w:rFonts w:ascii="Times New Roman" w:hAnsi="Times New Roman" w:eastAsia="仿宋_GB2312"/>
                <w:sz w:val="24"/>
                <w:szCs w:val="24"/>
                <w:highlight w:val="none"/>
              </w:rPr>
              <w:t>统计局</w:t>
            </w:r>
          </w:p>
        </w:tc>
      </w:tr>
      <w:tr w14:paraId="5D545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57" w:type="dxa"/>
            <w:vMerge w:val="continue"/>
            <w:noWrap w:val="0"/>
            <w:tcMar>
              <w:top w:w="15" w:type="dxa"/>
              <w:left w:w="15" w:type="dxa"/>
              <w:right w:w="15" w:type="dxa"/>
            </w:tcMar>
            <w:vAlign w:val="center"/>
          </w:tcPr>
          <w:p w14:paraId="5A94C65E">
            <w:pPr>
              <w:keepNext w:val="0"/>
              <w:keepLines w:val="0"/>
              <w:pageBreakBefore w:val="0"/>
              <w:widowControl w:val="0"/>
              <w:kinsoku/>
              <w:wordWrap/>
              <w:overflowPunct/>
              <w:topLinePunct w:val="0"/>
              <w:bidi w:val="0"/>
              <w:spacing w:line="360" w:lineRule="exact"/>
              <w:ind w:firstLine="0" w:firstLineChars="0"/>
              <w:jc w:val="center"/>
              <w:rPr>
                <w:rFonts w:ascii="Times New Roman" w:hAnsi="Times New Roman" w:eastAsia="仿宋_GB2312"/>
                <w:sz w:val="24"/>
                <w:szCs w:val="24"/>
                <w:highlight w:val="yellow"/>
              </w:rPr>
            </w:pPr>
          </w:p>
        </w:tc>
        <w:tc>
          <w:tcPr>
            <w:tcW w:w="780" w:type="dxa"/>
            <w:vMerge w:val="continue"/>
            <w:noWrap w:val="0"/>
            <w:tcMar>
              <w:top w:w="15" w:type="dxa"/>
              <w:left w:w="15" w:type="dxa"/>
              <w:right w:w="15" w:type="dxa"/>
            </w:tcMar>
            <w:vAlign w:val="center"/>
          </w:tcPr>
          <w:p w14:paraId="77626543">
            <w:pPr>
              <w:keepNext w:val="0"/>
              <w:keepLines w:val="0"/>
              <w:pageBreakBefore w:val="0"/>
              <w:widowControl w:val="0"/>
              <w:kinsoku/>
              <w:wordWrap/>
              <w:overflowPunct/>
              <w:topLinePunct w:val="0"/>
              <w:bidi w:val="0"/>
              <w:spacing w:line="360" w:lineRule="exact"/>
              <w:ind w:firstLine="0" w:firstLineChars="0"/>
              <w:jc w:val="center"/>
              <w:rPr>
                <w:rFonts w:ascii="Times New Roman" w:hAnsi="Times New Roman" w:eastAsia="仿宋_GB2312"/>
                <w:sz w:val="24"/>
                <w:szCs w:val="24"/>
                <w:highlight w:val="yellow"/>
              </w:rPr>
            </w:pPr>
          </w:p>
        </w:tc>
        <w:tc>
          <w:tcPr>
            <w:tcW w:w="630" w:type="dxa"/>
            <w:noWrap w:val="0"/>
            <w:tcMar>
              <w:top w:w="15" w:type="dxa"/>
              <w:left w:w="15" w:type="dxa"/>
              <w:right w:w="15" w:type="dxa"/>
            </w:tcMar>
            <w:vAlign w:val="center"/>
          </w:tcPr>
          <w:p w14:paraId="324A56D0">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19</w:t>
            </w:r>
          </w:p>
        </w:tc>
        <w:tc>
          <w:tcPr>
            <w:tcW w:w="2702" w:type="dxa"/>
            <w:noWrap w:val="0"/>
            <w:tcMar>
              <w:top w:w="15" w:type="dxa"/>
              <w:left w:w="15" w:type="dxa"/>
              <w:right w:w="15" w:type="dxa"/>
            </w:tcMar>
            <w:vAlign w:val="center"/>
          </w:tcPr>
          <w:p w14:paraId="6930FF99">
            <w:pPr>
              <w:keepNext w:val="0"/>
              <w:keepLines w:val="0"/>
              <w:pageBreakBefore w:val="0"/>
              <w:widowControl w:val="0"/>
              <w:kinsoku/>
              <w:wordWrap/>
              <w:overflowPunct/>
              <w:topLinePunct w:val="0"/>
              <w:bidi w:val="0"/>
              <w:spacing w:line="360" w:lineRule="exact"/>
              <w:ind w:firstLine="0" w:firstLineChars="0"/>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单位国内生产总值建设用地使用面积下降率</w:t>
            </w:r>
          </w:p>
        </w:tc>
        <w:tc>
          <w:tcPr>
            <w:tcW w:w="630" w:type="dxa"/>
            <w:noWrap w:val="0"/>
            <w:tcMar>
              <w:top w:w="15" w:type="dxa"/>
              <w:left w:w="15" w:type="dxa"/>
              <w:right w:w="15" w:type="dxa"/>
            </w:tcMar>
            <w:vAlign w:val="center"/>
          </w:tcPr>
          <w:p w14:paraId="0D777D56">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w:t>
            </w:r>
          </w:p>
        </w:tc>
        <w:tc>
          <w:tcPr>
            <w:tcW w:w="1245" w:type="dxa"/>
            <w:noWrap w:val="0"/>
            <w:tcMar>
              <w:top w:w="15" w:type="dxa"/>
              <w:left w:w="15" w:type="dxa"/>
              <w:right w:w="15" w:type="dxa"/>
            </w:tcMar>
            <w:vAlign w:val="center"/>
          </w:tcPr>
          <w:p w14:paraId="035D5420">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≥4.5</w:t>
            </w:r>
          </w:p>
        </w:tc>
        <w:tc>
          <w:tcPr>
            <w:tcW w:w="1335" w:type="dxa"/>
            <w:noWrap w:val="0"/>
            <w:tcMar>
              <w:top w:w="15" w:type="dxa"/>
              <w:left w:w="15" w:type="dxa"/>
              <w:right w:w="15" w:type="dxa"/>
            </w:tcMar>
            <w:vAlign w:val="center"/>
          </w:tcPr>
          <w:p w14:paraId="4F6A41DC">
            <w:pPr>
              <w:keepNext w:val="0"/>
              <w:keepLines w:val="0"/>
              <w:pageBreakBefore w:val="0"/>
              <w:widowControl w:val="0"/>
              <w:kinsoku/>
              <w:wordWrap/>
              <w:overflowPunct/>
              <w:topLinePunct w:val="0"/>
              <w:bidi w:val="0"/>
              <w:spacing w:line="360" w:lineRule="exact"/>
              <w:ind w:firstLine="0" w:firstLineChars="0"/>
              <w:jc w:val="center"/>
              <w:rPr>
                <w:rFonts w:hint="default" w:ascii="Times New Roman" w:hAnsi="Times New Roman" w:eastAsia="仿宋_GB2312"/>
                <w:sz w:val="24"/>
                <w:szCs w:val="24"/>
                <w:highlight w:val="none"/>
                <w:lang w:val="en-US" w:eastAsia="zh-CN"/>
              </w:rPr>
            </w:pPr>
            <w:r>
              <w:rPr>
                <w:rFonts w:hint="eastAsia" w:ascii="Times New Roman" w:hAnsi="Times New Roman" w:eastAsia="仿宋_GB2312"/>
                <w:sz w:val="24"/>
                <w:szCs w:val="24"/>
                <w:highlight w:val="none"/>
                <w:lang w:val="en-US" w:eastAsia="zh-CN"/>
              </w:rPr>
              <w:t>3.48</w:t>
            </w:r>
          </w:p>
        </w:tc>
        <w:tc>
          <w:tcPr>
            <w:tcW w:w="660" w:type="dxa"/>
            <w:noWrap w:val="0"/>
            <w:tcMar>
              <w:top w:w="15" w:type="dxa"/>
              <w:left w:w="15" w:type="dxa"/>
              <w:right w:w="15" w:type="dxa"/>
            </w:tcMar>
            <w:vAlign w:val="center"/>
          </w:tcPr>
          <w:p w14:paraId="45D6AC7E">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否</w:t>
            </w:r>
          </w:p>
        </w:tc>
        <w:tc>
          <w:tcPr>
            <w:tcW w:w="1230" w:type="dxa"/>
            <w:noWrap w:val="0"/>
            <w:tcMar>
              <w:top w:w="15" w:type="dxa"/>
              <w:left w:w="15" w:type="dxa"/>
              <w:right w:w="15" w:type="dxa"/>
            </w:tcMar>
            <w:vAlign w:val="center"/>
          </w:tcPr>
          <w:p w14:paraId="17570BFE">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≥4.5</w:t>
            </w:r>
          </w:p>
        </w:tc>
        <w:tc>
          <w:tcPr>
            <w:tcW w:w="1275" w:type="dxa"/>
            <w:noWrap w:val="0"/>
            <w:tcMar>
              <w:top w:w="15" w:type="dxa"/>
              <w:left w:w="15" w:type="dxa"/>
              <w:right w:w="15" w:type="dxa"/>
            </w:tcMar>
            <w:vAlign w:val="center"/>
          </w:tcPr>
          <w:p w14:paraId="2B77F5D2">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≥4.5</w:t>
            </w:r>
          </w:p>
        </w:tc>
        <w:tc>
          <w:tcPr>
            <w:tcW w:w="945" w:type="dxa"/>
            <w:noWrap w:val="0"/>
            <w:tcMar>
              <w:top w:w="15" w:type="dxa"/>
              <w:left w:w="15" w:type="dxa"/>
              <w:right w:w="15" w:type="dxa"/>
            </w:tcMar>
            <w:vAlign w:val="center"/>
          </w:tcPr>
          <w:p w14:paraId="53285B84">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参考性</w:t>
            </w:r>
          </w:p>
        </w:tc>
        <w:tc>
          <w:tcPr>
            <w:tcW w:w="2373" w:type="dxa"/>
            <w:noWrap w:val="0"/>
            <w:tcMar>
              <w:top w:w="15" w:type="dxa"/>
              <w:left w:w="15" w:type="dxa"/>
              <w:right w:w="15" w:type="dxa"/>
            </w:tcMar>
            <w:vAlign w:val="center"/>
          </w:tcPr>
          <w:p w14:paraId="205481E7">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hint="eastAsia" w:ascii="Times New Roman" w:hAnsi="Times New Roman" w:eastAsia="仿宋_GB2312"/>
                <w:sz w:val="24"/>
                <w:szCs w:val="24"/>
                <w:highlight w:val="none"/>
                <w:lang w:eastAsia="zh-CN"/>
              </w:rPr>
              <w:t>柳江区</w:t>
            </w:r>
            <w:r>
              <w:rPr>
                <w:rFonts w:ascii="Times New Roman" w:hAnsi="Times New Roman" w:eastAsia="仿宋_GB2312"/>
                <w:bCs/>
                <w:sz w:val="24"/>
                <w:szCs w:val="24"/>
                <w:highlight w:val="none"/>
              </w:rPr>
              <w:t>自然</w:t>
            </w:r>
            <w:r>
              <w:rPr>
                <w:rFonts w:hint="eastAsia" w:ascii="Times New Roman" w:hAnsi="Times New Roman" w:eastAsia="仿宋_GB2312"/>
                <w:bCs/>
                <w:sz w:val="24"/>
                <w:szCs w:val="24"/>
                <w:highlight w:val="none"/>
                <w:lang w:eastAsia="zh-CN"/>
              </w:rPr>
              <w:t>资源</w:t>
            </w:r>
            <w:r>
              <w:rPr>
                <w:rFonts w:ascii="Times New Roman" w:hAnsi="Times New Roman" w:eastAsia="仿宋_GB2312"/>
                <w:bCs/>
                <w:sz w:val="24"/>
                <w:szCs w:val="24"/>
                <w:highlight w:val="none"/>
              </w:rPr>
              <w:t>局</w:t>
            </w:r>
            <w:r>
              <w:rPr>
                <w:rFonts w:ascii="Times New Roman" w:hAnsi="Times New Roman" w:eastAsia="仿宋_GB2312"/>
                <w:sz w:val="24"/>
                <w:szCs w:val="24"/>
                <w:highlight w:val="none"/>
              </w:rPr>
              <w:t>、</w:t>
            </w:r>
            <w:r>
              <w:rPr>
                <w:rFonts w:hint="eastAsia" w:ascii="Times New Roman" w:hAnsi="Times New Roman" w:eastAsia="仿宋_GB2312"/>
                <w:sz w:val="24"/>
                <w:szCs w:val="24"/>
                <w:highlight w:val="none"/>
                <w:lang w:eastAsia="zh-CN"/>
              </w:rPr>
              <w:t>柳江区</w:t>
            </w:r>
            <w:r>
              <w:rPr>
                <w:rFonts w:ascii="Times New Roman" w:hAnsi="Times New Roman" w:eastAsia="仿宋_GB2312"/>
                <w:sz w:val="24"/>
                <w:szCs w:val="24"/>
                <w:highlight w:val="none"/>
              </w:rPr>
              <w:t>统计局</w:t>
            </w:r>
          </w:p>
        </w:tc>
      </w:tr>
      <w:tr w14:paraId="44C31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57" w:type="dxa"/>
            <w:vMerge w:val="continue"/>
            <w:noWrap w:val="0"/>
            <w:tcMar>
              <w:top w:w="15" w:type="dxa"/>
              <w:left w:w="15" w:type="dxa"/>
              <w:right w:w="15" w:type="dxa"/>
            </w:tcMar>
            <w:vAlign w:val="center"/>
          </w:tcPr>
          <w:p w14:paraId="7123195E">
            <w:pPr>
              <w:keepNext w:val="0"/>
              <w:keepLines w:val="0"/>
              <w:pageBreakBefore w:val="0"/>
              <w:widowControl w:val="0"/>
              <w:kinsoku/>
              <w:wordWrap/>
              <w:overflowPunct/>
              <w:topLinePunct w:val="0"/>
              <w:bidi w:val="0"/>
              <w:spacing w:line="360" w:lineRule="exact"/>
              <w:ind w:firstLine="0" w:firstLineChars="0"/>
              <w:jc w:val="center"/>
              <w:rPr>
                <w:rFonts w:ascii="Times New Roman" w:hAnsi="Times New Roman" w:eastAsia="仿宋_GB2312"/>
                <w:sz w:val="24"/>
                <w:szCs w:val="24"/>
                <w:highlight w:val="yellow"/>
              </w:rPr>
            </w:pPr>
          </w:p>
        </w:tc>
        <w:tc>
          <w:tcPr>
            <w:tcW w:w="780" w:type="dxa"/>
            <w:vMerge w:val="continue"/>
            <w:noWrap w:val="0"/>
            <w:tcMar>
              <w:top w:w="15" w:type="dxa"/>
              <w:left w:w="15" w:type="dxa"/>
              <w:right w:w="15" w:type="dxa"/>
            </w:tcMar>
            <w:vAlign w:val="center"/>
          </w:tcPr>
          <w:p w14:paraId="723D3923">
            <w:pPr>
              <w:keepNext w:val="0"/>
              <w:keepLines w:val="0"/>
              <w:pageBreakBefore w:val="0"/>
              <w:widowControl w:val="0"/>
              <w:kinsoku/>
              <w:wordWrap/>
              <w:overflowPunct/>
              <w:topLinePunct w:val="0"/>
              <w:bidi w:val="0"/>
              <w:spacing w:line="360" w:lineRule="exact"/>
              <w:ind w:firstLine="0" w:firstLineChars="0"/>
              <w:jc w:val="center"/>
              <w:rPr>
                <w:rFonts w:ascii="Times New Roman" w:hAnsi="Times New Roman" w:eastAsia="仿宋_GB2312"/>
                <w:sz w:val="24"/>
                <w:szCs w:val="24"/>
                <w:highlight w:val="yellow"/>
              </w:rPr>
            </w:pPr>
          </w:p>
        </w:tc>
        <w:tc>
          <w:tcPr>
            <w:tcW w:w="630" w:type="dxa"/>
            <w:noWrap w:val="0"/>
            <w:tcMar>
              <w:top w:w="15" w:type="dxa"/>
              <w:left w:w="15" w:type="dxa"/>
              <w:right w:w="15" w:type="dxa"/>
            </w:tcMar>
            <w:vAlign w:val="center"/>
          </w:tcPr>
          <w:p w14:paraId="7BAAA063">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20</w:t>
            </w:r>
          </w:p>
        </w:tc>
        <w:tc>
          <w:tcPr>
            <w:tcW w:w="2702" w:type="dxa"/>
            <w:noWrap w:val="0"/>
            <w:tcMar>
              <w:top w:w="15" w:type="dxa"/>
              <w:left w:w="15" w:type="dxa"/>
              <w:right w:w="15" w:type="dxa"/>
            </w:tcMar>
            <w:vAlign w:val="center"/>
          </w:tcPr>
          <w:p w14:paraId="44825956">
            <w:pPr>
              <w:keepNext w:val="0"/>
              <w:keepLines w:val="0"/>
              <w:pageBreakBefore w:val="0"/>
              <w:widowControl w:val="0"/>
              <w:kinsoku/>
              <w:wordWrap/>
              <w:overflowPunct/>
              <w:topLinePunct w:val="0"/>
              <w:bidi w:val="0"/>
              <w:spacing w:line="360" w:lineRule="exact"/>
              <w:ind w:firstLine="0" w:firstLineChars="0"/>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三大粮食作物化肥农药利用率</w:t>
            </w:r>
          </w:p>
          <w:p w14:paraId="2315366F">
            <w:pPr>
              <w:keepNext w:val="0"/>
              <w:keepLines w:val="0"/>
              <w:pageBreakBefore w:val="0"/>
              <w:widowControl w:val="0"/>
              <w:kinsoku/>
              <w:wordWrap/>
              <w:overflowPunct/>
              <w:topLinePunct w:val="0"/>
              <w:bidi w:val="0"/>
              <w:spacing w:line="360" w:lineRule="exact"/>
              <w:ind w:firstLine="0" w:firstLineChars="0"/>
              <w:textAlignment w:val="center"/>
              <w:rPr>
                <w:rFonts w:ascii="Times New Roman" w:hAnsi="Times New Roman" w:eastAsia="仿宋_GB2312"/>
                <w:sz w:val="24"/>
                <w:szCs w:val="24"/>
                <w:highlight w:val="none"/>
              </w:rPr>
            </w:pPr>
            <w:r>
              <w:rPr>
                <w:rFonts w:hint="eastAsia" w:ascii="Times New Roman" w:hAnsi="Times New Roman" w:eastAsia="仿宋_GB2312"/>
                <w:sz w:val="24"/>
                <w:szCs w:val="24"/>
                <w:highlight w:val="none"/>
                <w:lang w:eastAsia="zh-CN"/>
              </w:rPr>
              <w:t>（</w:t>
            </w:r>
            <w:r>
              <w:rPr>
                <w:rFonts w:hint="eastAsia" w:ascii="Times New Roman" w:hAnsi="Times New Roman" w:eastAsia="仿宋_GB2312"/>
                <w:sz w:val="24"/>
                <w:szCs w:val="24"/>
                <w:highlight w:val="none"/>
                <w:lang w:val="en-US" w:eastAsia="zh-CN"/>
              </w:rPr>
              <w:t>1</w:t>
            </w:r>
            <w:r>
              <w:rPr>
                <w:rFonts w:hint="eastAsia" w:ascii="Times New Roman" w:hAnsi="Times New Roman" w:eastAsia="仿宋_GB2312"/>
                <w:sz w:val="24"/>
                <w:szCs w:val="24"/>
                <w:highlight w:val="none"/>
                <w:lang w:eastAsia="zh-CN"/>
              </w:rPr>
              <w:t>）</w:t>
            </w:r>
            <w:r>
              <w:rPr>
                <w:rFonts w:ascii="Times New Roman" w:hAnsi="Times New Roman" w:eastAsia="仿宋_GB2312"/>
                <w:sz w:val="24"/>
                <w:szCs w:val="24"/>
                <w:highlight w:val="none"/>
              </w:rPr>
              <w:t>化肥利用率</w:t>
            </w:r>
          </w:p>
          <w:p w14:paraId="72BC7351">
            <w:pPr>
              <w:keepNext w:val="0"/>
              <w:keepLines w:val="0"/>
              <w:pageBreakBefore w:val="0"/>
              <w:widowControl w:val="0"/>
              <w:kinsoku/>
              <w:wordWrap/>
              <w:overflowPunct/>
              <w:topLinePunct w:val="0"/>
              <w:bidi w:val="0"/>
              <w:spacing w:line="360" w:lineRule="exact"/>
              <w:ind w:firstLine="0" w:firstLineChars="0"/>
              <w:textAlignment w:val="center"/>
              <w:rPr>
                <w:rFonts w:ascii="Times New Roman" w:hAnsi="Times New Roman" w:eastAsia="仿宋_GB2312"/>
                <w:sz w:val="24"/>
                <w:szCs w:val="24"/>
                <w:highlight w:val="none"/>
              </w:rPr>
            </w:pPr>
            <w:r>
              <w:rPr>
                <w:rFonts w:hint="eastAsia" w:ascii="Times New Roman" w:hAnsi="Times New Roman" w:eastAsia="仿宋_GB2312"/>
                <w:sz w:val="24"/>
                <w:szCs w:val="24"/>
                <w:highlight w:val="none"/>
                <w:lang w:eastAsia="zh-CN"/>
              </w:rPr>
              <w:t>（</w:t>
            </w:r>
            <w:r>
              <w:rPr>
                <w:rFonts w:hint="eastAsia" w:ascii="Times New Roman" w:hAnsi="Times New Roman" w:eastAsia="仿宋_GB2312"/>
                <w:sz w:val="24"/>
                <w:szCs w:val="24"/>
                <w:highlight w:val="none"/>
                <w:lang w:val="en-US" w:eastAsia="zh-CN"/>
              </w:rPr>
              <w:t>2</w:t>
            </w:r>
            <w:r>
              <w:rPr>
                <w:rFonts w:hint="eastAsia" w:ascii="Times New Roman" w:hAnsi="Times New Roman" w:eastAsia="仿宋_GB2312"/>
                <w:sz w:val="24"/>
                <w:szCs w:val="24"/>
                <w:highlight w:val="none"/>
                <w:lang w:eastAsia="zh-CN"/>
              </w:rPr>
              <w:t>）</w:t>
            </w:r>
            <w:r>
              <w:rPr>
                <w:rFonts w:ascii="Times New Roman" w:hAnsi="Times New Roman" w:eastAsia="仿宋_GB2312"/>
                <w:sz w:val="24"/>
                <w:szCs w:val="24"/>
                <w:highlight w:val="none"/>
              </w:rPr>
              <w:t>农药利用率</w:t>
            </w:r>
          </w:p>
        </w:tc>
        <w:tc>
          <w:tcPr>
            <w:tcW w:w="630" w:type="dxa"/>
            <w:noWrap w:val="0"/>
            <w:tcMar>
              <w:top w:w="15" w:type="dxa"/>
              <w:left w:w="15" w:type="dxa"/>
              <w:right w:w="15" w:type="dxa"/>
            </w:tcMar>
            <w:vAlign w:val="center"/>
          </w:tcPr>
          <w:p w14:paraId="16B045E5">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w:t>
            </w:r>
          </w:p>
        </w:tc>
        <w:tc>
          <w:tcPr>
            <w:tcW w:w="1245" w:type="dxa"/>
            <w:noWrap w:val="0"/>
            <w:tcMar>
              <w:top w:w="15" w:type="dxa"/>
              <w:left w:w="15" w:type="dxa"/>
              <w:right w:w="15" w:type="dxa"/>
            </w:tcMar>
            <w:vAlign w:val="center"/>
          </w:tcPr>
          <w:p w14:paraId="52A4E3E8">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≥43</w:t>
            </w:r>
          </w:p>
        </w:tc>
        <w:tc>
          <w:tcPr>
            <w:tcW w:w="1335" w:type="dxa"/>
            <w:noWrap w:val="0"/>
            <w:tcMar>
              <w:top w:w="15" w:type="dxa"/>
              <w:left w:w="15" w:type="dxa"/>
              <w:right w:w="15" w:type="dxa"/>
            </w:tcMar>
            <w:vAlign w:val="center"/>
          </w:tcPr>
          <w:p w14:paraId="72973FAB">
            <w:pPr>
              <w:keepNext w:val="0"/>
              <w:keepLines w:val="0"/>
              <w:pageBreakBefore w:val="0"/>
              <w:widowControl w:val="0"/>
              <w:kinsoku/>
              <w:wordWrap/>
              <w:overflowPunct/>
              <w:topLinePunct w:val="0"/>
              <w:bidi w:val="0"/>
              <w:spacing w:line="360" w:lineRule="exact"/>
              <w:ind w:firstLine="0" w:firstLineChars="0"/>
              <w:jc w:val="left"/>
              <w:rPr>
                <w:rFonts w:ascii="Times New Roman" w:hAnsi="Times New Roman" w:eastAsia="仿宋_GB2312"/>
                <w:sz w:val="24"/>
                <w:szCs w:val="24"/>
                <w:highlight w:val="none"/>
              </w:rPr>
            </w:pPr>
            <w:r>
              <w:rPr>
                <w:rFonts w:ascii="Times New Roman" w:hAnsi="Times New Roman" w:eastAsia="仿宋_GB2312"/>
                <w:sz w:val="24"/>
                <w:szCs w:val="24"/>
                <w:highlight w:val="none"/>
              </w:rPr>
              <w:t>（1）4</w:t>
            </w:r>
            <w:r>
              <w:rPr>
                <w:rFonts w:hint="eastAsia" w:ascii="Times New Roman" w:hAnsi="Times New Roman" w:eastAsia="仿宋_GB2312"/>
                <w:sz w:val="24"/>
                <w:szCs w:val="24"/>
                <w:highlight w:val="none"/>
                <w:lang w:val="en-US" w:eastAsia="zh-CN"/>
              </w:rPr>
              <w:t>0</w:t>
            </w:r>
          </w:p>
          <w:p w14:paraId="1F2DE4C5">
            <w:pPr>
              <w:keepNext w:val="0"/>
              <w:keepLines w:val="0"/>
              <w:pageBreakBefore w:val="0"/>
              <w:widowControl w:val="0"/>
              <w:kinsoku/>
              <w:wordWrap/>
              <w:overflowPunct/>
              <w:topLinePunct w:val="0"/>
              <w:bidi w:val="0"/>
              <w:spacing w:line="360" w:lineRule="exact"/>
              <w:ind w:firstLine="0" w:firstLineChars="0"/>
              <w:jc w:val="left"/>
              <w:rPr>
                <w:rFonts w:hint="default" w:ascii="Times New Roman" w:hAnsi="Times New Roman" w:eastAsia="仿宋_GB2312"/>
                <w:sz w:val="24"/>
                <w:szCs w:val="24"/>
                <w:highlight w:val="none"/>
                <w:lang w:val="en-US" w:eastAsia="zh-CN"/>
              </w:rPr>
            </w:pPr>
            <w:r>
              <w:rPr>
                <w:rFonts w:ascii="Times New Roman" w:hAnsi="Times New Roman" w:eastAsia="仿宋_GB2312"/>
                <w:sz w:val="24"/>
                <w:szCs w:val="24"/>
                <w:highlight w:val="none"/>
              </w:rPr>
              <w:t>（2）</w:t>
            </w:r>
            <w:r>
              <w:rPr>
                <w:rFonts w:hint="eastAsia" w:ascii="Times New Roman" w:hAnsi="Times New Roman" w:eastAsia="仿宋_GB2312"/>
                <w:sz w:val="24"/>
                <w:szCs w:val="24"/>
                <w:highlight w:val="none"/>
                <w:lang w:val="en-US" w:eastAsia="zh-CN"/>
              </w:rPr>
              <w:t>42</w:t>
            </w:r>
          </w:p>
        </w:tc>
        <w:tc>
          <w:tcPr>
            <w:tcW w:w="660" w:type="dxa"/>
            <w:noWrap w:val="0"/>
            <w:tcMar>
              <w:top w:w="15" w:type="dxa"/>
              <w:left w:w="15" w:type="dxa"/>
              <w:right w:w="15" w:type="dxa"/>
            </w:tcMar>
            <w:vAlign w:val="center"/>
          </w:tcPr>
          <w:p w14:paraId="393A540A">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否</w:t>
            </w:r>
          </w:p>
        </w:tc>
        <w:tc>
          <w:tcPr>
            <w:tcW w:w="1230" w:type="dxa"/>
            <w:noWrap w:val="0"/>
            <w:tcMar>
              <w:top w:w="15" w:type="dxa"/>
              <w:left w:w="15" w:type="dxa"/>
              <w:right w:w="15" w:type="dxa"/>
            </w:tcMar>
            <w:vAlign w:val="center"/>
          </w:tcPr>
          <w:p w14:paraId="494F9B3D">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≥43</w:t>
            </w:r>
          </w:p>
        </w:tc>
        <w:tc>
          <w:tcPr>
            <w:tcW w:w="1275" w:type="dxa"/>
            <w:noWrap w:val="0"/>
            <w:tcMar>
              <w:top w:w="15" w:type="dxa"/>
              <w:left w:w="15" w:type="dxa"/>
              <w:right w:w="15" w:type="dxa"/>
            </w:tcMar>
            <w:vAlign w:val="center"/>
          </w:tcPr>
          <w:p w14:paraId="5C027D2F">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≥43</w:t>
            </w:r>
          </w:p>
        </w:tc>
        <w:tc>
          <w:tcPr>
            <w:tcW w:w="945" w:type="dxa"/>
            <w:noWrap w:val="0"/>
            <w:tcMar>
              <w:top w:w="15" w:type="dxa"/>
              <w:left w:w="15" w:type="dxa"/>
              <w:right w:w="15" w:type="dxa"/>
            </w:tcMar>
            <w:vAlign w:val="center"/>
          </w:tcPr>
          <w:p w14:paraId="249E7F86">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参考性</w:t>
            </w:r>
          </w:p>
        </w:tc>
        <w:tc>
          <w:tcPr>
            <w:tcW w:w="2373" w:type="dxa"/>
            <w:noWrap w:val="0"/>
            <w:tcMar>
              <w:top w:w="15" w:type="dxa"/>
              <w:left w:w="15" w:type="dxa"/>
              <w:right w:w="15" w:type="dxa"/>
            </w:tcMar>
            <w:vAlign w:val="center"/>
          </w:tcPr>
          <w:p w14:paraId="6F9BE753">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hint="eastAsia" w:ascii="Times New Roman" w:hAnsi="Times New Roman" w:eastAsia="仿宋_GB2312"/>
                <w:sz w:val="24"/>
                <w:szCs w:val="24"/>
                <w:highlight w:val="none"/>
                <w:lang w:eastAsia="zh-CN"/>
              </w:rPr>
              <w:t>柳江区</w:t>
            </w:r>
            <w:r>
              <w:rPr>
                <w:rFonts w:ascii="Times New Roman" w:hAnsi="Times New Roman" w:eastAsia="仿宋_GB2312"/>
                <w:bCs/>
                <w:sz w:val="24"/>
                <w:szCs w:val="24"/>
                <w:highlight w:val="none"/>
              </w:rPr>
              <w:t>农业农村局</w:t>
            </w:r>
          </w:p>
        </w:tc>
      </w:tr>
      <w:tr w14:paraId="02B1C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57" w:type="dxa"/>
            <w:vMerge w:val="continue"/>
            <w:noWrap w:val="0"/>
            <w:tcMar>
              <w:top w:w="15" w:type="dxa"/>
              <w:left w:w="15" w:type="dxa"/>
              <w:right w:w="15" w:type="dxa"/>
            </w:tcMar>
            <w:vAlign w:val="center"/>
          </w:tcPr>
          <w:p w14:paraId="7ED74F90">
            <w:pPr>
              <w:keepNext w:val="0"/>
              <w:keepLines w:val="0"/>
              <w:pageBreakBefore w:val="0"/>
              <w:widowControl w:val="0"/>
              <w:kinsoku/>
              <w:wordWrap/>
              <w:overflowPunct/>
              <w:topLinePunct w:val="0"/>
              <w:bidi w:val="0"/>
              <w:spacing w:line="360" w:lineRule="exact"/>
              <w:ind w:firstLine="0" w:firstLineChars="0"/>
              <w:jc w:val="center"/>
              <w:rPr>
                <w:rFonts w:ascii="Times New Roman" w:hAnsi="Times New Roman" w:eastAsia="仿宋_GB2312"/>
                <w:sz w:val="24"/>
                <w:szCs w:val="24"/>
                <w:highlight w:val="yellow"/>
              </w:rPr>
            </w:pPr>
          </w:p>
        </w:tc>
        <w:tc>
          <w:tcPr>
            <w:tcW w:w="780" w:type="dxa"/>
            <w:vMerge w:val="restart"/>
            <w:noWrap w:val="0"/>
            <w:tcMar>
              <w:top w:w="15" w:type="dxa"/>
              <w:left w:w="15" w:type="dxa"/>
              <w:right w:w="15" w:type="dxa"/>
            </w:tcMar>
            <w:vAlign w:val="center"/>
          </w:tcPr>
          <w:p w14:paraId="19560A02">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（七）</w:t>
            </w:r>
            <w:r>
              <w:rPr>
                <w:rFonts w:ascii="Times New Roman" w:hAnsi="Times New Roman" w:eastAsia="仿宋_GB2312"/>
                <w:sz w:val="24"/>
                <w:szCs w:val="24"/>
                <w:highlight w:val="none"/>
              </w:rPr>
              <w:br w:type="textWrapping"/>
            </w:r>
            <w:r>
              <w:rPr>
                <w:rFonts w:ascii="Times New Roman" w:hAnsi="Times New Roman" w:eastAsia="仿宋_GB2312"/>
                <w:sz w:val="24"/>
                <w:szCs w:val="24"/>
                <w:highlight w:val="none"/>
              </w:rPr>
              <w:t>产业循环发展</w:t>
            </w:r>
          </w:p>
        </w:tc>
        <w:tc>
          <w:tcPr>
            <w:tcW w:w="630" w:type="dxa"/>
            <w:noWrap w:val="0"/>
            <w:tcMar>
              <w:top w:w="15" w:type="dxa"/>
              <w:left w:w="15" w:type="dxa"/>
              <w:right w:w="15" w:type="dxa"/>
            </w:tcMar>
            <w:vAlign w:val="center"/>
          </w:tcPr>
          <w:p w14:paraId="7C5EC5E3">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21</w:t>
            </w:r>
          </w:p>
        </w:tc>
        <w:tc>
          <w:tcPr>
            <w:tcW w:w="2702" w:type="dxa"/>
            <w:noWrap w:val="0"/>
            <w:tcMar>
              <w:top w:w="15" w:type="dxa"/>
              <w:left w:w="15" w:type="dxa"/>
              <w:right w:w="15" w:type="dxa"/>
            </w:tcMar>
            <w:vAlign w:val="center"/>
          </w:tcPr>
          <w:p w14:paraId="740DF8A8">
            <w:pPr>
              <w:keepNext w:val="0"/>
              <w:keepLines w:val="0"/>
              <w:pageBreakBefore w:val="0"/>
              <w:widowControl w:val="0"/>
              <w:kinsoku/>
              <w:wordWrap/>
              <w:overflowPunct/>
              <w:topLinePunct w:val="0"/>
              <w:bidi w:val="0"/>
              <w:spacing w:line="360" w:lineRule="exact"/>
              <w:ind w:firstLine="0" w:firstLineChars="0"/>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农业废弃物综合利用率</w:t>
            </w:r>
            <w:r>
              <w:rPr>
                <w:rFonts w:ascii="Times New Roman" w:hAnsi="Times New Roman" w:eastAsia="仿宋_GB2312"/>
                <w:sz w:val="24"/>
                <w:szCs w:val="24"/>
                <w:highlight w:val="none"/>
              </w:rPr>
              <w:br w:type="textWrapping"/>
            </w:r>
            <w:r>
              <w:rPr>
                <w:rFonts w:ascii="Times New Roman" w:hAnsi="Times New Roman" w:eastAsia="仿宋_GB2312"/>
                <w:sz w:val="24"/>
                <w:szCs w:val="24"/>
                <w:highlight w:val="none"/>
              </w:rPr>
              <w:t xml:space="preserve">（1）秸秆综合利用率 </w:t>
            </w:r>
            <w:r>
              <w:rPr>
                <w:rFonts w:ascii="Times New Roman" w:hAnsi="Times New Roman" w:eastAsia="仿宋_GB2312"/>
                <w:sz w:val="24"/>
                <w:szCs w:val="24"/>
                <w:highlight w:val="none"/>
              </w:rPr>
              <w:br w:type="textWrapping"/>
            </w:r>
            <w:r>
              <w:rPr>
                <w:rFonts w:ascii="Times New Roman" w:hAnsi="Times New Roman" w:eastAsia="仿宋_GB2312"/>
                <w:sz w:val="24"/>
                <w:szCs w:val="24"/>
                <w:highlight w:val="none"/>
              </w:rPr>
              <w:t>（2）畜禽粪污综合利用率</w:t>
            </w:r>
            <w:r>
              <w:rPr>
                <w:rFonts w:ascii="Times New Roman" w:hAnsi="Times New Roman" w:eastAsia="仿宋_GB2312"/>
                <w:sz w:val="24"/>
                <w:szCs w:val="24"/>
                <w:highlight w:val="none"/>
              </w:rPr>
              <w:br w:type="textWrapping"/>
            </w:r>
            <w:r>
              <w:rPr>
                <w:rFonts w:ascii="Times New Roman" w:hAnsi="Times New Roman" w:eastAsia="仿宋_GB2312"/>
                <w:sz w:val="24"/>
                <w:szCs w:val="24"/>
                <w:highlight w:val="none"/>
              </w:rPr>
              <w:t>（3）农膜回收利用率</w:t>
            </w:r>
          </w:p>
        </w:tc>
        <w:tc>
          <w:tcPr>
            <w:tcW w:w="630" w:type="dxa"/>
            <w:noWrap w:val="0"/>
            <w:tcMar>
              <w:top w:w="15" w:type="dxa"/>
              <w:left w:w="15" w:type="dxa"/>
              <w:right w:w="15" w:type="dxa"/>
            </w:tcMar>
            <w:vAlign w:val="center"/>
          </w:tcPr>
          <w:p w14:paraId="7A9BD44D">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w:t>
            </w:r>
          </w:p>
        </w:tc>
        <w:tc>
          <w:tcPr>
            <w:tcW w:w="1245" w:type="dxa"/>
            <w:noWrap w:val="0"/>
            <w:tcMar>
              <w:top w:w="15" w:type="dxa"/>
              <w:left w:w="15" w:type="dxa"/>
              <w:right w:w="15" w:type="dxa"/>
            </w:tcMar>
            <w:vAlign w:val="center"/>
          </w:tcPr>
          <w:p w14:paraId="42044A75">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p>
          <w:p w14:paraId="0670719C">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 xml:space="preserve">≥90 </w:t>
            </w:r>
            <w:r>
              <w:rPr>
                <w:rFonts w:ascii="Times New Roman" w:hAnsi="Times New Roman" w:eastAsia="仿宋_GB2312"/>
                <w:sz w:val="24"/>
                <w:szCs w:val="24"/>
                <w:highlight w:val="none"/>
              </w:rPr>
              <w:br w:type="textWrapping"/>
            </w:r>
            <w:r>
              <w:rPr>
                <w:rFonts w:ascii="Times New Roman" w:hAnsi="Times New Roman" w:eastAsia="仿宋_GB2312"/>
                <w:sz w:val="24"/>
                <w:szCs w:val="24"/>
                <w:highlight w:val="none"/>
              </w:rPr>
              <w:t>≥75</w:t>
            </w:r>
            <w:r>
              <w:rPr>
                <w:rFonts w:ascii="Times New Roman" w:hAnsi="Times New Roman" w:eastAsia="仿宋_GB2312"/>
                <w:sz w:val="24"/>
                <w:szCs w:val="24"/>
                <w:highlight w:val="none"/>
              </w:rPr>
              <w:br w:type="textWrapping"/>
            </w:r>
            <w:r>
              <w:rPr>
                <w:rFonts w:ascii="Times New Roman" w:hAnsi="Times New Roman" w:eastAsia="仿宋_GB2312"/>
                <w:sz w:val="24"/>
                <w:szCs w:val="24"/>
                <w:highlight w:val="none"/>
              </w:rPr>
              <w:t>≥80</w:t>
            </w:r>
          </w:p>
        </w:tc>
        <w:tc>
          <w:tcPr>
            <w:tcW w:w="1335" w:type="dxa"/>
            <w:noWrap w:val="0"/>
            <w:tcMar>
              <w:top w:w="15" w:type="dxa"/>
              <w:left w:w="15" w:type="dxa"/>
              <w:right w:w="15" w:type="dxa"/>
            </w:tcMar>
            <w:vAlign w:val="center"/>
          </w:tcPr>
          <w:p w14:paraId="340832FC">
            <w:pPr>
              <w:keepNext w:val="0"/>
              <w:keepLines w:val="0"/>
              <w:pageBreakBefore w:val="0"/>
              <w:widowControl w:val="0"/>
              <w:kinsoku/>
              <w:wordWrap/>
              <w:overflowPunct/>
              <w:topLinePunct w:val="0"/>
              <w:bidi w:val="0"/>
              <w:spacing w:line="360" w:lineRule="exact"/>
              <w:ind w:firstLine="0" w:firstLineChars="0"/>
              <w:jc w:val="left"/>
              <w:rPr>
                <w:rFonts w:hint="default" w:ascii="Times New Roman" w:hAnsi="Times New Roman" w:cs="Times New Roman"/>
                <w:sz w:val="24"/>
                <w:szCs w:val="24"/>
                <w:highlight w:val="none"/>
              </w:rPr>
            </w:pPr>
          </w:p>
          <w:p w14:paraId="1951A913">
            <w:pPr>
              <w:keepNext w:val="0"/>
              <w:keepLines w:val="0"/>
              <w:pageBreakBefore w:val="0"/>
              <w:widowControl w:val="0"/>
              <w:kinsoku/>
              <w:wordWrap/>
              <w:overflowPunct/>
              <w:topLinePunct w:val="0"/>
              <w:bidi w:val="0"/>
              <w:spacing w:line="360" w:lineRule="exact"/>
              <w:ind w:firstLine="0" w:firstLineChars="0"/>
              <w:jc w:val="left"/>
              <w:rPr>
                <w:rFonts w:hint="default" w:ascii="Times New Roman" w:hAnsi="Times New Roman" w:eastAsia="宋体" w:cs="Times New Roman"/>
                <w:sz w:val="24"/>
                <w:szCs w:val="24"/>
                <w:highlight w:val="none"/>
                <w:lang w:val="en-US" w:eastAsia="zh-CN"/>
              </w:rPr>
            </w:pPr>
            <w:r>
              <w:rPr>
                <w:rFonts w:hint="default" w:ascii="Times New Roman" w:hAnsi="Times New Roman" w:cs="Times New Roman"/>
                <w:sz w:val="24"/>
                <w:szCs w:val="24"/>
                <w:highlight w:val="none"/>
              </w:rPr>
              <w:t>（1）</w:t>
            </w:r>
            <w:r>
              <w:rPr>
                <w:rFonts w:hint="default" w:ascii="Times New Roman" w:hAnsi="Times New Roman" w:cs="Times New Roman"/>
                <w:sz w:val="24"/>
                <w:szCs w:val="24"/>
                <w:highlight w:val="none"/>
                <w:lang w:val="en-US" w:eastAsia="zh-CN"/>
              </w:rPr>
              <w:t>90.27</w:t>
            </w:r>
          </w:p>
          <w:p w14:paraId="1F6C30A9">
            <w:pPr>
              <w:pStyle w:val="54"/>
              <w:keepNext w:val="0"/>
              <w:keepLines w:val="0"/>
              <w:pageBreakBefore w:val="0"/>
              <w:widowControl w:val="0"/>
              <w:kinsoku/>
              <w:wordWrap/>
              <w:overflowPunct/>
              <w:topLinePunct w:val="0"/>
              <w:bidi w:val="0"/>
              <w:snapToGrid w:val="0"/>
              <w:spacing w:line="360" w:lineRule="exact"/>
              <w:ind w:firstLine="0" w:firstLineChars="0"/>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rPr>
              <w:t>（2）</w:t>
            </w:r>
            <w:r>
              <w:rPr>
                <w:rFonts w:hint="default" w:ascii="Times New Roman" w:hAnsi="Times New Roman" w:cs="Times New Roman"/>
                <w:color w:val="auto"/>
                <w:sz w:val="24"/>
                <w:szCs w:val="24"/>
                <w:highlight w:val="none"/>
                <w:lang w:val="en-US" w:eastAsia="zh-CN"/>
              </w:rPr>
              <w:t>94.3</w:t>
            </w:r>
          </w:p>
          <w:p w14:paraId="3C94F287">
            <w:pPr>
              <w:pStyle w:val="54"/>
              <w:keepNext w:val="0"/>
              <w:keepLines w:val="0"/>
              <w:pageBreakBefore w:val="0"/>
              <w:widowControl w:val="0"/>
              <w:kinsoku/>
              <w:wordWrap/>
              <w:overflowPunct/>
              <w:topLinePunct w:val="0"/>
              <w:bidi w:val="0"/>
              <w:snapToGrid w:val="0"/>
              <w:spacing w:line="360" w:lineRule="exact"/>
              <w:ind w:firstLine="0" w:firstLineChars="0"/>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rPr>
              <w:t>（3）</w:t>
            </w:r>
            <w:r>
              <w:rPr>
                <w:rFonts w:hint="default" w:ascii="Times New Roman" w:hAnsi="Times New Roman" w:cs="Times New Roman"/>
                <w:color w:val="auto"/>
                <w:sz w:val="24"/>
                <w:szCs w:val="24"/>
                <w:highlight w:val="none"/>
                <w:lang w:val="en-US" w:eastAsia="zh-CN"/>
              </w:rPr>
              <w:t>34.67</w:t>
            </w:r>
          </w:p>
        </w:tc>
        <w:tc>
          <w:tcPr>
            <w:tcW w:w="660" w:type="dxa"/>
            <w:noWrap w:val="0"/>
            <w:tcMar>
              <w:top w:w="15" w:type="dxa"/>
              <w:left w:w="15" w:type="dxa"/>
              <w:right w:w="15" w:type="dxa"/>
            </w:tcMar>
            <w:vAlign w:val="center"/>
          </w:tcPr>
          <w:p w14:paraId="0A23D2F7">
            <w:pPr>
              <w:keepNext w:val="0"/>
              <w:keepLines w:val="0"/>
              <w:pageBreakBefore w:val="0"/>
              <w:widowControl w:val="0"/>
              <w:kinsoku/>
              <w:wordWrap/>
              <w:overflowPunct/>
              <w:topLinePunct w:val="0"/>
              <w:bidi w:val="0"/>
              <w:spacing w:line="360" w:lineRule="exact"/>
              <w:ind w:firstLine="0" w:firstLineChars="0"/>
              <w:jc w:val="center"/>
              <w:textAlignment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lang w:eastAsia="zh-CN"/>
              </w:rPr>
              <w:t>否</w:t>
            </w:r>
          </w:p>
        </w:tc>
        <w:tc>
          <w:tcPr>
            <w:tcW w:w="1230" w:type="dxa"/>
            <w:noWrap w:val="0"/>
            <w:tcMar>
              <w:top w:w="15" w:type="dxa"/>
              <w:left w:w="15" w:type="dxa"/>
              <w:right w:w="15" w:type="dxa"/>
            </w:tcMar>
            <w:vAlign w:val="center"/>
          </w:tcPr>
          <w:p w14:paraId="34A716AC">
            <w:pPr>
              <w:keepNext w:val="0"/>
              <w:keepLines w:val="0"/>
              <w:pageBreakBefore w:val="0"/>
              <w:widowControl w:val="0"/>
              <w:kinsoku/>
              <w:wordWrap/>
              <w:overflowPunct/>
              <w:topLinePunct w:val="0"/>
              <w:bidi w:val="0"/>
              <w:spacing w:line="360" w:lineRule="exact"/>
              <w:ind w:firstLine="0" w:firstLineChars="0"/>
              <w:jc w:val="left"/>
              <w:rPr>
                <w:rFonts w:hint="default" w:ascii="Times New Roman" w:hAnsi="Times New Roman" w:cs="Times New Roman"/>
                <w:sz w:val="24"/>
                <w:szCs w:val="24"/>
                <w:highlight w:val="none"/>
              </w:rPr>
            </w:pPr>
          </w:p>
          <w:p w14:paraId="52302819">
            <w:pPr>
              <w:keepNext w:val="0"/>
              <w:keepLines w:val="0"/>
              <w:pageBreakBefore w:val="0"/>
              <w:widowControl w:val="0"/>
              <w:kinsoku/>
              <w:wordWrap/>
              <w:overflowPunct/>
              <w:topLinePunct w:val="0"/>
              <w:bidi w:val="0"/>
              <w:spacing w:line="360" w:lineRule="exact"/>
              <w:ind w:firstLine="0" w:firstLineChars="0"/>
              <w:jc w:val="left"/>
              <w:rPr>
                <w:rFonts w:hint="default" w:ascii="Times New Roman" w:hAnsi="Times New Roman" w:eastAsia="宋体" w:cs="Times New Roman"/>
                <w:sz w:val="24"/>
                <w:szCs w:val="24"/>
                <w:highlight w:val="none"/>
                <w:lang w:val="en-US" w:eastAsia="zh-CN"/>
              </w:rPr>
            </w:pPr>
            <w:r>
              <w:rPr>
                <w:rFonts w:hint="default" w:ascii="Times New Roman" w:hAnsi="Times New Roman" w:cs="Times New Roman"/>
                <w:sz w:val="24"/>
                <w:szCs w:val="24"/>
                <w:highlight w:val="none"/>
              </w:rPr>
              <w:t>（1）</w:t>
            </w:r>
            <w:r>
              <w:rPr>
                <w:rFonts w:ascii="Times New Roman" w:hAnsi="Times New Roman" w:eastAsia="仿宋_GB2312"/>
                <w:sz w:val="24"/>
                <w:szCs w:val="24"/>
                <w:highlight w:val="none"/>
              </w:rPr>
              <w:t>≥</w:t>
            </w:r>
            <w:r>
              <w:rPr>
                <w:rFonts w:hint="default" w:ascii="Times New Roman" w:hAnsi="Times New Roman" w:cs="Times New Roman"/>
                <w:sz w:val="24"/>
                <w:szCs w:val="24"/>
                <w:highlight w:val="none"/>
                <w:lang w:val="en-US" w:eastAsia="zh-CN"/>
              </w:rPr>
              <w:t>90</w:t>
            </w:r>
          </w:p>
          <w:p w14:paraId="3D0354E8">
            <w:pPr>
              <w:pStyle w:val="54"/>
              <w:keepNext w:val="0"/>
              <w:keepLines w:val="0"/>
              <w:pageBreakBefore w:val="0"/>
              <w:widowControl w:val="0"/>
              <w:kinsoku/>
              <w:wordWrap/>
              <w:overflowPunct/>
              <w:topLinePunct w:val="0"/>
              <w:bidi w:val="0"/>
              <w:snapToGrid w:val="0"/>
              <w:spacing w:line="360" w:lineRule="exact"/>
              <w:ind w:firstLine="0" w:firstLineChars="0"/>
              <w:jc w:val="left"/>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color w:val="auto"/>
                <w:sz w:val="24"/>
                <w:szCs w:val="24"/>
                <w:highlight w:val="none"/>
              </w:rPr>
              <w:t>（2）</w:t>
            </w:r>
            <w:r>
              <w:rPr>
                <w:rFonts w:ascii="Times New Roman" w:hAnsi="Times New Roman" w:eastAsia="仿宋_GB2312"/>
                <w:sz w:val="24"/>
                <w:szCs w:val="24"/>
                <w:highlight w:val="none"/>
              </w:rPr>
              <w:t>≥</w:t>
            </w:r>
            <w:r>
              <w:rPr>
                <w:rFonts w:hint="eastAsia" w:ascii="Times New Roman" w:hAnsi="Times New Roman" w:eastAsia="仿宋_GB2312"/>
                <w:sz w:val="24"/>
                <w:szCs w:val="24"/>
                <w:highlight w:val="none"/>
                <w:lang w:val="en-US" w:eastAsia="zh-CN"/>
              </w:rPr>
              <w:t>95</w:t>
            </w:r>
            <w:r>
              <w:rPr>
                <w:rFonts w:hint="default" w:ascii="Times New Roman" w:hAnsi="Times New Roman" w:eastAsia="仿宋_GB2312" w:cs="Times New Roman"/>
                <w:sz w:val="24"/>
                <w:szCs w:val="24"/>
                <w:highlight w:val="none"/>
              </w:rPr>
              <w:t>（3）</w:t>
            </w:r>
            <w:r>
              <w:rPr>
                <w:rFonts w:ascii="Times New Roman" w:hAnsi="Times New Roman" w:eastAsia="仿宋_GB2312"/>
                <w:sz w:val="24"/>
                <w:szCs w:val="24"/>
                <w:highlight w:val="none"/>
              </w:rPr>
              <w:t>≥</w:t>
            </w:r>
            <w:r>
              <w:rPr>
                <w:rFonts w:hint="default" w:ascii="Times New Roman" w:hAnsi="Times New Roman" w:eastAsia="仿宋_GB2312" w:cs="Times New Roman"/>
                <w:sz w:val="24"/>
                <w:szCs w:val="24"/>
                <w:highlight w:val="none"/>
                <w:lang w:val="en-US" w:eastAsia="zh-CN"/>
              </w:rPr>
              <w:t>80</w:t>
            </w:r>
          </w:p>
        </w:tc>
        <w:tc>
          <w:tcPr>
            <w:tcW w:w="1275" w:type="dxa"/>
            <w:noWrap w:val="0"/>
            <w:tcMar>
              <w:top w:w="15" w:type="dxa"/>
              <w:left w:w="15" w:type="dxa"/>
              <w:right w:w="15" w:type="dxa"/>
            </w:tcMar>
            <w:vAlign w:val="center"/>
          </w:tcPr>
          <w:p w14:paraId="3262578C">
            <w:pPr>
              <w:keepNext w:val="0"/>
              <w:keepLines w:val="0"/>
              <w:pageBreakBefore w:val="0"/>
              <w:widowControl w:val="0"/>
              <w:kinsoku/>
              <w:wordWrap/>
              <w:overflowPunct/>
              <w:topLinePunct w:val="0"/>
              <w:bidi w:val="0"/>
              <w:spacing w:line="360" w:lineRule="exact"/>
              <w:ind w:firstLine="0" w:firstLineChars="0"/>
              <w:jc w:val="left"/>
              <w:rPr>
                <w:rFonts w:hint="default" w:ascii="Times New Roman" w:hAnsi="Times New Roman" w:cs="Times New Roman"/>
                <w:sz w:val="24"/>
                <w:szCs w:val="24"/>
                <w:highlight w:val="none"/>
              </w:rPr>
            </w:pPr>
          </w:p>
          <w:p w14:paraId="50A3C0E0">
            <w:pPr>
              <w:keepNext w:val="0"/>
              <w:keepLines w:val="0"/>
              <w:pageBreakBefore w:val="0"/>
              <w:widowControl w:val="0"/>
              <w:kinsoku/>
              <w:wordWrap/>
              <w:overflowPunct/>
              <w:topLinePunct w:val="0"/>
              <w:bidi w:val="0"/>
              <w:spacing w:line="360" w:lineRule="exact"/>
              <w:ind w:firstLine="0" w:firstLineChars="0"/>
              <w:jc w:val="left"/>
              <w:rPr>
                <w:rFonts w:hint="default" w:ascii="Times New Roman" w:hAnsi="Times New Roman" w:eastAsia="宋体" w:cs="Times New Roman"/>
                <w:sz w:val="24"/>
                <w:szCs w:val="24"/>
                <w:highlight w:val="none"/>
                <w:lang w:val="en-US" w:eastAsia="zh-CN"/>
              </w:rPr>
            </w:pPr>
            <w:r>
              <w:rPr>
                <w:rFonts w:hint="default" w:ascii="Times New Roman" w:hAnsi="Times New Roman" w:cs="Times New Roman"/>
                <w:sz w:val="24"/>
                <w:szCs w:val="24"/>
                <w:highlight w:val="none"/>
              </w:rPr>
              <w:t>（1）</w:t>
            </w:r>
            <w:r>
              <w:rPr>
                <w:rFonts w:ascii="Times New Roman" w:hAnsi="Times New Roman" w:eastAsia="仿宋_GB2312"/>
                <w:sz w:val="24"/>
                <w:szCs w:val="24"/>
                <w:highlight w:val="none"/>
              </w:rPr>
              <w:t>≥</w:t>
            </w:r>
            <w:r>
              <w:rPr>
                <w:rFonts w:hint="default" w:ascii="Times New Roman" w:hAnsi="Times New Roman" w:cs="Times New Roman"/>
                <w:sz w:val="24"/>
                <w:szCs w:val="24"/>
                <w:highlight w:val="none"/>
                <w:lang w:val="en-US" w:eastAsia="zh-CN"/>
              </w:rPr>
              <w:t>90</w:t>
            </w:r>
          </w:p>
          <w:p w14:paraId="3C1446BB">
            <w:pPr>
              <w:pStyle w:val="54"/>
              <w:keepNext w:val="0"/>
              <w:keepLines w:val="0"/>
              <w:pageBreakBefore w:val="0"/>
              <w:widowControl w:val="0"/>
              <w:kinsoku/>
              <w:wordWrap/>
              <w:overflowPunct/>
              <w:topLinePunct w:val="0"/>
              <w:bidi w:val="0"/>
              <w:snapToGrid w:val="0"/>
              <w:spacing w:line="360" w:lineRule="exact"/>
              <w:ind w:firstLine="0" w:firstLineChars="0"/>
              <w:jc w:val="left"/>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rPr>
              <w:t>（2）</w:t>
            </w:r>
            <w:r>
              <w:rPr>
                <w:rFonts w:ascii="Times New Roman" w:hAnsi="Times New Roman" w:eastAsia="仿宋_GB2312"/>
                <w:sz w:val="24"/>
                <w:szCs w:val="24"/>
                <w:highlight w:val="none"/>
              </w:rPr>
              <w:t>≥</w:t>
            </w:r>
            <w:r>
              <w:rPr>
                <w:rFonts w:hint="eastAsia" w:ascii="Times New Roman" w:hAnsi="Times New Roman" w:eastAsia="仿宋_GB2312"/>
                <w:sz w:val="24"/>
                <w:szCs w:val="24"/>
                <w:highlight w:val="none"/>
                <w:lang w:val="en-US" w:eastAsia="zh-CN"/>
              </w:rPr>
              <w:t>95</w:t>
            </w:r>
          </w:p>
          <w:p w14:paraId="10243230">
            <w:pPr>
              <w:keepNext w:val="0"/>
              <w:keepLines w:val="0"/>
              <w:pageBreakBefore w:val="0"/>
              <w:widowControl w:val="0"/>
              <w:kinsoku/>
              <w:wordWrap/>
              <w:overflowPunct/>
              <w:topLinePunct w:val="0"/>
              <w:bidi w:val="0"/>
              <w:spacing w:line="360" w:lineRule="exact"/>
              <w:ind w:firstLine="0" w:firstLineChars="0"/>
              <w:jc w:val="left"/>
              <w:textAlignment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rPr>
              <w:t>（3）</w:t>
            </w:r>
            <w:r>
              <w:rPr>
                <w:rFonts w:ascii="Times New Roman" w:hAnsi="Times New Roman" w:eastAsia="仿宋_GB2312"/>
                <w:sz w:val="24"/>
                <w:szCs w:val="24"/>
                <w:highlight w:val="none"/>
              </w:rPr>
              <w:t>≥</w:t>
            </w:r>
            <w:r>
              <w:rPr>
                <w:rFonts w:hint="default" w:ascii="Times New Roman" w:hAnsi="Times New Roman" w:eastAsia="仿宋_GB2312" w:cs="Times New Roman"/>
                <w:sz w:val="24"/>
                <w:szCs w:val="24"/>
                <w:highlight w:val="none"/>
                <w:lang w:val="en-US" w:eastAsia="zh-CN"/>
              </w:rPr>
              <w:t>80</w:t>
            </w:r>
          </w:p>
        </w:tc>
        <w:tc>
          <w:tcPr>
            <w:tcW w:w="945" w:type="dxa"/>
            <w:noWrap w:val="0"/>
            <w:tcMar>
              <w:top w:w="15" w:type="dxa"/>
              <w:left w:w="15" w:type="dxa"/>
              <w:right w:w="15" w:type="dxa"/>
            </w:tcMar>
            <w:vAlign w:val="center"/>
          </w:tcPr>
          <w:p w14:paraId="401ABC57">
            <w:pPr>
              <w:keepNext w:val="0"/>
              <w:keepLines w:val="0"/>
              <w:pageBreakBefore w:val="0"/>
              <w:widowControl w:val="0"/>
              <w:kinsoku/>
              <w:wordWrap/>
              <w:overflowPunct/>
              <w:topLinePunct w:val="0"/>
              <w:bidi w:val="0"/>
              <w:spacing w:line="360" w:lineRule="exact"/>
              <w:ind w:firstLine="0" w:firstLineChars="0"/>
              <w:jc w:val="center"/>
              <w:textAlignment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参考性</w:t>
            </w:r>
          </w:p>
        </w:tc>
        <w:tc>
          <w:tcPr>
            <w:tcW w:w="2373" w:type="dxa"/>
            <w:noWrap w:val="0"/>
            <w:tcMar>
              <w:top w:w="15" w:type="dxa"/>
              <w:left w:w="15" w:type="dxa"/>
              <w:right w:w="15" w:type="dxa"/>
            </w:tcMar>
            <w:vAlign w:val="center"/>
          </w:tcPr>
          <w:p w14:paraId="667D55B0">
            <w:pPr>
              <w:keepNext w:val="0"/>
              <w:keepLines w:val="0"/>
              <w:pageBreakBefore w:val="0"/>
              <w:widowControl w:val="0"/>
              <w:kinsoku/>
              <w:wordWrap/>
              <w:overflowPunct/>
              <w:topLinePunct w:val="0"/>
              <w:bidi w:val="0"/>
              <w:spacing w:line="360" w:lineRule="exact"/>
              <w:ind w:firstLine="0" w:firstLineChars="0"/>
              <w:jc w:val="center"/>
              <w:textAlignment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lang w:eastAsia="zh-CN"/>
              </w:rPr>
              <w:t>柳江区</w:t>
            </w:r>
            <w:r>
              <w:rPr>
                <w:rFonts w:hint="default" w:ascii="Times New Roman" w:hAnsi="Times New Roman" w:eastAsia="仿宋_GB2312" w:cs="Times New Roman"/>
                <w:sz w:val="24"/>
                <w:szCs w:val="24"/>
                <w:highlight w:val="none"/>
              </w:rPr>
              <w:t>农业农村局</w:t>
            </w:r>
          </w:p>
        </w:tc>
      </w:tr>
      <w:tr w14:paraId="0B2B7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57" w:type="dxa"/>
            <w:vMerge w:val="continue"/>
            <w:noWrap w:val="0"/>
            <w:tcMar>
              <w:top w:w="15" w:type="dxa"/>
              <w:left w:w="15" w:type="dxa"/>
              <w:right w:w="15" w:type="dxa"/>
            </w:tcMar>
            <w:vAlign w:val="center"/>
          </w:tcPr>
          <w:p w14:paraId="50176CF4">
            <w:pPr>
              <w:keepNext w:val="0"/>
              <w:keepLines w:val="0"/>
              <w:pageBreakBefore w:val="0"/>
              <w:widowControl w:val="0"/>
              <w:kinsoku/>
              <w:wordWrap/>
              <w:overflowPunct/>
              <w:topLinePunct w:val="0"/>
              <w:bidi w:val="0"/>
              <w:spacing w:line="360" w:lineRule="exact"/>
              <w:ind w:firstLine="0" w:firstLineChars="0"/>
              <w:jc w:val="center"/>
              <w:rPr>
                <w:rFonts w:ascii="Times New Roman" w:hAnsi="Times New Roman" w:eastAsia="仿宋_GB2312"/>
                <w:sz w:val="24"/>
                <w:szCs w:val="24"/>
                <w:highlight w:val="yellow"/>
              </w:rPr>
            </w:pPr>
          </w:p>
        </w:tc>
        <w:tc>
          <w:tcPr>
            <w:tcW w:w="780" w:type="dxa"/>
            <w:vMerge w:val="continue"/>
            <w:noWrap w:val="0"/>
            <w:tcMar>
              <w:top w:w="15" w:type="dxa"/>
              <w:left w:w="15" w:type="dxa"/>
              <w:right w:w="15" w:type="dxa"/>
            </w:tcMar>
            <w:vAlign w:val="center"/>
          </w:tcPr>
          <w:p w14:paraId="19715D9C">
            <w:pPr>
              <w:keepNext w:val="0"/>
              <w:keepLines w:val="0"/>
              <w:pageBreakBefore w:val="0"/>
              <w:widowControl w:val="0"/>
              <w:kinsoku/>
              <w:wordWrap/>
              <w:overflowPunct/>
              <w:topLinePunct w:val="0"/>
              <w:bidi w:val="0"/>
              <w:spacing w:line="360" w:lineRule="exact"/>
              <w:ind w:firstLine="0" w:firstLineChars="0"/>
              <w:jc w:val="center"/>
              <w:rPr>
                <w:rFonts w:ascii="Times New Roman" w:hAnsi="Times New Roman" w:eastAsia="仿宋_GB2312"/>
                <w:sz w:val="24"/>
                <w:szCs w:val="24"/>
                <w:highlight w:val="yellow"/>
              </w:rPr>
            </w:pPr>
          </w:p>
        </w:tc>
        <w:tc>
          <w:tcPr>
            <w:tcW w:w="630" w:type="dxa"/>
            <w:noWrap w:val="0"/>
            <w:tcMar>
              <w:top w:w="15" w:type="dxa"/>
              <w:left w:w="15" w:type="dxa"/>
              <w:right w:w="15" w:type="dxa"/>
            </w:tcMar>
            <w:vAlign w:val="center"/>
          </w:tcPr>
          <w:p w14:paraId="0F363AAD">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22</w:t>
            </w:r>
          </w:p>
        </w:tc>
        <w:tc>
          <w:tcPr>
            <w:tcW w:w="2702" w:type="dxa"/>
            <w:noWrap w:val="0"/>
            <w:tcMar>
              <w:top w:w="15" w:type="dxa"/>
              <w:left w:w="15" w:type="dxa"/>
              <w:right w:w="15" w:type="dxa"/>
            </w:tcMar>
            <w:vAlign w:val="center"/>
          </w:tcPr>
          <w:p w14:paraId="3A65BBC0">
            <w:pPr>
              <w:keepNext w:val="0"/>
              <w:keepLines w:val="0"/>
              <w:pageBreakBefore w:val="0"/>
              <w:widowControl w:val="0"/>
              <w:kinsoku/>
              <w:wordWrap/>
              <w:overflowPunct/>
              <w:topLinePunct w:val="0"/>
              <w:bidi w:val="0"/>
              <w:spacing w:line="360" w:lineRule="exact"/>
              <w:ind w:firstLine="0" w:firstLineChars="0"/>
              <w:textAlignment w:val="center"/>
              <w:rPr>
                <w:rFonts w:hint="eastAsia" w:ascii="Times New Roman" w:hAnsi="Times New Roman" w:eastAsia="仿宋_GB2312"/>
                <w:sz w:val="24"/>
                <w:szCs w:val="24"/>
                <w:highlight w:val="none"/>
                <w:lang w:eastAsia="zh-CN"/>
              </w:rPr>
            </w:pPr>
            <w:r>
              <w:rPr>
                <w:rFonts w:ascii="Times New Roman" w:hAnsi="Times New Roman" w:eastAsia="仿宋_GB2312"/>
                <w:sz w:val="24"/>
                <w:szCs w:val="24"/>
                <w:highlight w:val="none"/>
              </w:rPr>
              <w:t>一般工业固体废物综合利用率提高幅度</w:t>
            </w:r>
            <w:r>
              <w:rPr>
                <w:rFonts w:hint="eastAsia" w:ascii="Times New Roman" w:hAnsi="Times New Roman" w:eastAsia="仿宋_GB2312"/>
                <w:sz w:val="24"/>
                <w:szCs w:val="24"/>
                <w:highlight w:val="none"/>
                <w:lang w:eastAsia="zh-CN"/>
              </w:rPr>
              <w:t>（＞</w:t>
            </w:r>
            <w:r>
              <w:rPr>
                <w:rFonts w:hint="eastAsia" w:ascii="Times New Roman" w:hAnsi="Times New Roman" w:eastAsia="仿宋_GB2312"/>
                <w:sz w:val="24"/>
                <w:szCs w:val="24"/>
                <w:highlight w:val="none"/>
                <w:lang w:val="en-US" w:eastAsia="zh-CN"/>
              </w:rPr>
              <w:t>60%的地区</w:t>
            </w:r>
            <w:r>
              <w:rPr>
                <w:rFonts w:hint="eastAsia" w:ascii="Times New Roman" w:hAnsi="Times New Roman" w:eastAsia="仿宋_GB2312"/>
                <w:sz w:val="24"/>
                <w:szCs w:val="24"/>
                <w:highlight w:val="none"/>
                <w:lang w:eastAsia="zh-CN"/>
              </w:rPr>
              <w:t>）</w:t>
            </w:r>
          </w:p>
        </w:tc>
        <w:tc>
          <w:tcPr>
            <w:tcW w:w="630" w:type="dxa"/>
            <w:noWrap w:val="0"/>
            <w:tcMar>
              <w:top w:w="15" w:type="dxa"/>
              <w:left w:w="15" w:type="dxa"/>
              <w:right w:w="15" w:type="dxa"/>
            </w:tcMar>
            <w:vAlign w:val="center"/>
          </w:tcPr>
          <w:p w14:paraId="59D77B05">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w:t>
            </w:r>
          </w:p>
        </w:tc>
        <w:tc>
          <w:tcPr>
            <w:tcW w:w="1245" w:type="dxa"/>
            <w:noWrap w:val="0"/>
            <w:tcMar>
              <w:top w:w="15" w:type="dxa"/>
              <w:left w:w="15" w:type="dxa"/>
              <w:right w:w="15" w:type="dxa"/>
            </w:tcMar>
            <w:vAlign w:val="center"/>
          </w:tcPr>
          <w:p w14:paraId="41705E99">
            <w:pPr>
              <w:keepNext w:val="0"/>
              <w:keepLines w:val="0"/>
              <w:pageBreakBefore w:val="0"/>
              <w:widowControl w:val="0"/>
              <w:kinsoku/>
              <w:wordWrap/>
              <w:overflowPunct/>
              <w:topLinePunct w:val="0"/>
              <w:bidi w:val="0"/>
              <w:spacing w:line="360" w:lineRule="exact"/>
              <w:ind w:firstLine="0" w:firstLineChars="0"/>
              <w:jc w:val="center"/>
              <w:textAlignment w:val="center"/>
              <w:rPr>
                <w:rFonts w:hint="eastAsia" w:ascii="Times New Roman" w:hAnsi="Times New Roman" w:eastAsia="仿宋_GB2312"/>
                <w:sz w:val="24"/>
                <w:szCs w:val="24"/>
                <w:highlight w:val="none"/>
                <w:lang w:eastAsia="zh-CN"/>
              </w:rPr>
            </w:pPr>
            <w:r>
              <w:rPr>
                <w:rFonts w:hint="eastAsia" w:ascii="Times New Roman" w:hAnsi="Times New Roman" w:eastAsia="仿宋_GB2312"/>
                <w:sz w:val="24"/>
                <w:szCs w:val="24"/>
                <w:highlight w:val="none"/>
                <w:lang w:eastAsia="zh-CN"/>
              </w:rPr>
              <w:t>保持稳定或持续改善</w:t>
            </w:r>
          </w:p>
        </w:tc>
        <w:tc>
          <w:tcPr>
            <w:tcW w:w="1335" w:type="dxa"/>
            <w:noWrap w:val="0"/>
            <w:tcMar>
              <w:top w:w="15" w:type="dxa"/>
              <w:left w:w="15" w:type="dxa"/>
              <w:right w:w="15" w:type="dxa"/>
            </w:tcMar>
            <w:vAlign w:val="center"/>
          </w:tcPr>
          <w:p w14:paraId="0A83C08F">
            <w:pPr>
              <w:keepNext w:val="0"/>
              <w:keepLines w:val="0"/>
              <w:pageBreakBefore w:val="0"/>
              <w:widowControl w:val="0"/>
              <w:kinsoku/>
              <w:wordWrap/>
              <w:overflowPunct/>
              <w:topLinePunct w:val="0"/>
              <w:bidi w:val="0"/>
              <w:spacing w:line="360" w:lineRule="exact"/>
              <w:ind w:firstLine="0" w:firstLineChars="0"/>
              <w:jc w:val="center"/>
              <w:rPr>
                <w:rFonts w:hint="eastAsia" w:ascii="Times New Roman" w:hAnsi="Times New Roman" w:eastAsia="仿宋_GB2312"/>
                <w:sz w:val="24"/>
                <w:szCs w:val="24"/>
                <w:highlight w:val="none"/>
                <w:lang w:eastAsia="zh-CN"/>
              </w:rPr>
            </w:pPr>
            <w:r>
              <w:rPr>
                <w:rFonts w:hint="eastAsia" w:ascii="Times New Roman" w:hAnsi="Times New Roman" w:eastAsia="仿宋_GB2312"/>
                <w:sz w:val="24"/>
                <w:szCs w:val="24"/>
                <w:highlight w:val="none"/>
                <w:lang w:eastAsia="zh-CN"/>
              </w:rPr>
              <w:t>保持稳定</w:t>
            </w:r>
          </w:p>
        </w:tc>
        <w:tc>
          <w:tcPr>
            <w:tcW w:w="660" w:type="dxa"/>
            <w:noWrap w:val="0"/>
            <w:tcMar>
              <w:top w:w="15" w:type="dxa"/>
              <w:left w:w="15" w:type="dxa"/>
              <w:right w:w="15" w:type="dxa"/>
            </w:tcMar>
            <w:vAlign w:val="center"/>
          </w:tcPr>
          <w:p w14:paraId="1B8243F4">
            <w:pPr>
              <w:keepNext w:val="0"/>
              <w:keepLines w:val="0"/>
              <w:pageBreakBefore w:val="0"/>
              <w:widowControl w:val="0"/>
              <w:kinsoku/>
              <w:wordWrap/>
              <w:overflowPunct/>
              <w:topLinePunct w:val="0"/>
              <w:bidi w:val="0"/>
              <w:spacing w:line="360" w:lineRule="exact"/>
              <w:ind w:firstLine="0" w:firstLineChars="0"/>
              <w:jc w:val="center"/>
              <w:textAlignment w:val="center"/>
              <w:rPr>
                <w:rFonts w:hint="eastAsia" w:ascii="Times New Roman" w:hAnsi="Times New Roman" w:eastAsia="仿宋_GB2312"/>
                <w:sz w:val="24"/>
                <w:szCs w:val="24"/>
                <w:highlight w:val="none"/>
                <w:lang w:eastAsia="zh-CN"/>
              </w:rPr>
            </w:pPr>
            <w:r>
              <w:rPr>
                <w:rFonts w:hint="eastAsia" w:ascii="Times New Roman" w:hAnsi="Times New Roman" w:eastAsia="仿宋_GB2312"/>
                <w:sz w:val="24"/>
                <w:szCs w:val="24"/>
                <w:highlight w:val="none"/>
                <w:lang w:eastAsia="zh-CN"/>
              </w:rPr>
              <w:t>是</w:t>
            </w:r>
          </w:p>
        </w:tc>
        <w:tc>
          <w:tcPr>
            <w:tcW w:w="1230" w:type="dxa"/>
            <w:noWrap w:val="0"/>
            <w:tcMar>
              <w:top w:w="15" w:type="dxa"/>
              <w:left w:w="15" w:type="dxa"/>
              <w:right w:w="15" w:type="dxa"/>
            </w:tcMar>
            <w:vAlign w:val="center"/>
          </w:tcPr>
          <w:p w14:paraId="75EE16DD">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yellow"/>
              </w:rPr>
            </w:pPr>
            <w:r>
              <w:rPr>
                <w:rFonts w:hint="eastAsia" w:ascii="Times New Roman" w:hAnsi="Times New Roman" w:eastAsia="仿宋_GB2312"/>
                <w:sz w:val="24"/>
                <w:szCs w:val="24"/>
                <w:highlight w:val="none"/>
                <w:lang w:eastAsia="zh-CN"/>
              </w:rPr>
              <w:t>保持稳定或持续改善</w:t>
            </w:r>
          </w:p>
        </w:tc>
        <w:tc>
          <w:tcPr>
            <w:tcW w:w="1275" w:type="dxa"/>
            <w:noWrap w:val="0"/>
            <w:tcMar>
              <w:top w:w="15" w:type="dxa"/>
              <w:left w:w="15" w:type="dxa"/>
              <w:right w:w="15" w:type="dxa"/>
            </w:tcMar>
            <w:vAlign w:val="center"/>
          </w:tcPr>
          <w:p w14:paraId="3AB9134F">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yellow"/>
              </w:rPr>
            </w:pPr>
            <w:r>
              <w:rPr>
                <w:rFonts w:hint="eastAsia" w:ascii="Times New Roman" w:hAnsi="Times New Roman" w:eastAsia="仿宋_GB2312"/>
                <w:sz w:val="24"/>
                <w:szCs w:val="24"/>
                <w:highlight w:val="none"/>
                <w:lang w:eastAsia="zh-CN"/>
              </w:rPr>
              <w:t>保持稳定或持续改善</w:t>
            </w:r>
          </w:p>
        </w:tc>
        <w:tc>
          <w:tcPr>
            <w:tcW w:w="945" w:type="dxa"/>
            <w:noWrap w:val="0"/>
            <w:tcMar>
              <w:top w:w="15" w:type="dxa"/>
              <w:left w:w="15" w:type="dxa"/>
              <w:right w:w="15" w:type="dxa"/>
            </w:tcMar>
            <w:vAlign w:val="center"/>
          </w:tcPr>
          <w:p w14:paraId="0A8C164E">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参考性</w:t>
            </w:r>
          </w:p>
        </w:tc>
        <w:tc>
          <w:tcPr>
            <w:tcW w:w="2373" w:type="dxa"/>
            <w:noWrap w:val="0"/>
            <w:tcMar>
              <w:top w:w="15" w:type="dxa"/>
              <w:left w:w="15" w:type="dxa"/>
              <w:right w:w="15" w:type="dxa"/>
            </w:tcMar>
            <w:vAlign w:val="center"/>
          </w:tcPr>
          <w:p w14:paraId="53577B23">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yellow"/>
              </w:rPr>
            </w:pPr>
            <w:r>
              <w:rPr>
                <w:rFonts w:hint="eastAsia" w:ascii="Times New Roman" w:hAnsi="Times New Roman" w:eastAsia="仿宋_GB2312"/>
                <w:bCs/>
                <w:sz w:val="24"/>
                <w:szCs w:val="24"/>
                <w:highlight w:val="none"/>
                <w:lang w:eastAsia="zh-CN"/>
              </w:rPr>
              <w:t>柳州市柳江</w:t>
            </w:r>
            <w:r>
              <w:rPr>
                <w:rFonts w:ascii="Times New Roman" w:hAnsi="Times New Roman" w:eastAsia="仿宋_GB2312"/>
                <w:bCs/>
                <w:sz w:val="24"/>
                <w:szCs w:val="24"/>
                <w:highlight w:val="none"/>
              </w:rPr>
              <w:t>生态环境局</w:t>
            </w:r>
          </w:p>
        </w:tc>
      </w:tr>
      <w:tr w14:paraId="2A6F1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57" w:type="dxa"/>
            <w:vMerge w:val="restart"/>
            <w:noWrap w:val="0"/>
            <w:tcMar>
              <w:top w:w="15" w:type="dxa"/>
              <w:left w:w="15" w:type="dxa"/>
              <w:right w:w="15" w:type="dxa"/>
            </w:tcMar>
            <w:vAlign w:val="center"/>
          </w:tcPr>
          <w:p w14:paraId="79DCC1AC">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生态生活</w:t>
            </w:r>
          </w:p>
        </w:tc>
        <w:tc>
          <w:tcPr>
            <w:tcW w:w="780" w:type="dxa"/>
            <w:vMerge w:val="restart"/>
            <w:noWrap w:val="0"/>
            <w:tcMar>
              <w:top w:w="15" w:type="dxa"/>
              <w:left w:w="15" w:type="dxa"/>
              <w:right w:w="15" w:type="dxa"/>
            </w:tcMar>
            <w:vAlign w:val="center"/>
          </w:tcPr>
          <w:p w14:paraId="32AA7558">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（八）</w:t>
            </w:r>
            <w:r>
              <w:rPr>
                <w:rFonts w:ascii="Times New Roman" w:hAnsi="Times New Roman" w:eastAsia="仿宋_GB2312"/>
                <w:sz w:val="24"/>
                <w:szCs w:val="24"/>
                <w:highlight w:val="none"/>
              </w:rPr>
              <w:br w:type="textWrapping"/>
            </w:r>
            <w:r>
              <w:rPr>
                <w:rFonts w:ascii="Times New Roman" w:hAnsi="Times New Roman" w:eastAsia="仿宋_GB2312"/>
                <w:sz w:val="24"/>
                <w:szCs w:val="24"/>
                <w:highlight w:val="none"/>
              </w:rPr>
              <w:t>人居环境改善</w:t>
            </w:r>
          </w:p>
        </w:tc>
        <w:tc>
          <w:tcPr>
            <w:tcW w:w="630" w:type="dxa"/>
            <w:noWrap w:val="0"/>
            <w:tcMar>
              <w:top w:w="15" w:type="dxa"/>
              <w:left w:w="15" w:type="dxa"/>
              <w:right w:w="15" w:type="dxa"/>
            </w:tcMar>
            <w:vAlign w:val="center"/>
          </w:tcPr>
          <w:p w14:paraId="2747A582">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23</w:t>
            </w:r>
          </w:p>
        </w:tc>
        <w:tc>
          <w:tcPr>
            <w:tcW w:w="2702" w:type="dxa"/>
            <w:noWrap w:val="0"/>
            <w:tcMar>
              <w:top w:w="15" w:type="dxa"/>
              <w:left w:w="15" w:type="dxa"/>
              <w:right w:w="15" w:type="dxa"/>
            </w:tcMar>
            <w:vAlign w:val="center"/>
          </w:tcPr>
          <w:p w14:paraId="509FACCD">
            <w:pPr>
              <w:keepNext w:val="0"/>
              <w:keepLines w:val="0"/>
              <w:pageBreakBefore w:val="0"/>
              <w:widowControl w:val="0"/>
              <w:kinsoku/>
              <w:wordWrap/>
              <w:overflowPunct/>
              <w:topLinePunct w:val="0"/>
              <w:bidi w:val="0"/>
              <w:spacing w:line="360" w:lineRule="exact"/>
              <w:ind w:firstLine="0" w:firstLineChars="0"/>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集中式饮用水水源地水质</w:t>
            </w:r>
            <w:r>
              <w:rPr>
                <w:rStyle w:val="72"/>
                <w:rFonts w:hint="default" w:ascii="Times New Roman" w:hAnsi="Times New Roman" w:eastAsia="仿宋_GB2312" w:cs="Times New Roman"/>
                <w:color w:val="auto"/>
                <w:sz w:val="24"/>
                <w:szCs w:val="24"/>
                <w:highlight w:val="none"/>
              </w:rPr>
              <w:t>优良比例</w:t>
            </w:r>
          </w:p>
        </w:tc>
        <w:tc>
          <w:tcPr>
            <w:tcW w:w="630" w:type="dxa"/>
            <w:noWrap w:val="0"/>
            <w:tcMar>
              <w:top w:w="15" w:type="dxa"/>
              <w:left w:w="15" w:type="dxa"/>
              <w:right w:w="15" w:type="dxa"/>
            </w:tcMar>
            <w:vAlign w:val="center"/>
          </w:tcPr>
          <w:p w14:paraId="771E0EA0">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w:t>
            </w:r>
          </w:p>
        </w:tc>
        <w:tc>
          <w:tcPr>
            <w:tcW w:w="1245" w:type="dxa"/>
            <w:noWrap w:val="0"/>
            <w:tcMar>
              <w:top w:w="15" w:type="dxa"/>
              <w:left w:w="15" w:type="dxa"/>
              <w:right w:w="15" w:type="dxa"/>
            </w:tcMar>
            <w:vAlign w:val="center"/>
          </w:tcPr>
          <w:p w14:paraId="72AF6752">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100</w:t>
            </w:r>
          </w:p>
        </w:tc>
        <w:tc>
          <w:tcPr>
            <w:tcW w:w="1335" w:type="dxa"/>
            <w:noWrap w:val="0"/>
            <w:tcMar>
              <w:top w:w="15" w:type="dxa"/>
              <w:left w:w="15" w:type="dxa"/>
              <w:right w:w="15" w:type="dxa"/>
            </w:tcMar>
            <w:vAlign w:val="center"/>
          </w:tcPr>
          <w:p w14:paraId="15B48F89">
            <w:pPr>
              <w:keepNext w:val="0"/>
              <w:keepLines w:val="0"/>
              <w:pageBreakBefore w:val="0"/>
              <w:widowControl w:val="0"/>
              <w:kinsoku/>
              <w:wordWrap/>
              <w:overflowPunct/>
              <w:topLinePunct w:val="0"/>
              <w:bidi w:val="0"/>
              <w:spacing w:line="360" w:lineRule="exact"/>
              <w:ind w:firstLine="0" w:firstLineChars="0"/>
              <w:jc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100</w:t>
            </w:r>
          </w:p>
        </w:tc>
        <w:tc>
          <w:tcPr>
            <w:tcW w:w="660" w:type="dxa"/>
            <w:noWrap w:val="0"/>
            <w:tcMar>
              <w:top w:w="15" w:type="dxa"/>
              <w:left w:w="15" w:type="dxa"/>
              <w:right w:w="15" w:type="dxa"/>
            </w:tcMar>
            <w:vAlign w:val="center"/>
          </w:tcPr>
          <w:p w14:paraId="6ABB2D6A">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是</w:t>
            </w:r>
          </w:p>
        </w:tc>
        <w:tc>
          <w:tcPr>
            <w:tcW w:w="1230" w:type="dxa"/>
            <w:noWrap w:val="0"/>
            <w:tcMar>
              <w:top w:w="15" w:type="dxa"/>
              <w:left w:w="15" w:type="dxa"/>
              <w:right w:w="15" w:type="dxa"/>
            </w:tcMar>
            <w:vAlign w:val="center"/>
          </w:tcPr>
          <w:p w14:paraId="740CB923">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100</w:t>
            </w:r>
          </w:p>
        </w:tc>
        <w:tc>
          <w:tcPr>
            <w:tcW w:w="1275" w:type="dxa"/>
            <w:noWrap w:val="0"/>
            <w:tcMar>
              <w:top w:w="15" w:type="dxa"/>
              <w:left w:w="15" w:type="dxa"/>
              <w:right w:w="15" w:type="dxa"/>
            </w:tcMar>
            <w:vAlign w:val="center"/>
          </w:tcPr>
          <w:p w14:paraId="15AD7D02">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100</w:t>
            </w:r>
          </w:p>
        </w:tc>
        <w:tc>
          <w:tcPr>
            <w:tcW w:w="945" w:type="dxa"/>
            <w:noWrap w:val="0"/>
            <w:tcMar>
              <w:top w:w="15" w:type="dxa"/>
              <w:left w:w="15" w:type="dxa"/>
              <w:right w:w="15" w:type="dxa"/>
            </w:tcMar>
            <w:vAlign w:val="center"/>
          </w:tcPr>
          <w:p w14:paraId="51D7A87C">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约束性</w:t>
            </w:r>
          </w:p>
        </w:tc>
        <w:tc>
          <w:tcPr>
            <w:tcW w:w="2373" w:type="dxa"/>
            <w:noWrap w:val="0"/>
            <w:tcMar>
              <w:top w:w="15" w:type="dxa"/>
              <w:left w:w="15" w:type="dxa"/>
              <w:right w:w="15" w:type="dxa"/>
            </w:tcMar>
            <w:vAlign w:val="center"/>
          </w:tcPr>
          <w:p w14:paraId="7DC3CA78">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yellow"/>
              </w:rPr>
            </w:pPr>
            <w:r>
              <w:rPr>
                <w:rFonts w:hint="eastAsia" w:ascii="Times New Roman" w:hAnsi="Times New Roman" w:eastAsia="仿宋_GB2312"/>
                <w:sz w:val="24"/>
                <w:szCs w:val="24"/>
                <w:highlight w:val="none"/>
                <w:lang w:eastAsia="zh-CN"/>
              </w:rPr>
              <w:t>柳州市柳江</w:t>
            </w:r>
            <w:r>
              <w:rPr>
                <w:rFonts w:ascii="Times New Roman" w:hAnsi="Times New Roman" w:eastAsia="仿宋_GB2312"/>
                <w:sz w:val="24"/>
                <w:szCs w:val="24"/>
                <w:highlight w:val="none"/>
              </w:rPr>
              <w:t>生态环境局</w:t>
            </w:r>
          </w:p>
        </w:tc>
      </w:tr>
      <w:tr w14:paraId="0F53C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57" w:type="dxa"/>
            <w:vMerge w:val="continue"/>
            <w:noWrap w:val="0"/>
            <w:tcMar>
              <w:top w:w="15" w:type="dxa"/>
              <w:left w:w="15" w:type="dxa"/>
              <w:right w:w="15" w:type="dxa"/>
            </w:tcMar>
            <w:vAlign w:val="center"/>
          </w:tcPr>
          <w:p w14:paraId="5E2B7B22">
            <w:pPr>
              <w:keepNext w:val="0"/>
              <w:keepLines w:val="0"/>
              <w:pageBreakBefore w:val="0"/>
              <w:widowControl w:val="0"/>
              <w:kinsoku/>
              <w:wordWrap/>
              <w:overflowPunct/>
              <w:topLinePunct w:val="0"/>
              <w:bidi w:val="0"/>
              <w:spacing w:line="360" w:lineRule="exact"/>
              <w:ind w:firstLine="0" w:firstLineChars="0"/>
              <w:jc w:val="center"/>
              <w:rPr>
                <w:rFonts w:ascii="Times New Roman" w:hAnsi="Times New Roman" w:eastAsia="仿宋_GB2312"/>
                <w:sz w:val="24"/>
                <w:szCs w:val="24"/>
                <w:highlight w:val="yellow"/>
              </w:rPr>
            </w:pPr>
          </w:p>
        </w:tc>
        <w:tc>
          <w:tcPr>
            <w:tcW w:w="780" w:type="dxa"/>
            <w:vMerge w:val="continue"/>
            <w:noWrap w:val="0"/>
            <w:tcMar>
              <w:top w:w="15" w:type="dxa"/>
              <w:left w:w="15" w:type="dxa"/>
              <w:right w:w="15" w:type="dxa"/>
            </w:tcMar>
            <w:vAlign w:val="center"/>
          </w:tcPr>
          <w:p w14:paraId="6BA5C73D">
            <w:pPr>
              <w:keepNext w:val="0"/>
              <w:keepLines w:val="0"/>
              <w:pageBreakBefore w:val="0"/>
              <w:widowControl w:val="0"/>
              <w:kinsoku/>
              <w:wordWrap/>
              <w:overflowPunct/>
              <w:topLinePunct w:val="0"/>
              <w:bidi w:val="0"/>
              <w:spacing w:line="360" w:lineRule="exact"/>
              <w:ind w:firstLine="0" w:firstLineChars="0"/>
              <w:jc w:val="center"/>
              <w:rPr>
                <w:rFonts w:ascii="Times New Roman" w:hAnsi="Times New Roman" w:eastAsia="仿宋_GB2312"/>
                <w:sz w:val="24"/>
                <w:szCs w:val="24"/>
                <w:highlight w:val="yellow"/>
              </w:rPr>
            </w:pPr>
          </w:p>
        </w:tc>
        <w:tc>
          <w:tcPr>
            <w:tcW w:w="630" w:type="dxa"/>
            <w:noWrap w:val="0"/>
            <w:tcMar>
              <w:top w:w="15" w:type="dxa"/>
              <w:left w:w="15" w:type="dxa"/>
              <w:right w:w="15" w:type="dxa"/>
            </w:tcMar>
            <w:vAlign w:val="center"/>
          </w:tcPr>
          <w:p w14:paraId="6337B61F">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24</w:t>
            </w:r>
          </w:p>
        </w:tc>
        <w:tc>
          <w:tcPr>
            <w:tcW w:w="2702" w:type="dxa"/>
            <w:noWrap w:val="0"/>
            <w:tcMar>
              <w:top w:w="15" w:type="dxa"/>
              <w:left w:w="15" w:type="dxa"/>
              <w:right w:w="15" w:type="dxa"/>
            </w:tcMar>
            <w:vAlign w:val="center"/>
          </w:tcPr>
          <w:p w14:paraId="50B24A5C">
            <w:pPr>
              <w:keepNext w:val="0"/>
              <w:keepLines w:val="0"/>
              <w:pageBreakBefore w:val="0"/>
              <w:widowControl w:val="0"/>
              <w:kinsoku/>
              <w:wordWrap/>
              <w:overflowPunct/>
              <w:topLinePunct w:val="0"/>
              <w:bidi w:val="0"/>
              <w:spacing w:line="360" w:lineRule="exact"/>
              <w:ind w:firstLine="0" w:firstLineChars="0"/>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村镇饮用水卫生合格率</w:t>
            </w:r>
          </w:p>
        </w:tc>
        <w:tc>
          <w:tcPr>
            <w:tcW w:w="630" w:type="dxa"/>
            <w:noWrap w:val="0"/>
            <w:tcMar>
              <w:top w:w="15" w:type="dxa"/>
              <w:left w:w="15" w:type="dxa"/>
              <w:right w:w="15" w:type="dxa"/>
            </w:tcMar>
            <w:vAlign w:val="center"/>
          </w:tcPr>
          <w:p w14:paraId="592E4A42">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w:t>
            </w:r>
          </w:p>
        </w:tc>
        <w:tc>
          <w:tcPr>
            <w:tcW w:w="1245" w:type="dxa"/>
            <w:noWrap w:val="0"/>
            <w:tcMar>
              <w:top w:w="15" w:type="dxa"/>
              <w:left w:w="15" w:type="dxa"/>
              <w:right w:w="15" w:type="dxa"/>
            </w:tcMar>
            <w:vAlign w:val="center"/>
          </w:tcPr>
          <w:p w14:paraId="4C1CF37C">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100</w:t>
            </w:r>
          </w:p>
        </w:tc>
        <w:tc>
          <w:tcPr>
            <w:tcW w:w="1335" w:type="dxa"/>
            <w:noWrap w:val="0"/>
            <w:tcMar>
              <w:top w:w="15" w:type="dxa"/>
              <w:left w:w="15" w:type="dxa"/>
              <w:right w:w="15" w:type="dxa"/>
            </w:tcMar>
            <w:vAlign w:val="center"/>
          </w:tcPr>
          <w:p w14:paraId="6DBB521E">
            <w:pPr>
              <w:keepNext w:val="0"/>
              <w:keepLines w:val="0"/>
              <w:pageBreakBefore w:val="0"/>
              <w:widowControl w:val="0"/>
              <w:kinsoku/>
              <w:wordWrap/>
              <w:overflowPunct/>
              <w:topLinePunct w:val="0"/>
              <w:bidi w:val="0"/>
              <w:spacing w:line="360" w:lineRule="exact"/>
              <w:ind w:firstLine="0" w:firstLineChars="0"/>
              <w:jc w:val="center"/>
              <w:rPr>
                <w:rFonts w:hint="default" w:ascii="Times New Roman" w:hAnsi="Times New Roman" w:eastAsia="仿宋_GB2312"/>
                <w:sz w:val="24"/>
                <w:szCs w:val="24"/>
                <w:highlight w:val="none"/>
                <w:lang w:val="en-US" w:eastAsia="zh-CN"/>
              </w:rPr>
            </w:pPr>
            <w:r>
              <w:rPr>
                <w:rFonts w:hint="eastAsia" w:ascii="Times New Roman" w:hAnsi="Times New Roman" w:eastAsia="仿宋_GB2312"/>
                <w:sz w:val="24"/>
                <w:szCs w:val="24"/>
                <w:highlight w:val="none"/>
                <w:lang w:val="en-US" w:eastAsia="zh-CN"/>
              </w:rPr>
              <w:t>91.43</w:t>
            </w:r>
          </w:p>
        </w:tc>
        <w:tc>
          <w:tcPr>
            <w:tcW w:w="660" w:type="dxa"/>
            <w:noWrap w:val="0"/>
            <w:tcMar>
              <w:top w:w="15" w:type="dxa"/>
              <w:left w:w="15" w:type="dxa"/>
              <w:right w:w="15" w:type="dxa"/>
            </w:tcMar>
            <w:vAlign w:val="center"/>
          </w:tcPr>
          <w:p w14:paraId="4FFF893A">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否</w:t>
            </w:r>
          </w:p>
        </w:tc>
        <w:tc>
          <w:tcPr>
            <w:tcW w:w="1230" w:type="dxa"/>
            <w:noWrap w:val="0"/>
            <w:tcMar>
              <w:top w:w="15" w:type="dxa"/>
              <w:left w:w="15" w:type="dxa"/>
              <w:right w:w="15" w:type="dxa"/>
            </w:tcMar>
            <w:vAlign w:val="center"/>
          </w:tcPr>
          <w:p w14:paraId="5C2BEC4A">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100</w:t>
            </w:r>
          </w:p>
        </w:tc>
        <w:tc>
          <w:tcPr>
            <w:tcW w:w="1275" w:type="dxa"/>
            <w:noWrap w:val="0"/>
            <w:tcMar>
              <w:top w:w="15" w:type="dxa"/>
              <w:left w:w="15" w:type="dxa"/>
              <w:right w:w="15" w:type="dxa"/>
            </w:tcMar>
            <w:vAlign w:val="center"/>
          </w:tcPr>
          <w:p w14:paraId="45D599C7">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100</w:t>
            </w:r>
          </w:p>
        </w:tc>
        <w:tc>
          <w:tcPr>
            <w:tcW w:w="945" w:type="dxa"/>
            <w:noWrap w:val="0"/>
            <w:tcMar>
              <w:top w:w="15" w:type="dxa"/>
              <w:left w:w="15" w:type="dxa"/>
              <w:right w:w="15" w:type="dxa"/>
            </w:tcMar>
            <w:vAlign w:val="center"/>
          </w:tcPr>
          <w:p w14:paraId="646F5F53">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约束性</w:t>
            </w:r>
          </w:p>
        </w:tc>
        <w:tc>
          <w:tcPr>
            <w:tcW w:w="2373" w:type="dxa"/>
            <w:noWrap w:val="0"/>
            <w:tcMar>
              <w:top w:w="15" w:type="dxa"/>
              <w:left w:w="15" w:type="dxa"/>
              <w:right w:w="15" w:type="dxa"/>
            </w:tcMar>
            <w:vAlign w:val="center"/>
          </w:tcPr>
          <w:p w14:paraId="3A20D64E">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hint="eastAsia" w:ascii="Times New Roman" w:hAnsi="Times New Roman" w:eastAsia="仿宋_GB2312"/>
                <w:sz w:val="24"/>
                <w:szCs w:val="24"/>
                <w:highlight w:val="none"/>
                <w:lang w:eastAsia="zh-CN"/>
              </w:rPr>
              <w:t>柳江区</w:t>
            </w:r>
            <w:r>
              <w:rPr>
                <w:rFonts w:ascii="Times New Roman" w:hAnsi="Times New Roman" w:eastAsia="仿宋_GB2312"/>
                <w:sz w:val="24"/>
                <w:szCs w:val="24"/>
                <w:highlight w:val="none"/>
              </w:rPr>
              <w:t>卫健局</w:t>
            </w:r>
          </w:p>
        </w:tc>
      </w:tr>
      <w:tr w14:paraId="645DF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57" w:type="dxa"/>
            <w:vMerge w:val="continue"/>
            <w:noWrap w:val="0"/>
            <w:tcMar>
              <w:top w:w="15" w:type="dxa"/>
              <w:left w:w="15" w:type="dxa"/>
              <w:right w:w="15" w:type="dxa"/>
            </w:tcMar>
            <w:vAlign w:val="center"/>
          </w:tcPr>
          <w:p w14:paraId="19C236CE">
            <w:pPr>
              <w:keepNext w:val="0"/>
              <w:keepLines w:val="0"/>
              <w:pageBreakBefore w:val="0"/>
              <w:widowControl w:val="0"/>
              <w:kinsoku/>
              <w:wordWrap/>
              <w:overflowPunct/>
              <w:topLinePunct w:val="0"/>
              <w:bidi w:val="0"/>
              <w:spacing w:line="360" w:lineRule="exact"/>
              <w:ind w:firstLine="0" w:firstLineChars="0"/>
              <w:jc w:val="center"/>
              <w:rPr>
                <w:rFonts w:ascii="Times New Roman" w:hAnsi="Times New Roman" w:eastAsia="仿宋_GB2312"/>
                <w:sz w:val="24"/>
                <w:szCs w:val="24"/>
                <w:highlight w:val="yellow"/>
              </w:rPr>
            </w:pPr>
          </w:p>
        </w:tc>
        <w:tc>
          <w:tcPr>
            <w:tcW w:w="780" w:type="dxa"/>
            <w:vMerge w:val="continue"/>
            <w:noWrap w:val="0"/>
            <w:tcMar>
              <w:top w:w="15" w:type="dxa"/>
              <w:left w:w="15" w:type="dxa"/>
              <w:right w:w="15" w:type="dxa"/>
            </w:tcMar>
            <w:vAlign w:val="center"/>
          </w:tcPr>
          <w:p w14:paraId="73E36A5A">
            <w:pPr>
              <w:keepNext w:val="0"/>
              <w:keepLines w:val="0"/>
              <w:pageBreakBefore w:val="0"/>
              <w:widowControl w:val="0"/>
              <w:kinsoku/>
              <w:wordWrap/>
              <w:overflowPunct/>
              <w:topLinePunct w:val="0"/>
              <w:bidi w:val="0"/>
              <w:spacing w:line="360" w:lineRule="exact"/>
              <w:ind w:firstLine="0" w:firstLineChars="0"/>
              <w:jc w:val="center"/>
              <w:rPr>
                <w:rFonts w:ascii="Times New Roman" w:hAnsi="Times New Roman" w:eastAsia="仿宋_GB2312"/>
                <w:sz w:val="24"/>
                <w:szCs w:val="24"/>
                <w:highlight w:val="yellow"/>
              </w:rPr>
            </w:pPr>
          </w:p>
        </w:tc>
        <w:tc>
          <w:tcPr>
            <w:tcW w:w="630" w:type="dxa"/>
            <w:noWrap w:val="0"/>
            <w:tcMar>
              <w:top w:w="15" w:type="dxa"/>
              <w:left w:w="15" w:type="dxa"/>
              <w:right w:w="15" w:type="dxa"/>
            </w:tcMar>
            <w:vAlign w:val="center"/>
          </w:tcPr>
          <w:p w14:paraId="5AF4F480">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25</w:t>
            </w:r>
          </w:p>
        </w:tc>
        <w:tc>
          <w:tcPr>
            <w:tcW w:w="2702" w:type="dxa"/>
            <w:noWrap w:val="0"/>
            <w:tcMar>
              <w:top w:w="15" w:type="dxa"/>
              <w:left w:w="15" w:type="dxa"/>
              <w:right w:w="15" w:type="dxa"/>
            </w:tcMar>
            <w:vAlign w:val="center"/>
          </w:tcPr>
          <w:p w14:paraId="08A9B37B">
            <w:pPr>
              <w:keepNext w:val="0"/>
              <w:keepLines w:val="0"/>
              <w:pageBreakBefore w:val="0"/>
              <w:widowControl w:val="0"/>
              <w:kinsoku/>
              <w:wordWrap/>
              <w:overflowPunct/>
              <w:topLinePunct w:val="0"/>
              <w:bidi w:val="0"/>
              <w:spacing w:line="360" w:lineRule="exact"/>
              <w:ind w:firstLine="0" w:firstLineChars="0"/>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城镇污水处理率</w:t>
            </w:r>
          </w:p>
        </w:tc>
        <w:tc>
          <w:tcPr>
            <w:tcW w:w="630" w:type="dxa"/>
            <w:noWrap w:val="0"/>
            <w:tcMar>
              <w:top w:w="15" w:type="dxa"/>
              <w:left w:w="15" w:type="dxa"/>
              <w:right w:w="15" w:type="dxa"/>
            </w:tcMar>
            <w:vAlign w:val="center"/>
          </w:tcPr>
          <w:p w14:paraId="3C0AC1B7">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w:t>
            </w:r>
          </w:p>
        </w:tc>
        <w:tc>
          <w:tcPr>
            <w:tcW w:w="1245" w:type="dxa"/>
            <w:noWrap w:val="0"/>
            <w:tcMar>
              <w:top w:w="15" w:type="dxa"/>
              <w:left w:w="15" w:type="dxa"/>
              <w:right w:w="15" w:type="dxa"/>
            </w:tcMar>
            <w:vAlign w:val="center"/>
          </w:tcPr>
          <w:p w14:paraId="2885994A">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≥85</w:t>
            </w:r>
          </w:p>
        </w:tc>
        <w:tc>
          <w:tcPr>
            <w:tcW w:w="1335" w:type="dxa"/>
            <w:noWrap w:val="0"/>
            <w:tcMar>
              <w:top w:w="15" w:type="dxa"/>
              <w:left w:w="15" w:type="dxa"/>
              <w:right w:w="15" w:type="dxa"/>
            </w:tcMar>
            <w:vAlign w:val="center"/>
          </w:tcPr>
          <w:p w14:paraId="5E3CB129">
            <w:pPr>
              <w:keepNext w:val="0"/>
              <w:keepLines w:val="0"/>
              <w:pageBreakBefore w:val="0"/>
              <w:widowControl w:val="0"/>
              <w:kinsoku/>
              <w:wordWrap/>
              <w:overflowPunct/>
              <w:topLinePunct w:val="0"/>
              <w:bidi w:val="0"/>
              <w:spacing w:line="360" w:lineRule="exact"/>
              <w:ind w:firstLine="0" w:firstLineChars="0"/>
              <w:jc w:val="center"/>
              <w:textAlignment w:val="center"/>
              <w:rPr>
                <w:rFonts w:hint="default" w:ascii="Times New Roman" w:hAnsi="Times New Roman" w:eastAsia="仿宋_GB2312"/>
                <w:sz w:val="24"/>
                <w:szCs w:val="24"/>
                <w:highlight w:val="none"/>
                <w:lang w:val="en-US" w:eastAsia="zh-CN"/>
              </w:rPr>
            </w:pPr>
            <w:r>
              <w:rPr>
                <w:rFonts w:hint="eastAsia" w:ascii="Times New Roman" w:hAnsi="Times New Roman" w:eastAsia="仿宋_GB2312"/>
                <w:sz w:val="24"/>
                <w:szCs w:val="24"/>
                <w:highlight w:val="none"/>
                <w:lang w:val="en-US" w:eastAsia="zh-CN"/>
              </w:rPr>
              <w:t>99.7</w:t>
            </w:r>
          </w:p>
        </w:tc>
        <w:tc>
          <w:tcPr>
            <w:tcW w:w="660" w:type="dxa"/>
            <w:noWrap w:val="0"/>
            <w:tcMar>
              <w:top w:w="15" w:type="dxa"/>
              <w:left w:w="15" w:type="dxa"/>
              <w:right w:w="15" w:type="dxa"/>
            </w:tcMar>
            <w:vAlign w:val="center"/>
          </w:tcPr>
          <w:p w14:paraId="58AA44D7">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是</w:t>
            </w:r>
          </w:p>
        </w:tc>
        <w:tc>
          <w:tcPr>
            <w:tcW w:w="1230" w:type="dxa"/>
            <w:noWrap w:val="0"/>
            <w:tcMar>
              <w:top w:w="15" w:type="dxa"/>
              <w:left w:w="15" w:type="dxa"/>
              <w:right w:w="15" w:type="dxa"/>
            </w:tcMar>
            <w:vAlign w:val="center"/>
          </w:tcPr>
          <w:p w14:paraId="00989CAE">
            <w:pPr>
              <w:keepNext w:val="0"/>
              <w:keepLines w:val="0"/>
              <w:pageBreakBefore w:val="0"/>
              <w:widowControl w:val="0"/>
              <w:kinsoku/>
              <w:wordWrap/>
              <w:overflowPunct/>
              <w:topLinePunct w:val="0"/>
              <w:bidi w:val="0"/>
              <w:spacing w:line="360" w:lineRule="exact"/>
              <w:ind w:firstLine="0" w:firstLineChars="0"/>
              <w:jc w:val="center"/>
              <w:textAlignment w:val="center"/>
              <w:rPr>
                <w:rFonts w:hint="default" w:ascii="Times New Roman" w:hAnsi="Times New Roman" w:eastAsia="仿宋_GB2312"/>
                <w:sz w:val="24"/>
                <w:szCs w:val="24"/>
                <w:highlight w:val="none"/>
                <w:lang w:val="en-US" w:eastAsia="zh-CN"/>
              </w:rPr>
            </w:pPr>
            <w:r>
              <w:rPr>
                <w:rFonts w:hint="eastAsia" w:eastAsia="仿宋_GB2312"/>
                <w:sz w:val="24"/>
                <w:szCs w:val="24"/>
                <w:highlight w:val="none"/>
                <w:lang w:val="en-US" w:eastAsia="zh-CN"/>
              </w:rPr>
              <w:t>100</w:t>
            </w:r>
          </w:p>
        </w:tc>
        <w:tc>
          <w:tcPr>
            <w:tcW w:w="1275" w:type="dxa"/>
            <w:noWrap w:val="0"/>
            <w:tcMar>
              <w:top w:w="15" w:type="dxa"/>
              <w:left w:w="15" w:type="dxa"/>
              <w:right w:w="15" w:type="dxa"/>
            </w:tcMar>
            <w:vAlign w:val="center"/>
          </w:tcPr>
          <w:p w14:paraId="29ADC88E">
            <w:pPr>
              <w:keepNext w:val="0"/>
              <w:keepLines w:val="0"/>
              <w:pageBreakBefore w:val="0"/>
              <w:widowControl w:val="0"/>
              <w:kinsoku/>
              <w:wordWrap/>
              <w:overflowPunct/>
              <w:topLinePunct w:val="0"/>
              <w:bidi w:val="0"/>
              <w:spacing w:line="360" w:lineRule="exact"/>
              <w:ind w:firstLine="0" w:firstLineChars="0"/>
              <w:jc w:val="center"/>
              <w:textAlignment w:val="center"/>
              <w:rPr>
                <w:rFonts w:hint="default" w:ascii="Times New Roman" w:hAnsi="Times New Roman" w:eastAsia="仿宋_GB2312"/>
                <w:sz w:val="24"/>
                <w:szCs w:val="24"/>
                <w:highlight w:val="none"/>
                <w:lang w:val="en-US" w:eastAsia="zh-CN"/>
              </w:rPr>
            </w:pPr>
            <w:r>
              <w:rPr>
                <w:rFonts w:hint="eastAsia" w:eastAsia="仿宋_GB2312"/>
                <w:sz w:val="24"/>
                <w:szCs w:val="24"/>
                <w:highlight w:val="none"/>
                <w:lang w:val="en-US" w:eastAsia="zh-CN"/>
              </w:rPr>
              <w:t>100</w:t>
            </w:r>
          </w:p>
        </w:tc>
        <w:tc>
          <w:tcPr>
            <w:tcW w:w="945" w:type="dxa"/>
            <w:noWrap w:val="0"/>
            <w:tcMar>
              <w:top w:w="15" w:type="dxa"/>
              <w:left w:w="15" w:type="dxa"/>
              <w:right w:w="15" w:type="dxa"/>
            </w:tcMar>
            <w:vAlign w:val="center"/>
          </w:tcPr>
          <w:p w14:paraId="2318685A">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约束性</w:t>
            </w:r>
          </w:p>
        </w:tc>
        <w:tc>
          <w:tcPr>
            <w:tcW w:w="2373" w:type="dxa"/>
            <w:noWrap w:val="0"/>
            <w:tcMar>
              <w:top w:w="15" w:type="dxa"/>
              <w:left w:w="15" w:type="dxa"/>
              <w:right w:w="15" w:type="dxa"/>
            </w:tcMar>
            <w:vAlign w:val="center"/>
          </w:tcPr>
          <w:p w14:paraId="24E1292C">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hint="eastAsia" w:ascii="Times New Roman" w:hAnsi="Times New Roman" w:eastAsia="仿宋_GB2312"/>
                <w:sz w:val="24"/>
                <w:szCs w:val="24"/>
                <w:highlight w:val="none"/>
                <w:lang w:eastAsia="zh-CN"/>
              </w:rPr>
              <w:t>柳江区</w:t>
            </w:r>
            <w:r>
              <w:rPr>
                <w:rFonts w:ascii="Times New Roman" w:hAnsi="Times New Roman" w:eastAsia="仿宋_GB2312"/>
                <w:sz w:val="24"/>
                <w:szCs w:val="24"/>
                <w:highlight w:val="none"/>
              </w:rPr>
              <w:t>住建局</w:t>
            </w:r>
          </w:p>
        </w:tc>
      </w:tr>
      <w:tr w14:paraId="6D7CB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jc w:val="center"/>
        </w:trPr>
        <w:tc>
          <w:tcPr>
            <w:tcW w:w="557" w:type="dxa"/>
            <w:vMerge w:val="continue"/>
            <w:noWrap w:val="0"/>
            <w:tcMar>
              <w:top w:w="15" w:type="dxa"/>
              <w:left w:w="15" w:type="dxa"/>
              <w:right w:w="15" w:type="dxa"/>
            </w:tcMar>
            <w:vAlign w:val="center"/>
          </w:tcPr>
          <w:p w14:paraId="15D63C91">
            <w:pPr>
              <w:keepNext w:val="0"/>
              <w:keepLines w:val="0"/>
              <w:pageBreakBefore w:val="0"/>
              <w:widowControl w:val="0"/>
              <w:kinsoku/>
              <w:wordWrap/>
              <w:overflowPunct/>
              <w:topLinePunct w:val="0"/>
              <w:bidi w:val="0"/>
              <w:spacing w:line="360" w:lineRule="exact"/>
              <w:ind w:firstLine="0" w:firstLineChars="0"/>
              <w:jc w:val="center"/>
              <w:rPr>
                <w:rFonts w:ascii="Times New Roman" w:hAnsi="Times New Roman" w:eastAsia="仿宋_GB2312"/>
                <w:sz w:val="24"/>
                <w:szCs w:val="24"/>
                <w:highlight w:val="yellow"/>
              </w:rPr>
            </w:pPr>
          </w:p>
        </w:tc>
        <w:tc>
          <w:tcPr>
            <w:tcW w:w="780" w:type="dxa"/>
            <w:vMerge w:val="continue"/>
            <w:noWrap w:val="0"/>
            <w:tcMar>
              <w:top w:w="15" w:type="dxa"/>
              <w:left w:w="15" w:type="dxa"/>
              <w:right w:w="15" w:type="dxa"/>
            </w:tcMar>
            <w:vAlign w:val="center"/>
          </w:tcPr>
          <w:p w14:paraId="383D73B6">
            <w:pPr>
              <w:keepNext w:val="0"/>
              <w:keepLines w:val="0"/>
              <w:pageBreakBefore w:val="0"/>
              <w:widowControl w:val="0"/>
              <w:kinsoku/>
              <w:wordWrap/>
              <w:overflowPunct/>
              <w:topLinePunct w:val="0"/>
              <w:bidi w:val="0"/>
              <w:spacing w:line="360" w:lineRule="exact"/>
              <w:ind w:firstLine="0" w:firstLineChars="0"/>
              <w:jc w:val="center"/>
              <w:rPr>
                <w:rFonts w:ascii="Times New Roman" w:hAnsi="Times New Roman" w:eastAsia="仿宋_GB2312"/>
                <w:sz w:val="24"/>
                <w:szCs w:val="24"/>
                <w:highlight w:val="yellow"/>
              </w:rPr>
            </w:pPr>
          </w:p>
        </w:tc>
        <w:tc>
          <w:tcPr>
            <w:tcW w:w="630" w:type="dxa"/>
            <w:noWrap w:val="0"/>
            <w:tcMar>
              <w:top w:w="15" w:type="dxa"/>
              <w:left w:w="15" w:type="dxa"/>
              <w:right w:w="15" w:type="dxa"/>
            </w:tcMar>
            <w:vAlign w:val="center"/>
          </w:tcPr>
          <w:p w14:paraId="243056DA">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26</w:t>
            </w:r>
          </w:p>
        </w:tc>
        <w:tc>
          <w:tcPr>
            <w:tcW w:w="2702" w:type="dxa"/>
            <w:noWrap w:val="0"/>
            <w:tcMar>
              <w:top w:w="15" w:type="dxa"/>
              <w:left w:w="15" w:type="dxa"/>
              <w:right w:w="15" w:type="dxa"/>
            </w:tcMar>
            <w:vAlign w:val="center"/>
          </w:tcPr>
          <w:p w14:paraId="1479416F">
            <w:pPr>
              <w:keepNext w:val="0"/>
              <w:keepLines w:val="0"/>
              <w:pageBreakBefore w:val="0"/>
              <w:widowControl w:val="0"/>
              <w:kinsoku/>
              <w:wordWrap/>
              <w:overflowPunct/>
              <w:topLinePunct w:val="0"/>
              <w:bidi w:val="0"/>
              <w:spacing w:line="360" w:lineRule="exact"/>
              <w:ind w:firstLine="0" w:firstLineChars="0"/>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农村生活污水治理率</w:t>
            </w:r>
          </w:p>
        </w:tc>
        <w:tc>
          <w:tcPr>
            <w:tcW w:w="630" w:type="dxa"/>
            <w:noWrap w:val="0"/>
            <w:tcMar>
              <w:top w:w="15" w:type="dxa"/>
              <w:left w:w="15" w:type="dxa"/>
              <w:right w:w="15" w:type="dxa"/>
            </w:tcMar>
            <w:vAlign w:val="center"/>
          </w:tcPr>
          <w:p w14:paraId="704C1675">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w:t>
            </w:r>
          </w:p>
        </w:tc>
        <w:tc>
          <w:tcPr>
            <w:tcW w:w="1245" w:type="dxa"/>
            <w:noWrap w:val="0"/>
            <w:tcMar>
              <w:top w:w="15" w:type="dxa"/>
              <w:left w:w="15" w:type="dxa"/>
              <w:right w:w="15" w:type="dxa"/>
            </w:tcMar>
            <w:vAlign w:val="center"/>
          </w:tcPr>
          <w:p w14:paraId="72F19E4A">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≥50</w:t>
            </w:r>
          </w:p>
        </w:tc>
        <w:tc>
          <w:tcPr>
            <w:tcW w:w="1335" w:type="dxa"/>
            <w:noWrap w:val="0"/>
            <w:tcMar>
              <w:top w:w="15" w:type="dxa"/>
              <w:left w:w="15" w:type="dxa"/>
              <w:right w:w="15" w:type="dxa"/>
            </w:tcMar>
            <w:vAlign w:val="center"/>
          </w:tcPr>
          <w:p w14:paraId="25C278E4">
            <w:pPr>
              <w:keepNext w:val="0"/>
              <w:keepLines w:val="0"/>
              <w:pageBreakBefore w:val="0"/>
              <w:widowControl w:val="0"/>
              <w:kinsoku/>
              <w:wordWrap/>
              <w:overflowPunct/>
              <w:topLinePunct w:val="0"/>
              <w:bidi w:val="0"/>
              <w:spacing w:line="360" w:lineRule="exact"/>
              <w:ind w:firstLine="0" w:firstLineChars="0"/>
              <w:jc w:val="center"/>
              <w:textAlignment w:val="center"/>
              <w:rPr>
                <w:rFonts w:hint="default" w:ascii="Times New Roman" w:hAnsi="Times New Roman" w:eastAsia="仿宋_GB2312"/>
                <w:sz w:val="24"/>
                <w:szCs w:val="24"/>
                <w:highlight w:val="none"/>
                <w:lang w:val="en-US" w:eastAsia="zh-CN"/>
              </w:rPr>
            </w:pPr>
            <w:r>
              <w:rPr>
                <w:rFonts w:hint="eastAsia" w:ascii="Times New Roman" w:hAnsi="Times New Roman" w:eastAsia="仿宋_GB2312"/>
                <w:sz w:val="24"/>
                <w:szCs w:val="24"/>
                <w:highlight w:val="none"/>
                <w:lang w:val="en-US" w:eastAsia="zh-CN"/>
              </w:rPr>
              <w:t>34.8</w:t>
            </w:r>
          </w:p>
        </w:tc>
        <w:tc>
          <w:tcPr>
            <w:tcW w:w="660" w:type="dxa"/>
            <w:noWrap w:val="0"/>
            <w:tcMar>
              <w:top w:w="15" w:type="dxa"/>
              <w:left w:w="15" w:type="dxa"/>
              <w:right w:w="15" w:type="dxa"/>
            </w:tcMar>
            <w:vAlign w:val="center"/>
          </w:tcPr>
          <w:p w14:paraId="70CF2CF2">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否</w:t>
            </w:r>
          </w:p>
        </w:tc>
        <w:tc>
          <w:tcPr>
            <w:tcW w:w="1230" w:type="dxa"/>
            <w:noWrap w:val="0"/>
            <w:tcMar>
              <w:top w:w="15" w:type="dxa"/>
              <w:left w:w="15" w:type="dxa"/>
              <w:right w:w="15" w:type="dxa"/>
            </w:tcMar>
            <w:vAlign w:val="center"/>
          </w:tcPr>
          <w:p w14:paraId="588BC330">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≥50</w:t>
            </w:r>
          </w:p>
        </w:tc>
        <w:tc>
          <w:tcPr>
            <w:tcW w:w="1275" w:type="dxa"/>
            <w:noWrap w:val="0"/>
            <w:tcMar>
              <w:top w:w="15" w:type="dxa"/>
              <w:left w:w="15" w:type="dxa"/>
              <w:right w:w="15" w:type="dxa"/>
            </w:tcMar>
            <w:vAlign w:val="center"/>
          </w:tcPr>
          <w:p w14:paraId="41464F03">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≥60</w:t>
            </w:r>
          </w:p>
        </w:tc>
        <w:tc>
          <w:tcPr>
            <w:tcW w:w="945" w:type="dxa"/>
            <w:noWrap w:val="0"/>
            <w:tcMar>
              <w:top w:w="15" w:type="dxa"/>
              <w:left w:w="15" w:type="dxa"/>
              <w:right w:w="15" w:type="dxa"/>
            </w:tcMar>
            <w:vAlign w:val="center"/>
          </w:tcPr>
          <w:p w14:paraId="3BC84392">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参考性</w:t>
            </w:r>
          </w:p>
        </w:tc>
        <w:tc>
          <w:tcPr>
            <w:tcW w:w="2373" w:type="dxa"/>
            <w:noWrap w:val="0"/>
            <w:tcMar>
              <w:top w:w="15" w:type="dxa"/>
              <w:left w:w="15" w:type="dxa"/>
              <w:right w:w="15" w:type="dxa"/>
            </w:tcMar>
            <w:vAlign w:val="center"/>
          </w:tcPr>
          <w:p w14:paraId="47DF9DC9">
            <w:pPr>
              <w:keepNext w:val="0"/>
              <w:keepLines w:val="0"/>
              <w:pageBreakBefore w:val="0"/>
              <w:widowControl w:val="0"/>
              <w:kinsoku/>
              <w:wordWrap/>
              <w:overflowPunct/>
              <w:topLinePunct w:val="0"/>
              <w:bidi w:val="0"/>
              <w:spacing w:line="360" w:lineRule="exact"/>
              <w:ind w:firstLine="0" w:firstLineChars="0"/>
              <w:jc w:val="center"/>
              <w:textAlignment w:val="center"/>
              <w:rPr>
                <w:rFonts w:hint="eastAsia" w:ascii="Times New Roman" w:hAnsi="Times New Roman" w:eastAsia="仿宋_GB2312"/>
                <w:sz w:val="24"/>
                <w:szCs w:val="24"/>
                <w:highlight w:val="yellow"/>
                <w:lang w:eastAsia="zh-CN"/>
              </w:rPr>
            </w:pPr>
            <w:r>
              <w:rPr>
                <w:rFonts w:hint="eastAsia" w:ascii="Times New Roman" w:hAnsi="Times New Roman" w:eastAsia="仿宋_GB2312"/>
                <w:sz w:val="24"/>
                <w:szCs w:val="24"/>
                <w:highlight w:val="none"/>
                <w:lang w:eastAsia="zh-CN"/>
              </w:rPr>
              <w:t>柳州市柳江</w:t>
            </w:r>
            <w:r>
              <w:rPr>
                <w:rFonts w:ascii="Times New Roman" w:hAnsi="Times New Roman" w:eastAsia="仿宋_GB2312"/>
                <w:sz w:val="24"/>
                <w:szCs w:val="24"/>
                <w:highlight w:val="none"/>
              </w:rPr>
              <w:t>生态环境局</w:t>
            </w:r>
            <w:r>
              <w:rPr>
                <w:rFonts w:hint="eastAsia" w:ascii="Times New Roman" w:hAnsi="Times New Roman" w:eastAsia="仿宋_GB2312"/>
                <w:sz w:val="24"/>
                <w:szCs w:val="24"/>
                <w:highlight w:val="none"/>
                <w:lang w:eastAsia="zh-CN"/>
              </w:rPr>
              <w:t>、</w:t>
            </w:r>
            <w:r>
              <w:rPr>
                <w:rFonts w:hint="default" w:ascii="Times New Roman" w:hAnsi="Times New Roman" w:eastAsia="仿宋_GB2312" w:cs="Times New Roman"/>
                <w:sz w:val="24"/>
                <w:szCs w:val="24"/>
                <w:highlight w:val="none"/>
                <w:lang w:eastAsia="zh-CN"/>
              </w:rPr>
              <w:t>柳江区</w:t>
            </w:r>
            <w:r>
              <w:rPr>
                <w:rFonts w:hint="default" w:ascii="Times New Roman" w:hAnsi="Times New Roman" w:eastAsia="仿宋_GB2312" w:cs="Times New Roman"/>
                <w:sz w:val="24"/>
                <w:szCs w:val="24"/>
                <w:highlight w:val="none"/>
              </w:rPr>
              <w:t>农业农村局</w:t>
            </w:r>
          </w:p>
        </w:tc>
      </w:tr>
      <w:tr w14:paraId="3338D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57" w:type="dxa"/>
            <w:vMerge w:val="continue"/>
            <w:noWrap w:val="0"/>
            <w:tcMar>
              <w:top w:w="15" w:type="dxa"/>
              <w:left w:w="15" w:type="dxa"/>
              <w:right w:w="15" w:type="dxa"/>
            </w:tcMar>
            <w:vAlign w:val="center"/>
          </w:tcPr>
          <w:p w14:paraId="1A3A6E44">
            <w:pPr>
              <w:keepNext w:val="0"/>
              <w:keepLines w:val="0"/>
              <w:pageBreakBefore w:val="0"/>
              <w:widowControl w:val="0"/>
              <w:kinsoku/>
              <w:wordWrap/>
              <w:overflowPunct/>
              <w:topLinePunct w:val="0"/>
              <w:bidi w:val="0"/>
              <w:spacing w:line="360" w:lineRule="exact"/>
              <w:ind w:firstLine="0" w:firstLineChars="0"/>
              <w:jc w:val="center"/>
              <w:rPr>
                <w:rFonts w:ascii="Times New Roman" w:hAnsi="Times New Roman" w:eastAsia="仿宋_GB2312"/>
                <w:sz w:val="24"/>
                <w:szCs w:val="24"/>
                <w:highlight w:val="yellow"/>
              </w:rPr>
            </w:pPr>
          </w:p>
        </w:tc>
        <w:tc>
          <w:tcPr>
            <w:tcW w:w="780" w:type="dxa"/>
            <w:vMerge w:val="continue"/>
            <w:noWrap w:val="0"/>
            <w:tcMar>
              <w:top w:w="15" w:type="dxa"/>
              <w:left w:w="15" w:type="dxa"/>
              <w:right w:w="15" w:type="dxa"/>
            </w:tcMar>
            <w:vAlign w:val="center"/>
          </w:tcPr>
          <w:p w14:paraId="04AC3ED3">
            <w:pPr>
              <w:keepNext w:val="0"/>
              <w:keepLines w:val="0"/>
              <w:pageBreakBefore w:val="0"/>
              <w:widowControl w:val="0"/>
              <w:kinsoku/>
              <w:wordWrap/>
              <w:overflowPunct/>
              <w:topLinePunct w:val="0"/>
              <w:bidi w:val="0"/>
              <w:spacing w:line="360" w:lineRule="exact"/>
              <w:ind w:firstLine="0" w:firstLineChars="0"/>
              <w:jc w:val="center"/>
              <w:rPr>
                <w:rFonts w:ascii="Times New Roman" w:hAnsi="Times New Roman" w:eastAsia="仿宋_GB2312"/>
                <w:sz w:val="24"/>
                <w:szCs w:val="24"/>
                <w:highlight w:val="yellow"/>
              </w:rPr>
            </w:pPr>
          </w:p>
        </w:tc>
        <w:tc>
          <w:tcPr>
            <w:tcW w:w="630" w:type="dxa"/>
            <w:noWrap w:val="0"/>
            <w:tcMar>
              <w:top w:w="15" w:type="dxa"/>
              <w:left w:w="15" w:type="dxa"/>
              <w:right w:w="15" w:type="dxa"/>
            </w:tcMar>
            <w:vAlign w:val="center"/>
          </w:tcPr>
          <w:p w14:paraId="5C09D315">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27</w:t>
            </w:r>
          </w:p>
        </w:tc>
        <w:tc>
          <w:tcPr>
            <w:tcW w:w="2702" w:type="dxa"/>
            <w:noWrap w:val="0"/>
            <w:tcMar>
              <w:top w:w="15" w:type="dxa"/>
              <w:left w:w="15" w:type="dxa"/>
              <w:right w:w="15" w:type="dxa"/>
            </w:tcMar>
            <w:vAlign w:val="center"/>
          </w:tcPr>
          <w:p w14:paraId="376E853C">
            <w:pPr>
              <w:keepNext w:val="0"/>
              <w:keepLines w:val="0"/>
              <w:pageBreakBefore w:val="0"/>
              <w:widowControl w:val="0"/>
              <w:kinsoku/>
              <w:wordWrap/>
              <w:overflowPunct/>
              <w:topLinePunct w:val="0"/>
              <w:bidi w:val="0"/>
              <w:spacing w:line="360" w:lineRule="exact"/>
              <w:ind w:firstLine="0" w:firstLineChars="0"/>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城镇生活垃圾无害化处理率</w:t>
            </w:r>
          </w:p>
        </w:tc>
        <w:tc>
          <w:tcPr>
            <w:tcW w:w="630" w:type="dxa"/>
            <w:noWrap w:val="0"/>
            <w:tcMar>
              <w:top w:w="15" w:type="dxa"/>
              <w:left w:w="15" w:type="dxa"/>
              <w:right w:w="15" w:type="dxa"/>
            </w:tcMar>
            <w:vAlign w:val="center"/>
          </w:tcPr>
          <w:p w14:paraId="04B63F21">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w:t>
            </w:r>
          </w:p>
        </w:tc>
        <w:tc>
          <w:tcPr>
            <w:tcW w:w="1245" w:type="dxa"/>
            <w:noWrap w:val="0"/>
            <w:tcMar>
              <w:top w:w="15" w:type="dxa"/>
              <w:left w:w="15" w:type="dxa"/>
              <w:right w:w="15" w:type="dxa"/>
            </w:tcMar>
            <w:vAlign w:val="center"/>
          </w:tcPr>
          <w:p w14:paraId="658E528C">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≥80</w:t>
            </w:r>
          </w:p>
        </w:tc>
        <w:tc>
          <w:tcPr>
            <w:tcW w:w="1335" w:type="dxa"/>
            <w:noWrap w:val="0"/>
            <w:tcMar>
              <w:top w:w="15" w:type="dxa"/>
              <w:left w:w="15" w:type="dxa"/>
              <w:right w:w="15" w:type="dxa"/>
            </w:tcMar>
            <w:vAlign w:val="center"/>
          </w:tcPr>
          <w:p w14:paraId="452E5612">
            <w:pPr>
              <w:keepNext w:val="0"/>
              <w:keepLines w:val="0"/>
              <w:pageBreakBefore w:val="0"/>
              <w:widowControl w:val="0"/>
              <w:kinsoku/>
              <w:wordWrap/>
              <w:overflowPunct/>
              <w:topLinePunct w:val="0"/>
              <w:bidi w:val="0"/>
              <w:spacing w:line="360" w:lineRule="exact"/>
              <w:ind w:firstLine="0" w:firstLineChars="0"/>
              <w:jc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100</w:t>
            </w:r>
          </w:p>
        </w:tc>
        <w:tc>
          <w:tcPr>
            <w:tcW w:w="660" w:type="dxa"/>
            <w:noWrap w:val="0"/>
            <w:tcMar>
              <w:top w:w="15" w:type="dxa"/>
              <w:left w:w="15" w:type="dxa"/>
              <w:right w:w="15" w:type="dxa"/>
            </w:tcMar>
            <w:vAlign w:val="center"/>
          </w:tcPr>
          <w:p w14:paraId="4F5157A7">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是</w:t>
            </w:r>
          </w:p>
        </w:tc>
        <w:tc>
          <w:tcPr>
            <w:tcW w:w="1230" w:type="dxa"/>
            <w:noWrap w:val="0"/>
            <w:tcMar>
              <w:top w:w="15" w:type="dxa"/>
              <w:left w:w="15" w:type="dxa"/>
              <w:right w:w="15" w:type="dxa"/>
            </w:tcMar>
            <w:vAlign w:val="center"/>
          </w:tcPr>
          <w:p w14:paraId="451632F9">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100</w:t>
            </w:r>
          </w:p>
        </w:tc>
        <w:tc>
          <w:tcPr>
            <w:tcW w:w="1275" w:type="dxa"/>
            <w:noWrap w:val="0"/>
            <w:tcMar>
              <w:top w:w="15" w:type="dxa"/>
              <w:left w:w="15" w:type="dxa"/>
              <w:right w:w="15" w:type="dxa"/>
            </w:tcMar>
            <w:vAlign w:val="center"/>
          </w:tcPr>
          <w:p w14:paraId="5047A4A9">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100</w:t>
            </w:r>
          </w:p>
        </w:tc>
        <w:tc>
          <w:tcPr>
            <w:tcW w:w="945" w:type="dxa"/>
            <w:noWrap w:val="0"/>
            <w:tcMar>
              <w:top w:w="15" w:type="dxa"/>
              <w:left w:w="15" w:type="dxa"/>
              <w:right w:w="15" w:type="dxa"/>
            </w:tcMar>
            <w:vAlign w:val="center"/>
          </w:tcPr>
          <w:p w14:paraId="519878F5">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约束性</w:t>
            </w:r>
          </w:p>
        </w:tc>
        <w:tc>
          <w:tcPr>
            <w:tcW w:w="2373" w:type="dxa"/>
            <w:noWrap w:val="0"/>
            <w:tcMar>
              <w:top w:w="15" w:type="dxa"/>
              <w:left w:w="15" w:type="dxa"/>
              <w:right w:w="15" w:type="dxa"/>
            </w:tcMar>
            <w:vAlign w:val="center"/>
          </w:tcPr>
          <w:p w14:paraId="02454AEB">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yellow"/>
              </w:rPr>
            </w:pPr>
            <w:r>
              <w:rPr>
                <w:rFonts w:hint="eastAsia" w:ascii="Times New Roman" w:hAnsi="Times New Roman" w:eastAsia="仿宋_GB2312"/>
                <w:sz w:val="24"/>
                <w:szCs w:val="24"/>
                <w:highlight w:val="none"/>
                <w:lang w:eastAsia="zh-CN"/>
              </w:rPr>
              <w:t>柳江区</w:t>
            </w:r>
            <w:r>
              <w:rPr>
                <w:rFonts w:ascii="Times New Roman" w:hAnsi="Times New Roman" w:eastAsia="仿宋_GB2312"/>
                <w:bCs/>
                <w:sz w:val="24"/>
                <w:szCs w:val="24"/>
                <w:highlight w:val="none"/>
              </w:rPr>
              <w:t>城管执法局</w:t>
            </w:r>
          </w:p>
        </w:tc>
      </w:tr>
      <w:tr w14:paraId="536AE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57" w:type="dxa"/>
            <w:vMerge w:val="continue"/>
            <w:noWrap w:val="0"/>
            <w:tcMar>
              <w:top w:w="15" w:type="dxa"/>
              <w:left w:w="15" w:type="dxa"/>
              <w:right w:w="15" w:type="dxa"/>
            </w:tcMar>
            <w:vAlign w:val="center"/>
          </w:tcPr>
          <w:p w14:paraId="6C7BAC0A">
            <w:pPr>
              <w:keepNext w:val="0"/>
              <w:keepLines w:val="0"/>
              <w:pageBreakBefore w:val="0"/>
              <w:widowControl w:val="0"/>
              <w:kinsoku/>
              <w:wordWrap/>
              <w:overflowPunct/>
              <w:topLinePunct w:val="0"/>
              <w:bidi w:val="0"/>
              <w:spacing w:line="360" w:lineRule="exact"/>
              <w:ind w:firstLine="0" w:firstLineChars="0"/>
              <w:jc w:val="center"/>
              <w:rPr>
                <w:rFonts w:ascii="Times New Roman" w:hAnsi="Times New Roman" w:eastAsia="仿宋_GB2312"/>
                <w:sz w:val="24"/>
                <w:szCs w:val="24"/>
                <w:highlight w:val="yellow"/>
              </w:rPr>
            </w:pPr>
          </w:p>
        </w:tc>
        <w:tc>
          <w:tcPr>
            <w:tcW w:w="780" w:type="dxa"/>
            <w:vMerge w:val="continue"/>
            <w:noWrap w:val="0"/>
            <w:tcMar>
              <w:top w:w="15" w:type="dxa"/>
              <w:left w:w="15" w:type="dxa"/>
              <w:right w:w="15" w:type="dxa"/>
            </w:tcMar>
            <w:vAlign w:val="center"/>
          </w:tcPr>
          <w:p w14:paraId="0D176881">
            <w:pPr>
              <w:keepNext w:val="0"/>
              <w:keepLines w:val="0"/>
              <w:pageBreakBefore w:val="0"/>
              <w:widowControl w:val="0"/>
              <w:kinsoku/>
              <w:wordWrap/>
              <w:overflowPunct/>
              <w:topLinePunct w:val="0"/>
              <w:bidi w:val="0"/>
              <w:spacing w:line="360" w:lineRule="exact"/>
              <w:ind w:firstLine="0" w:firstLineChars="0"/>
              <w:jc w:val="center"/>
              <w:rPr>
                <w:rFonts w:ascii="Times New Roman" w:hAnsi="Times New Roman" w:eastAsia="仿宋_GB2312"/>
                <w:sz w:val="24"/>
                <w:szCs w:val="24"/>
                <w:highlight w:val="yellow"/>
              </w:rPr>
            </w:pPr>
          </w:p>
        </w:tc>
        <w:tc>
          <w:tcPr>
            <w:tcW w:w="630" w:type="dxa"/>
            <w:noWrap w:val="0"/>
            <w:tcMar>
              <w:top w:w="15" w:type="dxa"/>
              <w:left w:w="15" w:type="dxa"/>
              <w:right w:w="15" w:type="dxa"/>
            </w:tcMar>
            <w:vAlign w:val="center"/>
          </w:tcPr>
          <w:p w14:paraId="57C32854">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28</w:t>
            </w:r>
          </w:p>
        </w:tc>
        <w:tc>
          <w:tcPr>
            <w:tcW w:w="2702" w:type="dxa"/>
            <w:noWrap w:val="0"/>
            <w:tcMar>
              <w:top w:w="15" w:type="dxa"/>
              <w:left w:w="15" w:type="dxa"/>
              <w:right w:w="15" w:type="dxa"/>
            </w:tcMar>
            <w:vAlign w:val="center"/>
          </w:tcPr>
          <w:p w14:paraId="7D1F466F">
            <w:pPr>
              <w:keepNext w:val="0"/>
              <w:keepLines w:val="0"/>
              <w:pageBreakBefore w:val="0"/>
              <w:widowControl w:val="0"/>
              <w:kinsoku/>
              <w:wordWrap/>
              <w:overflowPunct/>
              <w:topLinePunct w:val="0"/>
              <w:bidi w:val="0"/>
              <w:spacing w:line="360" w:lineRule="exact"/>
              <w:ind w:firstLine="0" w:firstLineChars="0"/>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农村生活垃圾无害化处理村占比</w:t>
            </w:r>
          </w:p>
        </w:tc>
        <w:tc>
          <w:tcPr>
            <w:tcW w:w="630" w:type="dxa"/>
            <w:noWrap w:val="0"/>
            <w:tcMar>
              <w:top w:w="15" w:type="dxa"/>
              <w:left w:w="15" w:type="dxa"/>
              <w:right w:w="15" w:type="dxa"/>
            </w:tcMar>
            <w:vAlign w:val="center"/>
          </w:tcPr>
          <w:p w14:paraId="6FEDCCA9">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w:t>
            </w:r>
          </w:p>
        </w:tc>
        <w:tc>
          <w:tcPr>
            <w:tcW w:w="1245" w:type="dxa"/>
            <w:noWrap w:val="0"/>
            <w:tcMar>
              <w:top w:w="15" w:type="dxa"/>
              <w:left w:w="15" w:type="dxa"/>
              <w:right w:w="15" w:type="dxa"/>
            </w:tcMar>
            <w:vAlign w:val="center"/>
          </w:tcPr>
          <w:p w14:paraId="71428BCD">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≥80</w:t>
            </w:r>
          </w:p>
        </w:tc>
        <w:tc>
          <w:tcPr>
            <w:tcW w:w="1335" w:type="dxa"/>
            <w:noWrap w:val="0"/>
            <w:tcMar>
              <w:top w:w="15" w:type="dxa"/>
              <w:left w:w="15" w:type="dxa"/>
              <w:right w:w="15" w:type="dxa"/>
            </w:tcMar>
            <w:vAlign w:val="center"/>
          </w:tcPr>
          <w:p w14:paraId="183DAE3E">
            <w:pPr>
              <w:keepNext w:val="0"/>
              <w:keepLines w:val="0"/>
              <w:pageBreakBefore w:val="0"/>
              <w:widowControl w:val="0"/>
              <w:kinsoku/>
              <w:wordWrap/>
              <w:overflowPunct/>
              <w:topLinePunct w:val="0"/>
              <w:bidi w:val="0"/>
              <w:spacing w:line="360" w:lineRule="exact"/>
              <w:ind w:firstLine="0" w:firstLineChars="0"/>
              <w:jc w:val="center"/>
              <w:rPr>
                <w:rFonts w:hint="default" w:ascii="Times New Roman" w:hAnsi="Times New Roman" w:eastAsia="仿宋_GB2312"/>
                <w:sz w:val="24"/>
                <w:szCs w:val="24"/>
                <w:highlight w:val="none"/>
                <w:lang w:val="en-US" w:eastAsia="zh-CN"/>
              </w:rPr>
            </w:pPr>
            <w:r>
              <w:rPr>
                <w:rFonts w:hint="eastAsia" w:ascii="Times New Roman" w:hAnsi="Times New Roman" w:eastAsia="仿宋_GB2312"/>
                <w:sz w:val="24"/>
                <w:szCs w:val="24"/>
                <w:highlight w:val="none"/>
                <w:lang w:val="en-US" w:eastAsia="zh-CN"/>
              </w:rPr>
              <w:t>100</w:t>
            </w:r>
          </w:p>
        </w:tc>
        <w:tc>
          <w:tcPr>
            <w:tcW w:w="660" w:type="dxa"/>
            <w:noWrap w:val="0"/>
            <w:tcMar>
              <w:top w:w="15" w:type="dxa"/>
              <w:left w:w="15" w:type="dxa"/>
              <w:right w:w="15" w:type="dxa"/>
            </w:tcMar>
            <w:vAlign w:val="center"/>
          </w:tcPr>
          <w:p w14:paraId="1F6F30B8">
            <w:pPr>
              <w:keepNext w:val="0"/>
              <w:keepLines w:val="0"/>
              <w:pageBreakBefore w:val="0"/>
              <w:widowControl w:val="0"/>
              <w:kinsoku/>
              <w:wordWrap/>
              <w:overflowPunct/>
              <w:topLinePunct w:val="0"/>
              <w:bidi w:val="0"/>
              <w:spacing w:line="360" w:lineRule="exact"/>
              <w:ind w:firstLine="0" w:firstLineChars="0"/>
              <w:jc w:val="center"/>
              <w:textAlignment w:val="center"/>
              <w:rPr>
                <w:rFonts w:hint="eastAsia" w:ascii="Times New Roman" w:hAnsi="Times New Roman" w:eastAsia="仿宋_GB2312"/>
                <w:sz w:val="24"/>
                <w:szCs w:val="24"/>
                <w:highlight w:val="none"/>
                <w:lang w:eastAsia="zh-CN"/>
              </w:rPr>
            </w:pPr>
            <w:r>
              <w:rPr>
                <w:rFonts w:hint="eastAsia" w:ascii="Times New Roman" w:hAnsi="Times New Roman" w:eastAsia="仿宋_GB2312"/>
                <w:sz w:val="24"/>
                <w:szCs w:val="24"/>
                <w:highlight w:val="none"/>
                <w:lang w:eastAsia="zh-CN"/>
              </w:rPr>
              <w:t>是</w:t>
            </w:r>
          </w:p>
        </w:tc>
        <w:tc>
          <w:tcPr>
            <w:tcW w:w="1230" w:type="dxa"/>
            <w:noWrap w:val="0"/>
            <w:tcMar>
              <w:top w:w="15" w:type="dxa"/>
              <w:left w:w="15" w:type="dxa"/>
              <w:right w:w="15" w:type="dxa"/>
            </w:tcMar>
            <w:vAlign w:val="center"/>
          </w:tcPr>
          <w:p w14:paraId="6ABBF90C">
            <w:pPr>
              <w:keepNext w:val="0"/>
              <w:keepLines w:val="0"/>
              <w:pageBreakBefore w:val="0"/>
              <w:widowControl w:val="0"/>
              <w:kinsoku/>
              <w:wordWrap/>
              <w:overflowPunct/>
              <w:topLinePunct w:val="0"/>
              <w:bidi w:val="0"/>
              <w:spacing w:line="360" w:lineRule="exact"/>
              <w:ind w:firstLine="0" w:firstLineChars="0"/>
              <w:jc w:val="center"/>
              <w:textAlignment w:val="center"/>
              <w:rPr>
                <w:rFonts w:hint="default" w:ascii="Times New Roman" w:hAnsi="Times New Roman" w:eastAsia="仿宋_GB2312"/>
                <w:sz w:val="24"/>
                <w:szCs w:val="24"/>
                <w:highlight w:val="none"/>
                <w:lang w:val="en-US" w:eastAsia="zh-CN"/>
              </w:rPr>
            </w:pPr>
            <w:r>
              <w:rPr>
                <w:rFonts w:hint="eastAsia" w:ascii="Times New Roman" w:hAnsi="Times New Roman" w:eastAsia="仿宋_GB2312"/>
                <w:sz w:val="24"/>
                <w:szCs w:val="24"/>
                <w:highlight w:val="none"/>
                <w:lang w:val="en-US" w:eastAsia="zh-CN"/>
              </w:rPr>
              <w:t>100</w:t>
            </w:r>
          </w:p>
        </w:tc>
        <w:tc>
          <w:tcPr>
            <w:tcW w:w="1275" w:type="dxa"/>
            <w:noWrap w:val="0"/>
            <w:tcMar>
              <w:top w:w="15" w:type="dxa"/>
              <w:left w:w="15" w:type="dxa"/>
              <w:right w:w="15" w:type="dxa"/>
            </w:tcMar>
            <w:vAlign w:val="center"/>
          </w:tcPr>
          <w:p w14:paraId="709C8AF3">
            <w:pPr>
              <w:keepNext w:val="0"/>
              <w:keepLines w:val="0"/>
              <w:pageBreakBefore w:val="0"/>
              <w:widowControl w:val="0"/>
              <w:kinsoku/>
              <w:wordWrap/>
              <w:overflowPunct/>
              <w:topLinePunct w:val="0"/>
              <w:bidi w:val="0"/>
              <w:spacing w:line="360" w:lineRule="exact"/>
              <w:ind w:firstLine="0" w:firstLineChars="0"/>
              <w:jc w:val="center"/>
              <w:textAlignment w:val="center"/>
              <w:rPr>
                <w:rFonts w:hint="default" w:ascii="Times New Roman" w:hAnsi="Times New Roman" w:eastAsia="仿宋_GB2312"/>
                <w:sz w:val="24"/>
                <w:szCs w:val="24"/>
                <w:highlight w:val="none"/>
                <w:lang w:val="en-US" w:eastAsia="zh-CN"/>
              </w:rPr>
            </w:pPr>
            <w:r>
              <w:rPr>
                <w:rFonts w:hint="eastAsia" w:ascii="Times New Roman" w:hAnsi="Times New Roman" w:eastAsia="仿宋_GB2312"/>
                <w:sz w:val="24"/>
                <w:szCs w:val="24"/>
                <w:highlight w:val="none"/>
                <w:lang w:val="en-US" w:eastAsia="zh-CN"/>
              </w:rPr>
              <w:t>100</w:t>
            </w:r>
          </w:p>
        </w:tc>
        <w:tc>
          <w:tcPr>
            <w:tcW w:w="945" w:type="dxa"/>
            <w:noWrap w:val="0"/>
            <w:tcMar>
              <w:top w:w="15" w:type="dxa"/>
              <w:left w:w="15" w:type="dxa"/>
              <w:right w:w="15" w:type="dxa"/>
            </w:tcMar>
            <w:vAlign w:val="center"/>
          </w:tcPr>
          <w:p w14:paraId="298101F3">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参考性</w:t>
            </w:r>
          </w:p>
        </w:tc>
        <w:tc>
          <w:tcPr>
            <w:tcW w:w="2373" w:type="dxa"/>
            <w:noWrap w:val="0"/>
            <w:tcMar>
              <w:top w:w="15" w:type="dxa"/>
              <w:left w:w="15" w:type="dxa"/>
              <w:right w:w="15" w:type="dxa"/>
            </w:tcMar>
            <w:vAlign w:val="center"/>
          </w:tcPr>
          <w:p w14:paraId="71182AA2">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yellow"/>
              </w:rPr>
            </w:pPr>
            <w:r>
              <w:rPr>
                <w:rFonts w:hint="eastAsia" w:ascii="Times New Roman" w:hAnsi="Times New Roman" w:eastAsia="仿宋_GB2312"/>
                <w:sz w:val="24"/>
                <w:szCs w:val="24"/>
                <w:highlight w:val="none"/>
                <w:lang w:eastAsia="zh-CN"/>
              </w:rPr>
              <w:t>柳江区</w:t>
            </w:r>
            <w:r>
              <w:rPr>
                <w:rFonts w:ascii="Times New Roman" w:hAnsi="Times New Roman" w:eastAsia="仿宋_GB2312"/>
                <w:sz w:val="24"/>
                <w:szCs w:val="24"/>
                <w:highlight w:val="none"/>
              </w:rPr>
              <w:t>住建局</w:t>
            </w:r>
          </w:p>
        </w:tc>
      </w:tr>
      <w:tr w14:paraId="56DA9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57" w:type="dxa"/>
            <w:vMerge w:val="continue"/>
            <w:noWrap w:val="0"/>
            <w:tcMar>
              <w:top w:w="15" w:type="dxa"/>
              <w:left w:w="15" w:type="dxa"/>
              <w:right w:w="15" w:type="dxa"/>
            </w:tcMar>
            <w:vAlign w:val="center"/>
          </w:tcPr>
          <w:p w14:paraId="580A98E5">
            <w:pPr>
              <w:keepNext w:val="0"/>
              <w:keepLines w:val="0"/>
              <w:pageBreakBefore w:val="0"/>
              <w:widowControl w:val="0"/>
              <w:kinsoku/>
              <w:wordWrap/>
              <w:overflowPunct/>
              <w:topLinePunct w:val="0"/>
              <w:bidi w:val="0"/>
              <w:spacing w:line="360" w:lineRule="exact"/>
              <w:ind w:firstLine="0" w:firstLineChars="0"/>
              <w:jc w:val="center"/>
              <w:rPr>
                <w:rFonts w:ascii="Times New Roman" w:hAnsi="Times New Roman" w:eastAsia="仿宋_GB2312"/>
                <w:sz w:val="24"/>
                <w:szCs w:val="24"/>
                <w:highlight w:val="yellow"/>
              </w:rPr>
            </w:pPr>
          </w:p>
        </w:tc>
        <w:tc>
          <w:tcPr>
            <w:tcW w:w="780" w:type="dxa"/>
            <w:vMerge w:val="continue"/>
            <w:noWrap w:val="0"/>
            <w:tcMar>
              <w:top w:w="15" w:type="dxa"/>
              <w:left w:w="15" w:type="dxa"/>
              <w:right w:w="15" w:type="dxa"/>
            </w:tcMar>
            <w:vAlign w:val="center"/>
          </w:tcPr>
          <w:p w14:paraId="1A721350">
            <w:pPr>
              <w:keepNext w:val="0"/>
              <w:keepLines w:val="0"/>
              <w:pageBreakBefore w:val="0"/>
              <w:widowControl w:val="0"/>
              <w:kinsoku/>
              <w:wordWrap/>
              <w:overflowPunct/>
              <w:topLinePunct w:val="0"/>
              <w:bidi w:val="0"/>
              <w:spacing w:line="360" w:lineRule="exact"/>
              <w:ind w:firstLine="0" w:firstLineChars="0"/>
              <w:jc w:val="center"/>
              <w:rPr>
                <w:rFonts w:ascii="Times New Roman" w:hAnsi="Times New Roman" w:eastAsia="仿宋_GB2312"/>
                <w:sz w:val="24"/>
                <w:szCs w:val="24"/>
                <w:highlight w:val="yellow"/>
              </w:rPr>
            </w:pPr>
          </w:p>
        </w:tc>
        <w:tc>
          <w:tcPr>
            <w:tcW w:w="630" w:type="dxa"/>
            <w:noWrap w:val="0"/>
            <w:tcMar>
              <w:top w:w="15" w:type="dxa"/>
              <w:left w:w="15" w:type="dxa"/>
              <w:right w:w="15" w:type="dxa"/>
            </w:tcMar>
            <w:vAlign w:val="center"/>
          </w:tcPr>
          <w:p w14:paraId="7842D064">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29</w:t>
            </w:r>
          </w:p>
        </w:tc>
        <w:tc>
          <w:tcPr>
            <w:tcW w:w="2702" w:type="dxa"/>
            <w:noWrap w:val="0"/>
            <w:tcMar>
              <w:top w:w="15" w:type="dxa"/>
              <w:left w:w="15" w:type="dxa"/>
              <w:right w:w="15" w:type="dxa"/>
            </w:tcMar>
            <w:vAlign w:val="center"/>
          </w:tcPr>
          <w:p w14:paraId="1D0F46C1">
            <w:pPr>
              <w:keepNext w:val="0"/>
              <w:keepLines w:val="0"/>
              <w:pageBreakBefore w:val="0"/>
              <w:widowControl w:val="0"/>
              <w:kinsoku/>
              <w:wordWrap/>
              <w:overflowPunct/>
              <w:topLinePunct w:val="0"/>
              <w:bidi w:val="0"/>
              <w:spacing w:line="360" w:lineRule="exact"/>
              <w:ind w:firstLine="0" w:firstLineChars="0"/>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农村无害化卫生厕所普及率</w:t>
            </w:r>
          </w:p>
        </w:tc>
        <w:tc>
          <w:tcPr>
            <w:tcW w:w="630" w:type="dxa"/>
            <w:noWrap w:val="0"/>
            <w:tcMar>
              <w:top w:w="15" w:type="dxa"/>
              <w:left w:w="15" w:type="dxa"/>
              <w:right w:w="15" w:type="dxa"/>
            </w:tcMar>
            <w:vAlign w:val="center"/>
          </w:tcPr>
          <w:p w14:paraId="22E4B926">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w:t>
            </w:r>
          </w:p>
        </w:tc>
        <w:tc>
          <w:tcPr>
            <w:tcW w:w="1245" w:type="dxa"/>
            <w:noWrap w:val="0"/>
            <w:tcMar>
              <w:top w:w="15" w:type="dxa"/>
              <w:left w:w="15" w:type="dxa"/>
              <w:right w:w="15" w:type="dxa"/>
            </w:tcMar>
            <w:vAlign w:val="center"/>
          </w:tcPr>
          <w:p w14:paraId="382D06FE">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完成上级规定的目标任务</w:t>
            </w:r>
          </w:p>
        </w:tc>
        <w:tc>
          <w:tcPr>
            <w:tcW w:w="1335" w:type="dxa"/>
            <w:noWrap w:val="0"/>
            <w:tcMar>
              <w:top w:w="15" w:type="dxa"/>
              <w:left w:w="15" w:type="dxa"/>
              <w:right w:w="15" w:type="dxa"/>
            </w:tcMar>
            <w:vAlign w:val="center"/>
          </w:tcPr>
          <w:p w14:paraId="45AF534C">
            <w:pPr>
              <w:keepNext w:val="0"/>
              <w:keepLines w:val="0"/>
              <w:pageBreakBefore w:val="0"/>
              <w:widowControl w:val="0"/>
              <w:kinsoku/>
              <w:wordWrap/>
              <w:overflowPunct/>
              <w:topLinePunct w:val="0"/>
              <w:bidi w:val="0"/>
              <w:spacing w:line="360" w:lineRule="exact"/>
              <w:ind w:firstLine="0" w:firstLineChars="0"/>
              <w:jc w:val="center"/>
              <w:rPr>
                <w:rFonts w:hint="default" w:ascii="Times New Roman" w:hAnsi="Times New Roman" w:eastAsia="仿宋_GB2312"/>
                <w:sz w:val="24"/>
                <w:szCs w:val="24"/>
                <w:highlight w:val="none"/>
                <w:lang w:val="en-US" w:eastAsia="zh-CN"/>
              </w:rPr>
            </w:pPr>
            <w:r>
              <w:rPr>
                <w:rFonts w:ascii="Times New Roman" w:hAnsi="Times New Roman" w:eastAsia="仿宋_GB2312"/>
                <w:sz w:val="24"/>
                <w:szCs w:val="24"/>
                <w:highlight w:val="none"/>
              </w:rPr>
              <w:t>完成上级规定的目标任务</w:t>
            </w:r>
          </w:p>
        </w:tc>
        <w:tc>
          <w:tcPr>
            <w:tcW w:w="660" w:type="dxa"/>
            <w:noWrap w:val="0"/>
            <w:tcMar>
              <w:top w:w="15" w:type="dxa"/>
              <w:left w:w="15" w:type="dxa"/>
              <w:right w:w="15" w:type="dxa"/>
            </w:tcMar>
            <w:vAlign w:val="center"/>
          </w:tcPr>
          <w:p w14:paraId="6FECBED7">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是</w:t>
            </w:r>
          </w:p>
        </w:tc>
        <w:tc>
          <w:tcPr>
            <w:tcW w:w="1230" w:type="dxa"/>
            <w:noWrap w:val="0"/>
            <w:tcMar>
              <w:top w:w="15" w:type="dxa"/>
              <w:left w:w="15" w:type="dxa"/>
              <w:right w:w="15" w:type="dxa"/>
            </w:tcMar>
            <w:vAlign w:val="center"/>
          </w:tcPr>
          <w:p w14:paraId="6075D828">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完成上级规定的目标任务</w:t>
            </w:r>
          </w:p>
        </w:tc>
        <w:tc>
          <w:tcPr>
            <w:tcW w:w="1275" w:type="dxa"/>
            <w:noWrap w:val="0"/>
            <w:tcMar>
              <w:top w:w="15" w:type="dxa"/>
              <w:left w:w="15" w:type="dxa"/>
              <w:right w:w="15" w:type="dxa"/>
            </w:tcMar>
            <w:vAlign w:val="center"/>
          </w:tcPr>
          <w:p w14:paraId="62C008AE">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完成上级规定的目标任务</w:t>
            </w:r>
          </w:p>
        </w:tc>
        <w:tc>
          <w:tcPr>
            <w:tcW w:w="945" w:type="dxa"/>
            <w:noWrap w:val="0"/>
            <w:tcMar>
              <w:top w:w="15" w:type="dxa"/>
              <w:left w:w="15" w:type="dxa"/>
              <w:right w:w="15" w:type="dxa"/>
            </w:tcMar>
            <w:vAlign w:val="center"/>
          </w:tcPr>
          <w:p w14:paraId="002E2483">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约束性</w:t>
            </w:r>
          </w:p>
        </w:tc>
        <w:tc>
          <w:tcPr>
            <w:tcW w:w="2373" w:type="dxa"/>
            <w:noWrap w:val="0"/>
            <w:tcMar>
              <w:top w:w="15" w:type="dxa"/>
              <w:left w:w="15" w:type="dxa"/>
              <w:right w:w="15" w:type="dxa"/>
            </w:tcMar>
            <w:vAlign w:val="center"/>
          </w:tcPr>
          <w:p w14:paraId="5FEBC07D">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hint="eastAsia" w:ascii="Times New Roman" w:hAnsi="Times New Roman" w:eastAsia="仿宋_GB2312"/>
                <w:sz w:val="24"/>
                <w:szCs w:val="24"/>
                <w:highlight w:val="none"/>
                <w:lang w:eastAsia="zh-CN"/>
              </w:rPr>
              <w:t>柳江区</w:t>
            </w:r>
            <w:r>
              <w:rPr>
                <w:rFonts w:ascii="Times New Roman" w:hAnsi="Times New Roman" w:eastAsia="仿宋_GB2312"/>
                <w:sz w:val="24"/>
                <w:szCs w:val="24"/>
                <w:highlight w:val="none"/>
              </w:rPr>
              <w:t>农业农村局</w:t>
            </w:r>
          </w:p>
        </w:tc>
      </w:tr>
      <w:tr w14:paraId="2BE4E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57" w:type="dxa"/>
            <w:vMerge w:val="continue"/>
            <w:noWrap w:val="0"/>
            <w:tcMar>
              <w:top w:w="15" w:type="dxa"/>
              <w:left w:w="15" w:type="dxa"/>
              <w:right w:w="15" w:type="dxa"/>
            </w:tcMar>
            <w:vAlign w:val="center"/>
          </w:tcPr>
          <w:p w14:paraId="05C960C7">
            <w:pPr>
              <w:keepNext w:val="0"/>
              <w:keepLines w:val="0"/>
              <w:pageBreakBefore w:val="0"/>
              <w:widowControl w:val="0"/>
              <w:kinsoku/>
              <w:wordWrap/>
              <w:overflowPunct/>
              <w:topLinePunct w:val="0"/>
              <w:bidi w:val="0"/>
              <w:spacing w:line="360" w:lineRule="exact"/>
              <w:ind w:firstLine="0" w:firstLineChars="0"/>
              <w:jc w:val="center"/>
              <w:rPr>
                <w:rFonts w:ascii="Times New Roman" w:hAnsi="Times New Roman" w:eastAsia="仿宋_GB2312"/>
                <w:sz w:val="24"/>
                <w:szCs w:val="24"/>
                <w:highlight w:val="yellow"/>
              </w:rPr>
            </w:pPr>
          </w:p>
        </w:tc>
        <w:tc>
          <w:tcPr>
            <w:tcW w:w="780" w:type="dxa"/>
            <w:vMerge w:val="restart"/>
            <w:noWrap w:val="0"/>
            <w:tcMar>
              <w:top w:w="15" w:type="dxa"/>
              <w:left w:w="15" w:type="dxa"/>
              <w:right w:w="15" w:type="dxa"/>
            </w:tcMar>
            <w:vAlign w:val="center"/>
          </w:tcPr>
          <w:p w14:paraId="566FDEA9">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 xml:space="preserve">（九） </w:t>
            </w:r>
            <w:r>
              <w:rPr>
                <w:rFonts w:ascii="Times New Roman" w:hAnsi="Times New Roman" w:eastAsia="仿宋_GB2312"/>
                <w:sz w:val="24"/>
                <w:szCs w:val="24"/>
                <w:highlight w:val="none"/>
              </w:rPr>
              <w:br w:type="textWrapping"/>
            </w:r>
            <w:r>
              <w:rPr>
                <w:rFonts w:ascii="Times New Roman" w:hAnsi="Times New Roman" w:eastAsia="仿宋_GB2312"/>
                <w:sz w:val="24"/>
                <w:szCs w:val="24"/>
                <w:highlight w:val="none"/>
              </w:rPr>
              <w:t>生活方式绿色</w:t>
            </w:r>
            <w:r>
              <w:rPr>
                <w:rFonts w:ascii="Times New Roman" w:hAnsi="Times New Roman" w:eastAsia="仿宋_GB2312"/>
                <w:sz w:val="24"/>
                <w:szCs w:val="24"/>
                <w:highlight w:val="none"/>
              </w:rPr>
              <w:br w:type="textWrapping"/>
            </w:r>
            <w:r>
              <w:rPr>
                <w:rFonts w:ascii="Times New Roman" w:hAnsi="Times New Roman" w:eastAsia="仿宋_GB2312"/>
                <w:sz w:val="24"/>
                <w:szCs w:val="24"/>
                <w:highlight w:val="none"/>
              </w:rPr>
              <w:t>化</w:t>
            </w:r>
          </w:p>
        </w:tc>
        <w:tc>
          <w:tcPr>
            <w:tcW w:w="630" w:type="dxa"/>
            <w:noWrap w:val="0"/>
            <w:tcMar>
              <w:top w:w="15" w:type="dxa"/>
              <w:left w:w="15" w:type="dxa"/>
              <w:right w:w="15" w:type="dxa"/>
            </w:tcMar>
            <w:vAlign w:val="center"/>
          </w:tcPr>
          <w:p w14:paraId="454967C4">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30</w:t>
            </w:r>
          </w:p>
        </w:tc>
        <w:tc>
          <w:tcPr>
            <w:tcW w:w="2702" w:type="dxa"/>
            <w:noWrap w:val="0"/>
            <w:tcMar>
              <w:top w:w="15" w:type="dxa"/>
              <w:left w:w="15" w:type="dxa"/>
              <w:right w:w="15" w:type="dxa"/>
            </w:tcMar>
            <w:vAlign w:val="center"/>
          </w:tcPr>
          <w:p w14:paraId="6058ECD0">
            <w:pPr>
              <w:keepNext w:val="0"/>
              <w:keepLines w:val="0"/>
              <w:pageBreakBefore w:val="0"/>
              <w:widowControl w:val="0"/>
              <w:kinsoku/>
              <w:wordWrap/>
              <w:overflowPunct/>
              <w:topLinePunct w:val="0"/>
              <w:bidi w:val="0"/>
              <w:spacing w:line="360" w:lineRule="exact"/>
              <w:ind w:firstLine="0" w:firstLineChars="0"/>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城镇新建绿色建筑比例</w:t>
            </w:r>
          </w:p>
        </w:tc>
        <w:tc>
          <w:tcPr>
            <w:tcW w:w="630" w:type="dxa"/>
            <w:noWrap w:val="0"/>
            <w:tcMar>
              <w:top w:w="15" w:type="dxa"/>
              <w:left w:w="15" w:type="dxa"/>
              <w:right w:w="15" w:type="dxa"/>
            </w:tcMar>
            <w:vAlign w:val="center"/>
          </w:tcPr>
          <w:p w14:paraId="001314E1">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w:t>
            </w:r>
          </w:p>
        </w:tc>
        <w:tc>
          <w:tcPr>
            <w:tcW w:w="1245" w:type="dxa"/>
            <w:noWrap w:val="0"/>
            <w:tcMar>
              <w:top w:w="15" w:type="dxa"/>
              <w:left w:w="15" w:type="dxa"/>
              <w:right w:w="15" w:type="dxa"/>
            </w:tcMar>
            <w:vAlign w:val="center"/>
          </w:tcPr>
          <w:p w14:paraId="6F7C593D">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≥50</w:t>
            </w:r>
          </w:p>
        </w:tc>
        <w:tc>
          <w:tcPr>
            <w:tcW w:w="1335" w:type="dxa"/>
            <w:noWrap w:val="0"/>
            <w:tcMar>
              <w:top w:w="15" w:type="dxa"/>
              <w:left w:w="15" w:type="dxa"/>
              <w:right w:w="15" w:type="dxa"/>
            </w:tcMar>
            <w:vAlign w:val="center"/>
          </w:tcPr>
          <w:p w14:paraId="1EBFD220">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100</w:t>
            </w:r>
          </w:p>
        </w:tc>
        <w:tc>
          <w:tcPr>
            <w:tcW w:w="660" w:type="dxa"/>
            <w:noWrap w:val="0"/>
            <w:tcMar>
              <w:top w:w="15" w:type="dxa"/>
              <w:left w:w="15" w:type="dxa"/>
              <w:right w:w="15" w:type="dxa"/>
            </w:tcMar>
            <w:vAlign w:val="center"/>
          </w:tcPr>
          <w:p w14:paraId="46114D70">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是</w:t>
            </w:r>
          </w:p>
        </w:tc>
        <w:tc>
          <w:tcPr>
            <w:tcW w:w="1230" w:type="dxa"/>
            <w:noWrap w:val="0"/>
            <w:tcMar>
              <w:top w:w="15" w:type="dxa"/>
              <w:left w:w="15" w:type="dxa"/>
              <w:right w:w="15" w:type="dxa"/>
            </w:tcMar>
            <w:vAlign w:val="center"/>
          </w:tcPr>
          <w:p w14:paraId="5877F4A9">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100</w:t>
            </w:r>
          </w:p>
        </w:tc>
        <w:tc>
          <w:tcPr>
            <w:tcW w:w="1275" w:type="dxa"/>
            <w:noWrap w:val="0"/>
            <w:tcMar>
              <w:top w:w="15" w:type="dxa"/>
              <w:left w:w="15" w:type="dxa"/>
              <w:right w:w="15" w:type="dxa"/>
            </w:tcMar>
            <w:vAlign w:val="center"/>
          </w:tcPr>
          <w:p w14:paraId="124A1162">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100</w:t>
            </w:r>
          </w:p>
        </w:tc>
        <w:tc>
          <w:tcPr>
            <w:tcW w:w="945" w:type="dxa"/>
            <w:noWrap w:val="0"/>
            <w:tcMar>
              <w:top w:w="15" w:type="dxa"/>
              <w:left w:w="15" w:type="dxa"/>
              <w:right w:w="15" w:type="dxa"/>
            </w:tcMar>
            <w:vAlign w:val="center"/>
          </w:tcPr>
          <w:p w14:paraId="6CEF560B">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参考性</w:t>
            </w:r>
          </w:p>
        </w:tc>
        <w:tc>
          <w:tcPr>
            <w:tcW w:w="2373" w:type="dxa"/>
            <w:noWrap w:val="0"/>
            <w:tcMar>
              <w:top w:w="15" w:type="dxa"/>
              <w:left w:w="15" w:type="dxa"/>
              <w:right w:w="15" w:type="dxa"/>
            </w:tcMar>
            <w:vAlign w:val="center"/>
          </w:tcPr>
          <w:p w14:paraId="781CA66F">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yellow"/>
              </w:rPr>
            </w:pPr>
            <w:r>
              <w:rPr>
                <w:rFonts w:hint="eastAsia" w:ascii="Times New Roman" w:hAnsi="Times New Roman" w:eastAsia="仿宋_GB2312"/>
                <w:sz w:val="24"/>
                <w:szCs w:val="24"/>
                <w:highlight w:val="none"/>
                <w:lang w:eastAsia="zh-CN"/>
              </w:rPr>
              <w:t>柳江区</w:t>
            </w:r>
            <w:r>
              <w:rPr>
                <w:rFonts w:ascii="Times New Roman" w:hAnsi="Times New Roman" w:eastAsia="仿宋_GB2312"/>
                <w:sz w:val="24"/>
                <w:szCs w:val="24"/>
                <w:highlight w:val="none"/>
              </w:rPr>
              <w:t>住建局</w:t>
            </w:r>
          </w:p>
        </w:tc>
      </w:tr>
      <w:tr w14:paraId="5962C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57" w:type="dxa"/>
            <w:vMerge w:val="continue"/>
            <w:noWrap w:val="0"/>
            <w:tcMar>
              <w:top w:w="15" w:type="dxa"/>
              <w:left w:w="15" w:type="dxa"/>
              <w:right w:w="15" w:type="dxa"/>
            </w:tcMar>
            <w:vAlign w:val="center"/>
          </w:tcPr>
          <w:p w14:paraId="3FDCBC74">
            <w:pPr>
              <w:keepNext w:val="0"/>
              <w:keepLines w:val="0"/>
              <w:pageBreakBefore w:val="0"/>
              <w:widowControl w:val="0"/>
              <w:kinsoku/>
              <w:wordWrap/>
              <w:overflowPunct/>
              <w:topLinePunct w:val="0"/>
              <w:bidi w:val="0"/>
              <w:spacing w:line="360" w:lineRule="exact"/>
              <w:ind w:firstLine="0" w:firstLineChars="0"/>
              <w:jc w:val="center"/>
              <w:rPr>
                <w:rFonts w:ascii="Times New Roman" w:hAnsi="Times New Roman" w:eastAsia="仿宋_GB2312"/>
                <w:sz w:val="24"/>
                <w:szCs w:val="24"/>
                <w:highlight w:val="yellow"/>
              </w:rPr>
            </w:pPr>
          </w:p>
        </w:tc>
        <w:tc>
          <w:tcPr>
            <w:tcW w:w="780" w:type="dxa"/>
            <w:vMerge w:val="continue"/>
            <w:noWrap w:val="0"/>
            <w:tcMar>
              <w:top w:w="15" w:type="dxa"/>
              <w:left w:w="15" w:type="dxa"/>
              <w:right w:w="15" w:type="dxa"/>
            </w:tcMar>
            <w:vAlign w:val="center"/>
          </w:tcPr>
          <w:p w14:paraId="77FC7FDC">
            <w:pPr>
              <w:keepNext w:val="0"/>
              <w:keepLines w:val="0"/>
              <w:pageBreakBefore w:val="0"/>
              <w:widowControl w:val="0"/>
              <w:kinsoku/>
              <w:wordWrap/>
              <w:overflowPunct/>
              <w:topLinePunct w:val="0"/>
              <w:bidi w:val="0"/>
              <w:spacing w:line="360" w:lineRule="exact"/>
              <w:ind w:firstLine="0" w:firstLineChars="0"/>
              <w:jc w:val="center"/>
              <w:rPr>
                <w:rFonts w:ascii="Times New Roman" w:hAnsi="Times New Roman" w:eastAsia="仿宋_GB2312"/>
                <w:sz w:val="24"/>
                <w:szCs w:val="24"/>
                <w:highlight w:val="none"/>
              </w:rPr>
            </w:pPr>
          </w:p>
        </w:tc>
        <w:tc>
          <w:tcPr>
            <w:tcW w:w="630" w:type="dxa"/>
            <w:noWrap w:val="0"/>
            <w:tcMar>
              <w:top w:w="15" w:type="dxa"/>
              <w:left w:w="15" w:type="dxa"/>
              <w:right w:w="15" w:type="dxa"/>
            </w:tcMar>
            <w:vAlign w:val="center"/>
          </w:tcPr>
          <w:p w14:paraId="0C455074">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31</w:t>
            </w:r>
          </w:p>
        </w:tc>
        <w:tc>
          <w:tcPr>
            <w:tcW w:w="2702" w:type="dxa"/>
            <w:noWrap w:val="0"/>
            <w:tcMar>
              <w:top w:w="15" w:type="dxa"/>
              <w:left w:w="15" w:type="dxa"/>
              <w:right w:w="15" w:type="dxa"/>
            </w:tcMar>
            <w:vAlign w:val="center"/>
          </w:tcPr>
          <w:p w14:paraId="00D1B5D1">
            <w:pPr>
              <w:keepNext w:val="0"/>
              <w:keepLines w:val="0"/>
              <w:pageBreakBefore w:val="0"/>
              <w:widowControl w:val="0"/>
              <w:kinsoku/>
              <w:wordWrap/>
              <w:overflowPunct/>
              <w:topLinePunct w:val="0"/>
              <w:bidi w:val="0"/>
              <w:spacing w:line="360" w:lineRule="exact"/>
              <w:ind w:firstLine="0" w:firstLineChars="0"/>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城镇生活垃圾分类减量化行动</w:t>
            </w:r>
          </w:p>
        </w:tc>
        <w:tc>
          <w:tcPr>
            <w:tcW w:w="630" w:type="dxa"/>
            <w:noWrap w:val="0"/>
            <w:tcMar>
              <w:top w:w="15" w:type="dxa"/>
              <w:left w:w="15" w:type="dxa"/>
              <w:right w:w="15" w:type="dxa"/>
            </w:tcMar>
            <w:vAlign w:val="center"/>
          </w:tcPr>
          <w:p w14:paraId="7BDD3439">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w:t>
            </w:r>
          </w:p>
        </w:tc>
        <w:tc>
          <w:tcPr>
            <w:tcW w:w="1245" w:type="dxa"/>
            <w:noWrap w:val="0"/>
            <w:tcMar>
              <w:top w:w="15" w:type="dxa"/>
              <w:left w:w="15" w:type="dxa"/>
              <w:right w:w="15" w:type="dxa"/>
            </w:tcMar>
            <w:vAlign w:val="center"/>
          </w:tcPr>
          <w:p w14:paraId="098F2C05">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实施</w:t>
            </w:r>
          </w:p>
        </w:tc>
        <w:tc>
          <w:tcPr>
            <w:tcW w:w="1335" w:type="dxa"/>
            <w:noWrap w:val="0"/>
            <w:tcMar>
              <w:top w:w="15" w:type="dxa"/>
              <w:left w:w="15" w:type="dxa"/>
              <w:right w:w="15" w:type="dxa"/>
            </w:tcMar>
            <w:vAlign w:val="center"/>
          </w:tcPr>
          <w:p w14:paraId="7BFEE096">
            <w:pPr>
              <w:keepNext w:val="0"/>
              <w:keepLines w:val="0"/>
              <w:pageBreakBefore w:val="0"/>
              <w:widowControl w:val="0"/>
              <w:kinsoku/>
              <w:wordWrap/>
              <w:overflowPunct/>
              <w:topLinePunct w:val="0"/>
              <w:bidi w:val="0"/>
              <w:spacing w:line="360" w:lineRule="exact"/>
              <w:ind w:firstLine="0" w:firstLineChars="0"/>
              <w:jc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实施</w:t>
            </w:r>
          </w:p>
        </w:tc>
        <w:tc>
          <w:tcPr>
            <w:tcW w:w="660" w:type="dxa"/>
            <w:noWrap w:val="0"/>
            <w:tcMar>
              <w:top w:w="15" w:type="dxa"/>
              <w:left w:w="15" w:type="dxa"/>
              <w:right w:w="15" w:type="dxa"/>
            </w:tcMar>
            <w:vAlign w:val="center"/>
          </w:tcPr>
          <w:p w14:paraId="52A0F3B1">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是</w:t>
            </w:r>
          </w:p>
        </w:tc>
        <w:tc>
          <w:tcPr>
            <w:tcW w:w="1230" w:type="dxa"/>
            <w:noWrap w:val="0"/>
            <w:tcMar>
              <w:top w:w="15" w:type="dxa"/>
              <w:left w:w="15" w:type="dxa"/>
              <w:right w:w="15" w:type="dxa"/>
            </w:tcMar>
            <w:vAlign w:val="center"/>
          </w:tcPr>
          <w:p w14:paraId="6E83CD66">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实施</w:t>
            </w:r>
          </w:p>
        </w:tc>
        <w:tc>
          <w:tcPr>
            <w:tcW w:w="1275" w:type="dxa"/>
            <w:noWrap w:val="0"/>
            <w:tcMar>
              <w:top w:w="15" w:type="dxa"/>
              <w:left w:w="15" w:type="dxa"/>
              <w:right w:w="15" w:type="dxa"/>
            </w:tcMar>
            <w:vAlign w:val="center"/>
          </w:tcPr>
          <w:p w14:paraId="57EB7033">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实施</w:t>
            </w:r>
          </w:p>
        </w:tc>
        <w:tc>
          <w:tcPr>
            <w:tcW w:w="945" w:type="dxa"/>
            <w:noWrap w:val="0"/>
            <w:tcMar>
              <w:top w:w="15" w:type="dxa"/>
              <w:left w:w="15" w:type="dxa"/>
              <w:right w:w="15" w:type="dxa"/>
            </w:tcMar>
            <w:vAlign w:val="center"/>
          </w:tcPr>
          <w:p w14:paraId="1336469E">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参考性</w:t>
            </w:r>
          </w:p>
        </w:tc>
        <w:tc>
          <w:tcPr>
            <w:tcW w:w="2373" w:type="dxa"/>
            <w:noWrap w:val="0"/>
            <w:tcMar>
              <w:top w:w="15" w:type="dxa"/>
              <w:left w:w="15" w:type="dxa"/>
              <w:right w:w="15" w:type="dxa"/>
            </w:tcMar>
            <w:vAlign w:val="center"/>
          </w:tcPr>
          <w:p w14:paraId="2673BC80">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hint="eastAsia" w:ascii="Times New Roman" w:hAnsi="Times New Roman" w:eastAsia="仿宋_GB2312"/>
                <w:sz w:val="24"/>
                <w:szCs w:val="24"/>
                <w:highlight w:val="none"/>
                <w:lang w:eastAsia="zh-CN"/>
              </w:rPr>
              <w:t>柳江区</w:t>
            </w:r>
            <w:r>
              <w:rPr>
                <w:rFonts w:ascii="Times New Roman" w:hAnsi="Times New Roman" w:eastAsia="仿宋_GB2312"/>
                <w:bCs/>
                <w:sz w:val="24"/>
                <w:szCs w:val="24"/>
                <w:highlight w:val="none"/>
              </w:rPr>
              <w:t>城管执法局</w:t>
            </w:r>
          </w:p>
        </w:tc>
      </w:tr>
      <w:tr w14:paraId="7FB3F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57" w:type="dxa"/>
            <w:vMerge w:val="continue"/>
            <w:noWrap w:val="0"/>
            <w:tcMar>
              <w:top w:w="15" w:type="dxa"/>
              <w:left w:w="15" w:type="dxa"/>
              <w:right w:w="15" w:type="dxa"/>
            </w:tcMar>
            <w:vAlign w:val="center"/>
          </w:tcPr>
          <w:p w14:paraId="147D7A55">
            <w:pPr>
              <w:keepNext w:val="0"/>
              <w:keepLines w:val="0"/>
              <w:pageBreakBefore w:val="0"/>
              <w:widowControl w:val="0"/>
              <w:kinsoku/>
              <w:wordWrap/>
              <w:overflowPunct/>
              <w:topLinePunct w:val="0"/>
              <w:bidi w:val="0"/>
              <w:spacing w:line="360" w:lineRule="exact"/>
              <w:ind w:firstLine="0" w:firstLineChars="0"/>
              <w:jc w:val="center"/>
              <w:rPr>
                <w:rFonts w:ascii="Times New Roman" w:hAnsi="Times New Roman" w:eastAsia="仿宋_GB2312"/>
                <w:sz w:val="24"/>
                <w:szCs w:val="24"/>
                <w:highlight w:val="yellow"/>
              </w:rPr>
            </w:pPr>
          </w:p>
        </w:tc>
        <w:tc>
          <w:tcPr>
            <w:tcW w:w="780" w:type="dxa"/>
            <w:vMerge w:val="continue"/>
            <w:noWrap w:val="0"/>
            <w:tcMar>
              <w:top w:w="15" w:type="dxa"/>
              <w:left w:w="15" w:type="dxa"/>
              <w:right w:w="15" w:type="dxa"/>
            </w:tcMar>
            <w:vAlign w:val="center"/>
          </w:tcPr>
          <w:p w14:paraId="379010F1">
            <w:pPr>
              <w:keepNext w:val="0"/>
              <w:keepLines w:val="0"/>
              <w:pageBreakBefore w:val="0"/>
              <w:widowControl w:val="0"/>
              <w:kinsoku/>
              <w:wordWrap/>
              <w:overflowPunct/>
              <w:topLinePunct w:val="0"/>
              <w:bidi w:val="0"/>
              <w:spacing w:line="360" w:lineRule="exact"/>
              <w:ind w:firstLine="0" w:firstLineChars="0"/>
              <w:jc w:val="center"/>
              <w:rPr>
                <w:rFonts w:ascii="Times New Roman" w:hAnsi="Times New Roman" w:eastAsia="仿宋_GB2312"/>
                <w:sz w:val="24"/>
                <w:szCs w:val="24"/>
                <w:highlight w:val="none"/>
              </w:rPr>
            </w:pPr>
          </w:p>
        </w:tc>
        <w:tc>
          <w:tcPr>
            <w:tcW w:w="630" w:type="dxa"/>
            <w:noWrap w:val="0"/>
            <w:tcMar>
              <w:top w:w="15" w:type="dxa"/>
              <w:left w:w="15" w:type="dxa"/>
              <w:right w:w="15" w:type="dxa"/>
            </w:tcMar>
            <w:vAlign w:val="center"/>
          </w:tcPr>
          <w:p w14:paraId="17435C94">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32</w:t>
            </w:r>
          </w:p>
        </w:tc>
        <w:tc>
          <w:tcPr>
            <w:tcW w:w="2702" w:type="dxa"/>
            <w:noWrap w:val="0"/>
            <w:tcMar>
              <w:top w:w="15" w:type="dxa"/>
              <w:left w:w="15" w:type="dxa"/>
              <w:right w:w="15" w:type="dxa"/>
            </w:tcMar>
            <w:vAlign w:val="center"/>
          </w:tcPr>
          <w:p w14:paraId="78C5B99D">
            <w:pPr>
              <w:keepNext w:val="0"/>
              <w:keepLines w:val="0"/>
              <w:pageBreakBefore w:val="0"/>
              <w:widowControl w:val="0"/>
              <w:kinsoku/>
              <w:wordWrap/>
              <w:overflowPunct/>
              <w:topLinePunct w:val="0"/>
              <w:bidi w:val="0"/>
              <w:spacing w:line="360" w:lineRule="exact"/>
              <w:ind w:firstLine="0" w:firstLineChars="0"/>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政府绿色采购比例</w:t>
            </w:r>
          </w:p>
        </w:tc>
        <w:tc>
          <w:tcPr>
            <w:tcW w:w="630" w:type="dxa"/>
            <w:noWrap w:val="0"/>
            <w:tcMar>
              <w:top w:w="15" w:type="dxa"/>
              <w:left w:w="15" w:type="dxa"/>
              <w:right w:w="15" w:type="dxa"/>
            </w:tcMar>
            <w:vAlign w:val="center"/>
          </w:tcPr>
          <w:p w14:paraId="5147A39B">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w:t>
            </w:r>
          </w:p>
        </w:tc>
        <w:tc>
          <w:tcPr>
            <w:tcW w:w="1245" w:type="dxa"/>
            <w:noWrap w:val="0"/>
            <w:tcMar>
              <w:top w:w="15" w:type="dxa"/>
              <w:left w:w="15" w:type="dxa"/>
              <w:right w:w="15" w:type="dxa"/>
            </w:tcMar>
            <w:vAlign w:val="center"/>
          </w:tcPr>
          <w:p w14:paraId="4E500FE8">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≥80</w:t>
            </w:r>
          </w:p>
        </w:tc>
        <w:tc>
          <w:tcPr>
            <w:tcW w:w="1335" w:type="dxa"/>
            <w:noWrap w:val="0"/>
            <w:tcMar>
              <w:top w:w="15" w:type="dxa"/>
              <w:left w:w="15" w:type="dxa"/>
              <w:right w:w="15" w:type="dxa"/>
            </w:tcMar>
            <w:vAlign w:val="center"/>
          </w:tcPr>
          <w:p w14:paraId="0EEA3AB4">
            <w:pPr>
              <w:keepNext w:val="0"/>
              <w:keepLines w:val="0"/>
              <w:pageBreakBefore w:val="0"/>
              <w:widowControl w:val="0"/>
              <w:kinsoku/>
              <w:wordWrap/>
              <w:overflowPunct/>
              <w:topLinePunct w:val="0"/>
              <w:bidi w:val="0"/>
              <w:snapToGrid w:val="0"/>
              <w:spacing w:line="360" w:lineRule="exact"/>
              <w:ind w:firstLine="0" w:firstLineChars="0"/>
              <w:jc w:val="center"/>
              <w:rPr>
                <w:rFonts w:hint="eastAsia" w:ascii="Times New Roman" w:hAnsi="Times New Roman" w:eastAsia="仿宋_GB2312"/>
                <w:sz w:val="24"/>
                <w:szCs w:val="24"/>
                <w:highlight w:val="none"/>
                <w:lang w:val="en-US" w:eastAsia="zh-CN"/>
              </w:rPr>
            </w:pPr>
            <w:r>
              <w:rPr>
                <w:rFonts w:ascii="Times New Roman" w:hAnsi="Times New Roman" w:eastAsia="仿宋_GB2312"/>
                <w:sz w:val="24"/>
                <w:szCs w:val="24"/>
                <w:highlight w:val="none"/>
              </w:rPr>
              <w:t>99.9</w:t>
            </w:r>
            <w:r>
              <w:rPr>
                <w:rFonts w:hint="eastAsia" w:ascii="Times New Roman" w:hAnsi="Times New Roman" w:eastAsia="仿宋_GB2312"/>
                <w:sz w:val="24"/>
                <w:szCs w:val="24"/>
                <w:highlight w:val="none"/>
                <w:lang w:val="en-US" w:eastAsia="zh-CN"/>
              </w:rPr>
              <w:t>7</w:t>
            </w:r>
          </w:p>
        </w:tc>
        <w:tc>
          <w:tcPr>
            <w:tcW w:w="660" w:type="dxa"/>
            <w:noWrap w:val="0"/>
            <w:tcMar>
              <w:top w:w="15" w:type="dxa"/>
              <w:left w:w="15" w:type="dxa"/>
              <w:right w:w="15" w:type="dxa"/>
            </w:tcMar>
            <w:vAlign w:val="center"/>
          </w:tcPr>
          <w:p w14:paraId="77DAD887">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是</w:t>
            </w:r>
          </w:p>
        </w:tc>
        <w:tc>
          <w:tcPr>
            <w:tcW w:w="1230" w:type="dxa"/>
            <w:noWrap w:val="0"/>
            <w:tcMar>
              <w:top w:w="15" w:type="dxa"/>
              <w:left w:w="15" w:type="dxa"/>
              <w:right w:w="15" w:type="dxa"/>
            </w:tcMar>
            <w:vAlign w:val="center"/>
          </w:tcPr>
          <w:p w14:paraId="1B7F9F48">
            <w:pPr>
              <w:keepNext w:val="0"/>
              <w:keepLines w:val="0"/>
              <w:pageBreakBefore w:val="0"/>
              <w:widowControl w:val="0"/>
              <w:kinsoku/>
              <w:wordWrap/>
              <w:overflowPunct/>
              <w:topLinePunct w:val="0"/>
              <w:bidi w:val="0"/>
              <w:spacing w:line="360" w:lineRule="exact"/>
              <w:ind w:firstLine="0" w:firstLineChars="0"/>
              <w:jc w:val="center"/>
              <w:textAlignment w:val="center"/>
              <w:rPr>
                <w:rFonts w:hint="default" w:ascii="Times New Roman" w:hAnsi="Times New Roman" w:eastAsia="仿宋_GB2312"/>
                <w:sz w:val="24"/>
                <w:szCs w:val="24"/>
                <w:highlight w:val="yellow"/>
                <w:lang w:val="en-US" w:eastAsia="zh-CN"/>
              </w:rPr>
            </w:pPr>
            <w:r>
              <w:rPr>
                <w:rFonts w:ascii="Times New Roman" w:hAnsi="Times New Roman" w:eastAsia="仿宋_GB2312"/>
                <w:sz w:val="24"/>
                <w:szCs w:val="24"/>
                <w:highlight w:val="none"/>
              </w:rPr>
              <w:t>≥</w:t>
            </w:r>
            <w:r>
              <w:rPr>
                <w:rFonts w:hint="eastAsia" w:eastAsia="仿宋_GB2312"/>
                <w:sz w:val="24"/>
                <w:szCs w:val="24"/>
                <w:highlight w:val="none"/>
                <w:lang w:val="en-US" w:eastAsia="zh-CN"/>
              </w:rPr>
              <w:t>95</w:t>
            </w:r>
          </w:p>
        </w:tc>
        <w:tc>
          <w:tcPr>
            <w:tcW w:w="1275" w:type="dxa"/>
            <w:noWrap w:val="0"/>
            <w:tcMar>
              <w:top w:w="15" w:type="dxa"/>
              <w:left w:w="15" w:type="dxa"/>
              <w:right w:w="15" w:type="dxa"/>
            </w:tcMar>
            <w:vAlign w:val="center"/>
          </w:tcPr>
          <w:p w14:paraId="7792C4B4">
            <w:pPr>
              <w:keepNext w:val="0"/>
              <w:keepLines w:val="0"/>
              <w:pageBreakBefore w:val="0"/>
              <w:widowControl w:val="0"/>
              <w:kinsoku/>
              <w:wordWrap/>
              <w:overflowPunct/>
              <w:topLinePunct w:val="0"/>
              <w:bidi w:val="0"/>
              <w:spacing w:line="360" w:lineRule="exact"/>
              <w:ind w:firstLine="0" w:firstLineChars="0"/>
              <w:jc w:val="center"/>
              <w:textAlignment w:val="center"/>
              <w:rPr>
                <w:rFonts w:hint="default" w:ascii="Times New Roman" w:hAnsi="Times New Roman" w:eastAsia="仿宋_GB2312"/>
                <w:sz w:val="24"/>
                <w:szCs w:val="24"/>
                <w:highlight w:val="yellow"/>
                <w:lang w:val="en-US" w:eastAsia="zh-CN"/>
              </w:rPr>
            </w:pPr>
            <w:r>
              <w:rPr>
                <w:rFonts w:ascii="Times New Roman" w:hAnsi="Times New Roman" w:eastAsia="仿宋_GB2312"/>
                <w:sz w:val="24"/>
                <w:szCs w:val="24"/>
                <w:highlight w:val="none"/>
              </w:rPr>
              <w:t>≥</w:t>
            </w:r>
            <w:r>
              <w:rPr>
                <w:rFonts w:hint="eastAsia" w:eastAsia="仿宋_GB2312"/>
                <w:sz w:val="24"/>
                <w:szCs w:val="24"/>
                <w:highlight w:val="none"/>
                <w:lang w:val="en-US" w:eastAsia="zh-CN"/>
              </w:rPr>
              <w:t>95</w:t>
            </w:r>
          </w:p>
        </w:tc>
        <w:tc>
          <w:tcPr>
            <w:tcW w:w="945" w:type="dxa"/>
            <w:noWrap w:val="0"/>
            <w:tcMar>
              <w:top w:w="15" w:type="dxa"/>
              <w:left w:w="15" w:type="dxa"/>
              <w:right w:w="15" w:type="dxa"/>
            </w:tcMar>
            <w:vAlign w:val="center"/>
          </w:tcPr>
          <w:p w14:paraId="2AA27630">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约束性</w:t>
            </w:r>
          </w:p>
        </w:tc>
        <w:tc>
          <w:tcPr>
            <w:tcW w:w="2373" w:type="dxa"/>
            <w:noWrap w:val="0"/>
            <w:tcMar>
              <w:top w:w="15" w:type="dxa"/>
              <w:left w:w="15" w:type="dxa"/>
              <w:right w:w="15" w:type="dxa"/>
            </w:tcMar>
            <w:vAlign w:val="center"/>
          </w:tcPr>
          <w:p w14:paraId="04BC5A75">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yellow"/>
              </w:rPr>
            </w:pPr>
            <w:r>
              <w:rPr>
                <w:rFonts w:hint="eastAsia" w:ascii="Times New Roman" w:hAnsi="Times New Roman" w:eastAsia="仿宋_GB2312"/>
                <w:sz w:val="24"/>
                <w:szCs w:val="24"/>
                <w:highlight w:val="none"/>
                <w:lang w:eastAsia="zh-CN"/>
              </w:rPr>
              <w:t>柳江区</w:t>
            </w:r>
            <w:r>
              <w:rPr>
                <w:rFonts w:ascii="Times New Roman" w:hAnsi="Times New Roman" w:eastAsia="仿宋_GB2312"/>
                <w:sz w:val="24"/>
                <w:szCs w:val="24"/>
                <w:highlight w:val="none"/>
              </w:rPr>
              <w:t>财政局</w:t>
            </w:r>
          </w:p>
        </w:tc>
      </w:tr>
      <w:tr w14:paraId="18432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57" w:type="dxa"/>
            <w:vMerge w:val="restart"/>
            <w:noWrap w:val="0"/>
            <w:tcMar>
              <w:top w:w="15" w:type="dxa"/>
              <w:left w:w="15" w:type="dxa"/>
              <w:right w:w="15" w:type="dxa"/>
            </w:tcMar>
            <w:vAlign w:val="center"/>
          </w:tcPr>
          <w:p w14:paraId="050ACA65">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生态文化</w:t>
            </w:r>
          </w:p>
        </w:tc>
        <w:tc>
          <w:tcPr>
            <w:tcW w:w="780" w:type="dxa"/>
            <w:vMerge w:val="restart"/>
            <w:noWrap w:val="0"/>
            <w:tcMar>
              <w:top w:w="15" w:type="dxa"/>
              <w:left w:w="15" w:type="dxa"/>
              <w:right w:w="15" w:type="dxa"/>
            </w:tcMar>
            <w:vAlign w:val="center"/>
          </w:tcPr>
          <w:p w14:paraId="794D58FE">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（十）观念意识普及</w:t>
            </w:r>
          </w:p>
        </w:tc>
        <w:tc>
          <w:tcPr>
            <w:tcW w:w="630" w:type="dxa"/>
            <w:noWrap w:val="0"/>
            <w:tcMar>
              <w:top w:w="15" w:type="dxa"/>
              <w:left w:w="15" w:type="dxa"/>
              <w:right w:w="15" w:type="dxa"/>
            </w:tcMar>
            <w:vAlign w:val="center"/>
          </w:tcPr>
          <w:p w14:paraId="5EAEBA2B">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33</w:t>
            </w:r>
          </w:p>
        </w:tc>
        <w:tc>
          <w:tcPr>
            <w:tcW w:w="2702" w:type="dxa"/>
            <w:noWrap w:val="0"/>
            <w:tcMar>
              <w:top w:w="15" w:type="dxa"/>
              <w:left w:w="15" w:type="dxa"/>
              <w:right w:w="15" w:type="dxa"/>
            </w:tcMar>
            <w:vAlign w:val="center"/>
          </w:tcPr>
          <w:p w14:paraId="02C1D526">
            <w:pPr>
              <w:keepNext w:val="0"/>
              <w:keepLines w:val="0"/>
              <w:pageBreakBefore w:val="0"/>
              <w:widowControl w:val="0"/>
              <w:kinsoku/>
              <w:wordWrap/>
              <w:overflowPunct/>
              <w:topLinePunct w:val="0"/>
              <w:bidi w:val="0"/>
              <w:spacing w:line="360" w:lineRule="exact"/>
              <w:ind w:firstLine="0" w:firstLineChars="0"/>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党政领导干部参加生态文明培训的人数比例</w:t>
            </w:r>
          </w:p>
        </w:tc>
        <w:tc>
          <w:tcPr>
            <w:tcW w:w="630" w:type="dxa"/>
            <w:noWrap w:val="0"/>
            <w:tcMar>
              <w:top w:w="15" w:type="dxa"/>
              <w:left w:w="15" w:type="dxa"/>
              <w:right w:w="15" w:type="dxa"/>
            </w:tcMar>
            <w:vAlign w:val="center"/>
          </w:tcPr>
          <w:p w14:paraId="7E867487">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w:t>
            </w:r>
          </w:p>
        </w:tc>
        <w:tc>
          <w:tcPr>
            <w:tcW w:w="1245" w:type="dxa"/>
            <w:noWrap w:val="0"/>
            <w:tcMar>
              <w:top w:w="15" w:type="dxa"/>
              <w:left w:w="15" w:type="dxa"/>
              <w:right w:w="15" w:type="dxa"/>
            </w:tcMar>
            <w:vAlign w:val="center"/>
          </w:tcPr>
          <w:p w14:paraId="0704D4A1">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100</w:t>
            </w:r>
          </w:p>
        </w:tc>
        <w:tc>
          <w:tcPr>
            <w:tcW w:w="1335" w:type="dxa"/>
            <w:noWrap w:val="0"/>
            <w:tcMar>
              <w:top w:w="15" w:type="dxa"/>
              <w:left w:w="15" w:type="dxa"/>
              <w:right w:w="15" w:type="dxa"/>
            </w:tcMar>
            <w:vAlign w:val="center"/>
          </w:tcPr>
          <w:p w14:paraId="78031CE1">
            <w:pPr>
              <w:keepNext w:val="0"/>
              <w:keepLines w:val="0"/>
              <w:pageBreakBefore w:val="0"/>
              <w:widowControl w:val="0"/>
              <w:kinsoku/>
              <w:wordWrap/>
              <w:overflowPunct/>
              <w:topLinePunct w:val="0"/>
              <w:bidi w:val="0"/>
              <w:spacing w:line="360" w:lineRule="exact"/>
              <w:ind w:firstLine="0" w:firstLineChars="0"/>
              <w:jc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100</w:t>
            </w:r>
          </w:p>
        </w:tc>
        <w:tc>
          <w:tcPr>
            <w:tcW w:w="660" w:type="dxa"/>
            <w:noWrap w:val="0"/>
            <w:tcMar>
              <w:top w:w="15" w:type="dxa"/>
              <w:left w:w="15" w:type="dxa"/>
              <w:right w:w="15" w:type="dxa"/>
            </w:tcMar>
            <w:vAlign w:val="center"/>
          </w:tcPr>
          <w:p w14:paraId="1F79E915">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是</w:t>
            </w:r>
          </w:p>
        </w:tc>
        <w:tc>
          <w:tcPr>
            <w:tcW w:w="1230" w:type="dxa"/>
            <w:noWrap w:val="0"/>
            <w:tcMar>
              <w:top w:w="15" w:type="dxa"/>
              <w:left w:w="15" w:type="dxa"/>
              <w:right w:w="15" w:type="dxa"/>
            </w:tcMar>
            <w:vAlign w:val="center"/>
          </w:tcPr>
          <w:p w14:paraId="7968E85F">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100</w:t>
            </w:r>
          </w:p>
        </w:tc>
        <w:tc>
          <w:tcPr>
            <w:tcW w:w="1275" w:type="dxa"/>
            <w:noWrap w:val="0"/>
            <w:tcMar>
              <w:top w:w="15" w:type="dxa"/>
              <w:left w:w="15" w:type="dxa"/>
              <w:right w:w="15" w:type="dxa"/>
            </w:tcMar>
            <w:vAlign w:val="center"/>
          </w:tcPr>
          <w:p w14:paraId="359A571E">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100</w:t>
            </w:r>
          </w:p>
        </w:tc>
        <w:tc>
          <w:tcPr>
            <w:tcW w:w="945" w:type="dxa"/>
            <w:noWrap w:val="0"/>
            <w:tcMar>
              <w:top w:w="15" w:type="dxa"/>
              <w:left w:w="15" w:type="dxa"/>
              <w:right w:w="15" w:type="dxa"/>
            </w:tcMar>
            <w:vAlign w:val="center"/>
          </w:tcPr>
          <w:p w14:paraId="1D0F3BF2">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参考性</w:t>
            </w:r>
          </w:p>
        </w:tc>
        <w:tc>
          <w:tcPr>
            <w:tcW w:w="2373" w:type="dxa"/>
            <w:noWrap w:val="0"/>
            <w:tcMar>
              <w:top w:w="15" w:type="dxa"/>
              <w:left w:w="15" w:type="dxa"/>
              <w:right w:w="15" w:type="dxa"/>
            </w:tcMar>
            <w:vAlign w:val="center"/>
          </w:tcPr>
          <w:p w14:paraId="4F8AD229">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hint="eastAsia" w:ascii="Times New Roman" w:hAnsi="Times New Roman" w:eastAsia="仿宋_GB2312"/>
                <w:sz w:val="24"/>
                <w:szCs w:val="24"/>
                <w:highlight w:val="none"/>
                <w:lang w:eastAsia="zh-CN"/>
              </w:rPr>
              <w:t>柳江区</w:t>
            </w:r>
            <w:r>
              <w:rPr>
                <w:rFonts w:ascii="Times New Roman" w:hAnsi="Times New Roman" w:eastAsia="仿宋_GB2312"/>
                <w:sz w:val="24"/>
                <w:szCs w:val="24"/>
                <w:highlight w:val="none"/>
              </w:rPr>
              <w:t>委组织部</w:t>
            </w:r>
          </w:p>
        </w:tc>
      </w:tr>
      <w:tr w14:paraId="4285C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57" w:type="dxa"/>
            <w:vMerge w:val="continue"/>
            <w:noWrap w:val="0"/>
            <w:tcMar>
              <w:top w:w="15" w:type="dxa"/>
              <w:left w:w="15" w:type="dxa"/>
              <w:right w:w="15" w:type="dxa"/>
            </w:tcMar>
            <w:vAlign w:val="center"/>
          </w:tcPr>
          <w:p w14:paraId="6F5177D7">
            <w:pPr>
              <w:keepNext w:val="0"/>
              <w:keepLines w:val="0"/>
              <w:pageBreakBefore w:val="0"/>
              <w:widowControl w:val="0"/>
              <w:kinsoku/>
              <w:wordWrap/>
              <w:overflowPunct/>
              <w:topLinePunct w:val="0"/>
              <w:bidi w:val="0"/>
              <w:spacing w:line="360" w:lineRule="exact"/>
              <w:ind w:firstLine="0" w:firstLineChars="0"/>
              <w:jc w:val="center"/>
              <w:rPr>
                <w:rFonts w:ascii="Times New Roman" w:hAnsi="Times New Roman" w:eastAsia="仿宋_GB2312"/>
                <w:sz w:val="24"/>
                <w:szCs w:val="24"/>
                <w:highlight w:val="none"/>
              </w:rPr>
            </w:pPr>
          </w:p>
        </w:tc>
        <w:tc>
          <w:tcPr>
            <w:tcW w:w="780" w:type="dxa"/>
            <w:vMerge w:val="continue"/>
            <w:noWrap w:val="0"/>
            <w:tcMar>
              <w:top w:w="15" w:type="dxa"/>
              <w:left w:w="15" w:type="dxa"/>
              <w:right w:w="15" w:type="dxa"/>
            </w:tcMar>
            <w:vAlign w:val="center"/>
          </w:tcPr>
          <w:p w14:paraId="38CF8550">
            <w:pPr>
              <w:keepNext w:val="0"/>
              <w:keepLines w:val="0"/>
              <w:pageBreakBefore w:val="0"/>
              <w:widowControl w:val="0"/>
              <w:kinsoku/>
              <w:wordWrap/>
              <w:overflowPunct/>
              <w:topLinePunct w:val="0"/>
              <w:bidi w:val="0"/>
              <w:spacing w:line="360" w:lineRule="exact"/>
              <w:ind w:firstLine="0" w:firstLineChars="0"/>
              <w:jc w:val="center"/>
              <w:rPr>
                <w:rFonts w:ascii="Times New Roman" w:hAnsi="Times New Roman" w:eastAsia="仿宋_GB2312"/>
                <w:sz w:val="24"/>
                <w:szCs w:val="24"/>
                <w:highlight w:val="none"/>
              </w:rPr>
            </w:pPr>
          </w:p>
        </w:tc>
        <w:tc>
          <w:tcPr>
            <w:tcW w:w="630" w:type="dxa"/>
            <w:noWrap w:val="0"/>
            <w:tcMar>
              <w:top w:w="15" w:type="dxa"/>
              <w:left w:w="15" w:type="dxa"/>
              <w:right w:w="15" w:type="dxa"/>
            </w:tcMar>
            <w:vAlign w:val="center"/>
          </w:tcPr>
          <w:p w14:paraId="7BD74BC3">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34</w:t>
            </w:r>
          </w:p>
        </w:tc>
        <w:tc>
          <w:tcPr>
            <w:tcW w:w="2702" w:type="dxa"/>
            <w:noWrap w:val="0"/>
            <w:tcMar>
              <w:top w:w="15" w:type="dxa"/>
              <w:left w:w="15" w:type="dxa"/>
              <w:right w:w="15" w:type="dxa"/>
            </w:tcMar>
            <w:vAlign w:val="center"/>
          </w:tcPr>
          <w:p w14:paraId="576EA0F0">
            <w:pPr>
              <w:keepNext w:val="0"/>
              <w:keepLines w:val="0"/>
              <w:pageBreakBefore w:val="0"/>
              <w:widowControl w:val="0"/>
              <w:kinsoku/>
              <w:wordWrap/>
              <w:overflowPunct/>
              <w:topLinePunct w:val="0"/>
              <w:bidi w:val="0"/>
              <w:spacing w:line="360" w:lineRule="exact"/>
              <w:ind w:firstLine="0" w:firstLineChars="0"/>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公众对生态文明建设的满意度</w:t>
            </w:r>
          </w:p>
        </w:tc>
        <w:tc>
          <w:tcPr>
            <w:tcW w:w="630" w:type="dxa"/>
            <w:noWrap w:val="0"/>
            <w:tcMar>
              <w:top w:w="15" w:type="dxa"/>
              <w:left w:w="15" w:type="dxa"/>
              <w:right w:w="15" w:type="dxa"/>
            </w:tcMar>
            <w:vAlign w:val="center"/>
          </w:tcPr>
          <w:p w14:paraId="186C6A15">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w:t>
            </w:r>
          </w:p>
        </w:tc>
        <w:tc>
          <w:tcPr>
            <w:tcW w:w="1245" w:type="dxa"/>
            <w:noWrap w:val="0"/>
            <w:tcMar>
              <w:top w:w="15" w:type="dxa"/>
              <w:left w:w="15" w:type="dxa"/>
              <w:right w:w="15" w:type="dxa"/>
            </w:tcMar>
            <w:vAlign w:val="center"/>
          </w:tcPr>
          <w:p w14:paraId="6CABB368">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≥80</w:t>
            </w:r>
          </w:p>
        </w:tc>
        <w:tc>
          <w:tcPr>
            <w:tcW w:w="1335" w:type="dxa"/>
            <w:noWrap w:val="0"/>
            <w:tcMar>
              <w:top w:w="15" w:type="dxa"/>
              <w:left w:w="15" w:type="dxa"/>
              <w:right w:w="15" w:type="dxa"/>
            </w:tcMar>
            <w:vAlign w:val="center"/>
          </w:tcPr>
          <w:p w14:paraId="564E6371">
            <w:pPr>
              <w:keepNext w:val="0"/>
              <w:keepLines w:val="0"/>
              <w:pageBreakBefore w:val="0"/>
              <w:widowControl w:val="0"/>
              <w:kinsoku/>
              <w:wordWrap/>
              <w:overflowPunct/>
              <w:topLinePunct w:val="0"/>
              <w:bidi w:val="0"/>
              <w:spacing w:line="360" w:lineRule="exact"/>
              <w:ind w:firstLine="0" w:firstLineChars="0"/>
              <w:jc w:val="center"/>
              <w:rPr>
                <w:rFonts w:hint="default" w:ascii="Times New Roman" w:hAnsi="Times New Roman" w:eastAsia="仿宋_GB2312"/>
                <w:sz w:val="24"/>
                <w:szCs w:val="24"/>
                <w:highlight w:val="none"/>
                <w:lang w:val="en-US" w:eastAsia="zh-CN"/>
              </w:rPr>
            </w:pPr>
            <w:r>
              <w:rPr>
                <w:rFonts w:hint="eastAsia" w:ascii="Times New Roman" w:hAnsi="Times New Roman" w:eastAsia="仿宋_GB2312"/>
                <w:sz w:val="24"/>
                <w:szCs w:val="24"/>
                <w:highlight w:val="none"/>
                <w:lang w:val="en-US" w:eastAsia="zh-CN"/>
              </w:rPr>
              <w:t>81.79</w:t>
            </w:r>
          </w:p>
        </w:tc>
        <w:tc>
          <w:tcPr>
            <w:tcW w:w="660" w:type="dxa"/>
            <w:noWrap w:val="0"/>
            <w:tcMar>
              <w:top w:w="15" w:type="dxa"/>
              <w:left w:w="15" w:type="dxa"/>
              <w:right w:w="15" w:type="dxa"/>
            </w:tcMar>
            <w:vAlign w:val="center"/>
          </w:tcPr>
          <w:p w14:paraId="7DFA3C19">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是</w:t>
            </w:r>
          </w:p>
        </w:tc>
        <w:tc>
          <w:tcPr>
            <w:tcW w:w="1230" w:type="dxa"/>
            <w:noWrap w:val="0"/>
            <w:tcMar>
              <w:top w:w="15" w:type="dxa"/>
              <w:left w:w="15" w:type="dxa"/>
              <w:right w:w="15" w:type="dxa"/>
            </w:tcMar>
            <w:vAlign w:val="center"/>
          </w:tcPr>
          <w:p w14:paraId="4A227E24">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≥80</w:t>
            </w:r>
          </w:p>
        </w:tc>
        <w:tc>
          <w:tcPr>
            <w:tcW w:w="1275" w:type="dxa"/>
            <w:noWrap w:val="0"/>
            <w:tcMar>
              <w:top w:w="15" w:type="dxa"/>
              <w:left w:w="15" w:type="dxa"/>
              <w:right w:w="15" w:type="dxa"/>
            </w:tcMar>
            <w:vAlign w:val="center"/>
          </w:tcPr>
          <w:p w14:paraId="43C11B01">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≥80</w:t>
            </w:r>
          </w:p>
        </w:tc>
        <w:tc>
          <w:tcPr>
            <w:tcW w:w="945" w:type="dxa"/>
            <w:noWrap w:val="0"/>
            <w:tcMar>
              <w:top w:w="15" w:type="dxa"/>
              <w:left w:w="15" w:type="dxa"/>
              <w:right w:w="15" w:type="dxa"/>
            </w:tcMar>
            <w:vAlign w:val="center"/>
          </w:tcPr>
          <w:p w14:paraId="4ADBC19A">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参考性</w:t>
            </w:r>
          </w:p>
        </w:tc>
        <w:tc>
          <w:tcPr>
            <w:tcW w:w="2373" w:type="dxa"/>
            <w:noWrap w:val="0"/>
            <w:tcMar>
              <w:top w:w="15" w:type="dxa"/>
              <w:left w:w="15" w:type="dxa"/>
              <w:right w:w="15" w:type="dxa"/>
            </w:tcMar>
            <w:vAlign w:val="center"/>
          </w:tcPr>
          <w:p w14:paraId="308DA796">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hint="eastAsia" w:ascii="Times New Roman" w:hAnsi="Times New Roman" w:eastAsia="仿宋_GB2312"/>
                <w:sz w:val="24"/>
                <w:szCs w:val="24"/>
                <w:highlight w:val="none"/>
                <w:lang w:eastAsia="zh-CN"/>
              </w:rPr>
              <w:t>柳州市柳江</w:t>
            </w:r>
            <w:r>
              <w:rPr>
                <w:rFonts w:ascii="Times New Roman" w:hAnsi="Times New Roman" w:eastAsia="仿宋_GB2312"/>
                <w:sz w:val="24"/>
                <w:szCs w:val="24"/>
                <w:highlight w:val="none"/>
              </w:rPr>
              <w:t>生态环境局</w:t>
            </w:r>
          </w:p>
        </w:tc>
      </w:tr>
      <w:tr w14:paraId="54D58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57" w:type="dxa"/>
            <w:vMerge w:val="continue"/>
            <w:noWrap w:val="0"/>
            <w:tcMar>
              <w:top w:w="15" w:type="dxa"/>
              <w:left w:w="15" w:type="dxa"/>
              <w:right w:w="15" w:type="dxa"/>
            </w:tcMar>
            <w:vAlign w:val="center"/>
          </w:tcPr>
          <w:p w14:paraId="325EE066">
            <w:pPr>
              <w:keepNext w:val="0"/>
              <w:keepLines w:val="0"/>
              <w:pageBreakBefore w:val="0"/>
              <w:widowControl w:val="0"/>
              <w:kinsoku/>
              <w:wordWrap/>
              <w:overflowPunct/>
              <w:topLinePunct w:val="0"/>
              <w:bidi w:val="0"/>
              <w:spacing w:line="360" w:lineRule="exact"/>
              <w:ind w:firstLine="0" w:firstLineChars="0"/>
              <w:jc w:val="center"/>
              <w:rPr>
                <w:rFonts w:ascii="Times New Roman" w:hAnsi="Times New Roman" w:eastAsia="仿宋_GB2312"/>
                <w:sz w:val="24"/>
                <w:szCs w:val="24"/>
                <w:highlight w:val="none"/>
              </w:rPr>
            </w:pPr>
          </w:p>
        </w:tc>
        <w:tc>
          <w:tcPr>
            <w:tcW w:w="780" w:type="dxa"/>
            <w:vMerge w:val="continue"/>
            <w:noWrap w:val="0"/>
            <w:tcMar>
              <w:top w:w="15" w:type="dxa"/>
              <w:left w:w="15" w:type="dxa"/>
              <w:right w:w="15" w:type="dxa"/>
            </w:tcMar>
            <w:vAlign w:val="center"/>
          </w:tcPr>
          <w:p w14:paraId="427BF7FD">
            <w:pPr>
              <w:keepNext w:val="0"/>
              <w:keepLines w:val="0"/>
              <w:pageBreakBefore w:val="0"/>
              <w:widowControl w:val="0"/>
              <w:kinsoku/>
              <w:wordWrap/>
              <w:overflowPunct/>
              <w:topLinePunct w:val="0"/>
              <w:bidi w:val="0"/>
              <w:spacing w:line="360" w:lineRule="exact"/>
              <w:ind w:firstLine="0" w:firstLineChars="0"/>
              <w:jc w:val="center"/>
              <w:rPr>
                <w:rFonts w:ascii="Times New Roman" w:hAnsi="Times New Roman" w:eastAsia="仿宋_GB2312"/>
                <w:sz w:val="24"/>
                <w:szCs w:val="24"/>
                <w:highlight w:val="none"/>
              </w:rPr>
            </w:pPr>
          </w:p>
        </w:tc>
        <w:tc>
          <w:tcPr>
            <w:tcW w:w="630" w:type="dxa"/>
            <w:noWrap w:val="0"/>
            <w:tcMar>
              <w:top w:w="15" w:type="dxa"/>
              <w:left w:w="15" w:type="dxa"/>
              <w:right w:w="15" w:type="dxa"/>
            </w:tcMar>
            <w:vAlign w:val="center"/>
          </w:tcPr>
          <w:p w14:paraId="34448677">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35</w:t>
            </w:r>
          </w:p>
        </w:tc>
        <w:tc>
          <w:tcPr>
            <w:tcW w:w="2702" w:type="dxa"/>
            <w:noWrap w:val="0"/>
            <w:tcMar>
              <w:top w:w="15" w:type="dxa"/>
              <w:left w:w="15" w:type="dxa"/>
              <w:right w:w="15" w:type="dxa"/>
            </w:tcMar>
            <w:vAlign w:val="center"/>
          </w:tcPr>
          <w:p w14:paraId="33617E39">
            <w:pPr>
              <w:keepNext w:val="0"/>
              <w:keepLines w:val="0"/>
              <w:pageBreakBefore w:val="0"/>
              <w:widowControl w:val="0"/>
              <w:kinsoku/>
              <w:wordWrap/>
              <w:overflowPunct/>
              <w:topLinePunct w:val="0"/>
              <w:bidi w:val="0"/>
              <w:spacing w:line="360" w:lineRule="exact"/>
              <w:ind w:firstLine="0" w:firstLineChars="0"/>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公众对生态文明建设的参与度</w:t>
            </w:r>
          </w:p>
        </w:tc>
        <w:tc>
          <w:tcPr>
            <w:tcW w:w="630" w:type="dxa"/>
            <w:noWrap w:val="0"/>
            <w:tcMar>
              <w:top w:w="15" w:type="dxa"/>
              <w:left w:w="15" w:type="dxa"/>
              <w:right w:w="15" w:type="dxa"/>
            </w:tcMar>
            <w:vAlign w:val="center"/>
          </w:tcPr>
          <w:p w14:paraId="07BAB80C">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w:t>
            </w:r>
          </w:p>
        </w:tc>
        <w:tc>
          <w:tcPr>
            <w:tcW w:w="1245" w:type="dxa"/>
            <w:noWrap w:val="0"/>
            <w:tcMar>
              <w:top w:w="15" w:type="dxa"/>
              <w:left w:w="15" w:type="dxa"/>
              <w:right w:w="15" w:type="dxa"/>
            </w:tcMar>
            <w:vAlign w:val="center"/>
          </w:tcPr>
          <w:p w14:paraId="00138D62">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≥80</w:t>
            </w:r>
          </w:p>
        </w:tc>
        <w:tc>
          <w:tcPr>
            <w:tcW w:w="1335" w:type="dxa"/>
            <w:noWrap w:val="0"/>
            <w:tcMar>
              <w:top w:w="15" w:type="dxa"/>
              <w:left w:w="15" w:type="dxa"/>
              <w:right w:w="15" w:type="dxa"/>
            </w:tcMar>
            <w:vAlign w:val="center"/>
          </w:tcPr>
          <w:p w14:paraId="58A1CF41">
            <w:pPr>
              <w:keepNext w:val="0"/>
              <w:keepLines w:val="0"/>
              <w:pageBreakBefore w:val="0"/>
              <w:widowControl w:val="0"/>
              <w:kinsoku/>
              <w:wordWrap/>
              <w:overflowPunct/>
              <w:topLinePunct w:val="0"/>
              <w:bidi w:val="0"/>
              <w:spacing w:line="360" w:lineRule="exact"/>
              <w:ind w:firstLine="0" w:firstLineChars="0"/>
              <w:jc w:val="center"/>
              <w:rPr>
                <w:rFonts w:hint="default" w:ascii="Times New Roman" w:hAnsi="Times New Roman" w:eastAsia="仿宋_GB2312"/>
                <w:sz w:val="24"/>
                <w:szCs w:val="24"/>
                <w:highlight w:val="none"/>
                <w:lang w:val="en-US" w:eastAsia="zh-CN"/>
              </w:rPr>
            </w:pPr>
            <w:r>
              <w:rPr>
                <w:rFonts w:hint="eastAsia" w:ascii="Times New Roman" w:hAnsi="Times New Roman" w:eastAsia="仿宋_GB2312"/>
                <w:sz w:val="24"/>
                <w:szCs w:val="24"/>
                <w:highlight w:val="none"/>
                <w:lang w:val="en-US" w:eastAsia="zh-CN"/>
              </w:rPr>
              <w:t>90</w:t>
            </w:r>
          </w:p>
        </w:tc>
        <w:tc>
          <w:tcPr>
            <w:tcW w:w="660" w:type="dxa"/>
            <w:noWrap w:val="0"/>
            <w:tcMar>
              <w:top w:w="15" w:type="dxa"/>
              <w:left w:w="15" w:type="dxa"/>
              <w:right w:w="15" w:type="dxa"/>
            </w:tcMar>
            <w:vAlign w:val="center"/>
          </w:tcPr>
          <w:p w14:paraId="2917D2BE">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是</w:t>
            </w:r>
          </w:p>
        </w:tc>
        <w:tc>
          <w:tcPr>
            <w:tcW w:w="1230" w:type="dxa"/>
            <w:noWrap w:val="0"/>
            <w:tcMar>
              <w:top w:w="15" w:type="dxa"/>
              <w:left w:w="15" w:type="dxa"/>
              <w:right w:w="15" w:type="dxa"/>
            </w:tcMar>
            <w:vAlign w:val="center"/>
          </w:tcPr>
          <w:p w14:paraId="30135E65">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≥80</w:t>
            </w:r>
          </w:p>
        </w:tc>
        <w:tc>
          <w:tcPr>
            <w:tcW w:w="1275" w:type="dxa"/>
            <w:noWrap w:val="0"/>
            <w:tcMar>
              <w:top w:w="15" w:type="dxa"/>
              <w:left w:w="15" w:type="dxa"/>
              <w:right w:w="15" w:type="dxa"/>
            </w:tcMar>
            <w:vAlign w:val="center"/>
          </w:tcPr>
          <w:p w14:paraId="6FA9B900">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≥80</w:t>
            </w:r>
          </w:p>
        </w:tc>
        <w:tc>
          <w:tcPr>
            <w:tcW w:w="945" w:type="dxa"/>
            <w:noWrap w:val="0"/>
            <w:tcMar>
              <w:top w:w="15" w:type="dxa"/>
              <w:left w:w="15" w:type="dxa"/>
              <w:right w:w="15" w:type="dxa"/>
            </w:tcMar>
            <w:vAlign w:val="center"/>
          </w:tcPr>
          <w:p w14:paraId="58D51486">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参考性</w:t>
            </w:r>
          </w:p>
        </w:tc>
        <w:tc>
          <w:tcPr>
            <w:tcW w:w="2373" w:type="dxa"/>
            <w:noWrap w:val="0"/>
            <w:tcMar>
              <w:top w:w="15" w:type="dxa"/>
              <w:left w:w="15" w:type="dxa"/>
              <w:right w:w="15" w:type="dxa"/>
            </w:tcMar>
            <w:vAlign w:val="center"/>
          </w:tcPr>
          <w:p w14:paraId="3732F2B2">
            <w:pPr>
              <w:keepNext w:val="0"/>
              <w:keepLines w:val="0"/>
              <w:pageBreakBefore w:val="0"/>
              <w:widowControl w:val="0"/>
              <w:kinsoku/>
              <w:wordWrap/>
              <w:overflowPunct/>
              <w:topLinePunct w:val="0"/>
              <w:bidi w:val="0"/>
              <w:spacing w:line="360" w:lineRule="exact"/>
              <w:ind w:firstLine="0" w:firstLineChars="0"/>
              <w:jc w:val="center"/>
              <w:textAlignment w:val="center"/>
              <w:rPr>
                <w:rFonts w:ascii="Times New Roman" w:hAnsi="Times New Roman" w:eastAsia="仿宋_GB2312"/>
                <w:sz w:val="24"/>
                <w:szCs w:val="24"/>
                <w:highlight w:val="none"/>
              </w:rPr>
            </w:pPr>
            <w:r>
              <w:rPr>
                <w:rFonts w:hint="eastAsia" w:ascii="Times New Roman" w:hAnsi="Times New Roman" w:eastAsia="仿宋_GB2312"/>
                <w:sz w:val="24"/>
                <w:szCs w:val="24"/>
                <w:highlight w:val="none"/>
                <w:lang w:eastAsia="zh-CN"/>
              </w:rPr>
              <w:t>柳江区</w:t>
            </w:r>
            <w:r>
              <w:rPr>
                <w:rFonts w:ascii="Times New Roman" w:hAnsi="Times New Roman" w:eastAsia="仿宋_GB2312"/>
                <w:bCs/>
                <w:sz w:val="24"/>
                <w:szCs w:val="24"/>
                <w:highlight w:val="none"/>
              </w:rPr>
              <w:t>政府办公室、</w:t>
            </w:r>
            <w:r>
              <w:rPr>
                <w:rFonts w:hint="eastAsia" w:ascii="Times New Roman" w:hAnsi="Times New Roman" w:eastAsia="仿宋_GB2312"/>
                <w:bCs/>
                <w:sz w:val="24"/>
                <w:szCs w:val="24"/>
                <w:highlight w:val="none"/>
                <w:lang w:eastAsia="zh-CN"/>
              </w:rPr>
              <w:t>柳州市柳江</w:t>
            </w:r>
            <w:r>
              <w:rPr>
                <w:rFonts w:ascii="Times New Roman" w:hAnsi="Times New Roman" w:eastAsia="仿宋_GB2312"/>
                <w:bCs/>
                <w:sz w:val="24"/>
                <w:szCs w:val="24"/>
                <w:highlight w:val="none"/>
              </w:rPr>
              <w:t>生态环境局</w:t>
            </w:r>
          </w:p>
        </w:tc>
      </w:tr>
      <w:bookmarkEnd w:id="14"/>
    </w:tbl>
    <w:p w14:paraId="413F81FB">
      <w:pPr>
        <w:pageBreakBefore w:val="0"/>
        <w:kinsoku/>
        <w:wordWrap/>
        <w:overflowPunct/>
        <w:topLinePunct w:val="0"/>
        <w:autoSpaceDE/>
        <w:autoSpaceDN/>
        <w:bidi w:val="0"/>
        <w:spacing w:line="240" w:lineRule="auto"/>
        <w:ind w:left="0" w:leftChars="0" w:right="0" w:rightChars="0" w:firstLine="560"/>
        <w:rPr>
          <w:rFonts w:eastAsia="宋体" w:cs="Times New Roman"/>
          <w:sz w:val="28"/>
          <w:highlight w:val="yellow"/>
        </w:rPr>
      </w:pPr>
    </w:p>
    <w:p w14:paraId="493EDAAA">
      <w:pPr>
        <w:pageBreakBefore w:val="0"/>
        <w:kinsoku/>
        <w:wordWrap/>
        <w:overflowPunct/>
        <w:topLinePunct w:val="0"/>
        <w:autoSpaceDE/>
        <w:autoSpaceDN/>
        <w:bidi w:val="0"/>
        <w:spacing w:line="240" w:lineRule="auto"/>
        <w:ind w:left="0" w:leftChars="0" w:right="0" w:rightChars="0" w:firstLine="560"/>
        <w:rPr>
          <w:rFonts w:eastAsia="宋体" w:cs="Times New Roman"/>
          <w:sz w:val="28"/>
          <w:highlight w:val="yellow"/>
        </w:rPr>
        <w:sectPr>
          <w:pgSz w:w="16838" w:h="11905" w:orient="landscape"/>
          <w:pgMar w:top="1587" w:right="2098" w:bottom="1474" w:left="1984" w:header="851" w:footer="992" w:gutter="0"/>
          <w:pgNumType w:fmt="decimal"/>
          <w:cols w:space="0" w:num="1"/>
          <w:rtlGutter w:val="0"/>
          <w:docGrid w:type="linesAndChars" w:linePitch="439" w:charSpace="1433"/>
        </w:sectPr>
      </w:pPr>
    </w:p>
    <w:p w14:paraId="251145EB">
      <w:pPr>
        <w:pStyle w:val="7"/>
        <w:pageBreakBefore w:val="0"/>
        <w:kinsoku/>
        <w:wordWrap/>
        <w:overflowPunct/>
        <w:topLinePunct w:val="0"/>
        <w:autoSpaceDE/>
        <w:autoSpaceDN/>
        <w:bidi w:val="0"/>
        <w:spacing w:line="560" w:lineRule="exact"/>
        <w:ind w:left="0" w:leftChars="0" w:right="0" w:rightChars="0" w:firstLine="0" w:firstLineChars="0"/>
        <w:jc w:val="center"/>
        <w:rPr>
          <w:rFonts w:hint="eastAsia" w:ascii="方正小标宋简体" w:hAnsi="方正小标宋简体" w:eastAsia="方正小标宋简体" w:cs="方正小标宋简体"/>
          <w:b w:val="0"/>
          <w:bCs w:val="0"/>
          <w:highlight w:val="none"/>
          <w:lang w:eastAsia="zh-CN"/>
        </w:rPr>
      </w:pPr>
      <w:bookmarkStart w:id="61" w:name="_Toc17614"/>
      <w:bookmarkStart w:id="62" w:name="_Toc24139"/>
      <w:bookmarkStart w:id="63" w:name="_Toc4928"/>
      <w:bookmarkStart w:id="64" w:name="_Toc16592"/>
      <w:bookmarkStart w:id="65" w:name="_Toc15148"/>
      <w:bookmarkStart w:id="66" w:name="_Toc20833"/>
      <w:bookmarkStart w:id="67" w:name="_Toc3074"/>
      <w:bookmarkStart w:id="68" w:name="_Toc3753"/>
      <w:r>
        <w:rPr>
          <w:rFonts w:hint="eastAsia" w:ascii="方正小标宋简体" w:hAnsi="方正小标宋简体" w:eastAsia="方正小标宋简体" w:cs="方正小标宋简体"/>
          <w:b w:val="0"/>
          <w:bCs w:val="0"/>
          <w:highlight w:val="none"/>
        </w:rPr>
        <w:t>第</w:t>
      </w:r>
      <w:r>
        <w:rPr>
          <w:rFonts w:hint="eastAsia" w:ascii="方正小标宋简体" w:hAnsi="方正小标宋简体" w:eastAsia="方正小标宋简体" w:cs="方正小标宋简体"/>
          <w:b w:val="0"/>
          <w:bCs w:val="0"/>
          <w:highlight w:val="none"/>
          <w:lang w:eastAsia="zh-CN"/>
        </w:rPr>
        <w:t>三</w:t>
      </w:r>
      <w:r>
        <w:rPr>
          <w:rFonts w:hint="eastAsia" w:ascii="方正小标宋简体" w:hAnsi="方正小标宋简体" w:eastAsia="方正小标宋简体" w:cs="方正小标宋简体"/>
          <w:b w:val="0"/>
          <w:bCs w:val="0"/>
          <w:highlight w:val="none"/>
        </w:rPr>
        <w:t>章  规划任务</w:t>
      </w:r>
      <w:bookmarkEnd w:id="61"/>
      <w:bookmarkEnd w:id="62"/>
      <w:bookmarkEnd w:id="63"/>
      <w:bookmarkEnd w:id="64"/>
      <w:bookmarkEnd w:id="65"/>
      <w:bookmarkEnd w:id="66"/>
      <w:bookmarkEnd w:id="67"/>
      <w:r>
        <w:rPr>
          <w:rFonts w:hint="eastAsia" w:ascii="方正小标宋简体" w:hAnsi="方正小标宋简体" w:eastAsia="方正小标宋简体" w:cs="方正小标宋简体"/>
          <w:b w:val="0"/>
          <w:bCs w:val="0"/>
          <w:highlight w:val="none"/>
          <w:lang w:eastAsia="zh-CN"/>
        </w:rPr>
        <w:t>与措施</w:t>
      </w:r>
      <w:bookmarkEnd w:id="68"/>
    </w:p>
    <w:p w14:paraId="3916AC6A">
      <w:pPr>
        <w:pStyle w:val="8"/>
        <w:pageBreakBefore w:val="0"/>
        <w:kinsoku/>
        <w:wordWrap/>
        <w:overflowPunct/>
        <w:topLinePunct w:val="0"/>
        <w:autoSpaceDE/>
        <w:autoSpaceDN/>
        <w:bidi w:val="0"/>
        <w:spacing w:line="560" w:lineRule="exact"/>
        <w:ind w:left="0" w:leftChars="0" w:right="0" w:rightChars="0" w:firstLine="640"/>
        <w:rPr>
          <w:rFonts w:hint="eastAsia"/>
          <w:b w:val="0"/>
          <w:bCs w:val="0"/>
          <w:highlight w:val="none"/>
        </w:rPr>
      </w:pPr>
      <w:bookmarkStart w:id="69" w:name="_Toc16628"/>
      <w:bookmarkStart w:id="70" w:name="_Toc4789"/>
      <w:bookmarkStart w:id="71" w:name="_Toc289"/>
      <w:bookmarkStart w:id="72" w:name="_Toc24961"/>
      <w:bookmarkStart w:id="73" w:name="_Toc21658"/>
      <w:bookmarkStart w:id="74" w:name="_Toc8646"/>
      <w:bookmarkStart w:id="75" w:name="_Toc204"/>
      <w:bookmarkStart w:id="76" w:name="_Toc491434549"/>
      <w:bookmarkStart w:id="77" w:name="_Toc16595"/>
      <w:bookmarkStart w:id="78" w:name="_Toc491434491"/>
      <w:bookmarkStart w:id="79" w:name="_Toc491434894"/>
      <w:r>
        <w:rPr>
          <w:rFonts w:hint="eastAsia"/>
          <w:b w:val="0"/>
          <w:bCs w:val="0"/>
          <w:highlight w:val="none"/>
        </w:rPr>
        <w:t>一、</w:t>
      </w:r>
      <w:bookmarkStart w:id="80" w:name="_Toc22513"/>
      <w:r>
        <w:rPr>
          <w:rFonts w:hint="eastAsia"/>
          <w:b w:val="0"/>
          <w:bCs w:val="0"/>
          <w:highlight w:val="none"/>
          <w:lang w:eastAsia="zh-CN"/>
        </w:rPr>
        <w:t>生态制度体系建设</w:t>
      </w:r>
      <w:bookmarkEnd w:id="69"/>
      <w:bookmarkEnd w:id="80"/>
    </w:p>
    <w:bookmarkEnd w:id="70"/>
    <w:bookmarkEnd w:id="71"/>
    <w:bookmarkEnd w:id="72"/>
    <w:bookmarkEnd w:id="73"/>
    <w:bookmarkEnd w:id="74"/>
    <w:bookmarkEnd w:id="75"/>
    <w:p w14:paraId="5A07FC66">
      <w:pPr>
        <w:pStyle w:val="9"/>
        <w:pageBreakBefore w:val="0"/>
        <w:kinsoku/>
        <w:wordWrap/>
        <w:overflowPunct/>
        <w:topLinePunct w:val="0"/>
        <w:autoSpaceDE/>
        <w:autoSpaceDN/>
        <w:bidi w:val="0"/>
        <w:spacing w:line="560" w:lineRule="exact"/>
        <w:ind w:left="0" w:leftChars="0" w:right="0" w:rightChars="0" w:firstLine="640"/>
        <w:rPr>
          <w:rFonts w:ascii="楷体_GB2312" w:hAnsi="楷体_GB2312" w:eastAsia="楷体_GB2312" w:cs="楷体_GB2312"/>
          <w:b/>
          <w:bCs w:val="0"/>
          <w:highlight w:val="none"/>
        </w:rPr>
      </w:pPr>
      <w:r>
        <w:rPr>
          <w:rFonts w:hint="eastAsia" w:ascii="楷体_GB2312" w:hAnsi="楷体_GB2312" w:eastAsia="楷体_GB2312" w:cs="楷体_GB2312"/>
          <w:b/>
          <w:bCs w:val="0"/>
          <w:highlight w:val="none"/>
        </w:rPr>
        <w:t>（一）</w:t>
      </w:r>
      <w:bookmarkStart w:id="81" w:name="_Toc471226308"/>
      <w:r>
        <w:rPr>
          <w:rFonts w:hint="eastAsia" w:ascii="楷体_GB2312" w:hAnsi="楷体_GB2312" w:eastAsia="楷体_GB2312" w:cs="楷体_GB2312"/>
          <w:b/>
          <w:bCs w:val="0"/>
          <w:highlight w:val="none"/>
          <w:lang w:eastAsia="zh-CN"/>
        </w:rPr>
        <w:t>实行最严格生态环境保护制度</w:t>
      </w:r>
      <w:bookmarkEnd w:id="81"/>
    </w:p>
    <w:p w14:paraId="728CC2EF">
      <w:pPr>
        <w:pageBreakBefore w:val="0"/>
        <w:kinsoku/>
        <w:wordWrap/>
        <w:overflowPunct/>
        <w:topLinePunct w:val="0"/>
        <w:autoSpaceDE/>
        <w:autoSpaceDN/>
        <w:bidi w:val="0"/>
        <w:spacing w:line="560" w:lineRule="exact"/>
        <w:ind w:left="0" w:leftChars="0" w:right="0" w:rightChars="0" w:firstLine="640"/>
        <w:rPr>
          <w:rFonts w:hint="eastAsia" w:ascii="仿宋_GB2312" w:hAnsi="仿宋_GB2312" w:eastAsia="仿宋_GB2312" w:cs="仿宋_GB2312"/>
          <w:highlight w:val="none"/>
        </w:rPr>
      </w:pPr>
      <w:r>
        <w:rPr>
          <w:rFonts w:hint="eastAsia" w:ascii="仿宋_GB2312" w:hAnsi="仿宋_GB2312" w:eastAsia="仿宋_GB2312" w:cs="仿宋_GB2312"/>
          <w:b/>
          <w:bCs/>
          <w:highlight w:val="none"/>
        </w:rPr>
        <w:t>完善污染物排放许可制。</w:t>
      </w:r>
      <w:r>
        <w:rPr>
          <w:rFonts w:hint="eastAsia" w:ascii="仿宋_GB2312" w:hAnsi="仿宋_GB2312" w:eastAsia="仿宋_GB2312" w:cs="仿宋_GB2312"/>
          <w:highlight w:val="none"/>
        </w:rPr>
        <w:t>按照国家相关规定，统筹考虑水污染物、大气污染物、固体废弃物等要素，对依照法律规定实行排污许可管理的企业开展排污许可证核发工作，依法核发排污许可证，禁止无证排污或不按许可证规定排污。形成以排污许可制度为核心，有效衔接环境影响评价、污染物排放标准、总量控制、排污权交易、排污收费等环境管理制度的“一证式”固定源排污管理体系。</w:t>
      </w:r>
    </w:p>
    <w:p w14:paraId="0A149095">
      <w:pPr>
        <w:pageBreakBefore w:val="0"/>
        <w:kinsoku/>
        <w:wordWrap/>
        <w:overflowPunct/>
        <w:topLinePunct w:val="0"/>
        <w:autoSpaceDE/>
        <w:autoSpaceDN/>
        <w:bidi w:val="0"/>
        <w:spacing w:line="560" w:lineRule="exact"/>
        <w:ind w:left="0" w:leftChars="0" w:right="0" w:rightChars="0" w:firstLine="640"/>
        <w:rPr>
          <w:rFonts w:ascii="仿宋_GB2312" w:hAnsi="仿宋_GB2312" w:eastAsia="仿宋_GB2312" w:cs="仿宋_GB2312"/>
          <w:highlight w:val="none"/>
        </w:rPr>
      </w:pPr>
      <w:r>
        <w:rPr>
          <w:rFonts w:hint="eastAsia" w:ascii="仿宋_GB2312" w:hAnsi="仿宋_GB2312" w:eastAsia="仿宋_GB2312" w:cs="仿宋_GB2312"/>
          <w:b/>
          <w:bCs/>
          <w:highlight w:val="none"/>
        </w:rPr>
        <w:t>严格落实环境影响评价制度。</w:t>
      </w:r>
      <w:r>
        <w:rPr>
          <w:rFonts w:hint="eastAsia" w:ascii="仿宋_GB2312" w:hAnsi="仿宋_GB2312" w:eastAsia="仿宋_GB2312" w:cs="仿宋_GB2312"/>
          <w:highlight w:val="none"/>
        </w:rPr>
        <w:t>推进环评审批和监督执法“两个正面清单”改革举措制度化、规范化。在管理制度和技术保障等方面明确规划环评衔接落实区域生态环境分区管控成果，确保区域生态环境质量改善。明确产业园区规划环评是入园建设项目的重要依据，入园建设项目环评在规划环评高质量完成的前提下部分内容可适当简化。加强对产业园区环境质量变化情况及污染物排放情况的监管，尤其是对重污染或涉有毒有害污染物排放园区，依法开展执法监测，落实监管责任。统筹做好生态环境监督执法正面清单衔接工作，实施差异化管理，突出帮扶指导，实现监管力度、服务温度两兼顾，经济发展、生态环境保护两不误。对</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rPr>
        <w:t>二高二低</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rPr>
        <w:t>产品的环保审批实行</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rPr>
        <w:t>绿色通道</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rPr>
        <w:t>。</w:t>
      </w:r>
    </w:p>
    <w:p w14:paraId="13C76B88">
      <w:pPr>
        <w:pStyle w:val="9"/>
        <w:pageBreakBefore w:val="0"/>
        <w:kinsoku/>
        <w:wordWrap/>
        <w:overflowPunct/>
        <w:topLinePunct w:val="0"/>
        <w:autoSpaceDE/>
        <w:autoSpaceDN/>
        <w:bidi w:val="0"/>
        <w:spacing w:line="560" w:lineRule="exact"/>
        <w:ind w:left="0" w:leftChars="0" w:right="0" w:rightChars="0" w:firstLine="640"/>
        <w:rPr>
          <w:rFonts w:ascii="楷体_GB2312" w:hAnsi="楷体_GB2312" w:eastAsia="楷体_GB2312" w:cs="楷体_GB2312"/>
          <w:b/>
          <w:bCs w:val="0"/>
          <w:highlight w:val="none"/>
        </w:rPr>
      </w:pPr>
      <w:r>
        <w:rPr>
          <w:rFonts w:hint="eastAsia" w:ascii="楷体_GB2312" w:hAnsi="楷体_GB2312" w:eastAsia="楷体_GB2312" w:cs="楷体_GB2312"/>
          <w:b/>
          <w:bCs w:val="0"/>
          <w:highlight w:val="none"/>
        </w:rPr>
        <w:t>（二）</w:t>
      </w:r>
      <w:r>
        <w:rPr>
          <w:rFonts w:hint="eastAsia" w:ascii="楷体_GB2312" w:hAnsi="楷体_GB2312" w:eastAsia="楷体_GB2312" w:cs="楷体_GB2312"/>
          <w:b/>
          <w:bCs w:val="0"/>
          <w:highlight w:val="none"/>
          <w:lang w:eastAsia="zh-CN"/>
        </w:rPr>
        <w:t>深入实行资源高效利用制度</w:t>
      </w:r>
    </w:p>
    <w:p w14:paraId="680B2AE5">
      <w:pPr>
        <w:pStyle w:val="26"/>
        <w:pageBreakBefore w:val="0"/>
        <w:kinsoku/>
        <w:wordWrap/>
        <w:overflowPunct/>
        <w:topLinePunct w:val="0"/>
        <w:autoSpaceDE/>
        <w:autoSpaceDN/>
        <w:bidi w:val="0"/>
        <w:adjustRightInd w:val="0"/>
        <w:snapToGrid w:val="0"/>
        <w:spacing w:line="560" w:lineRule="exact"/>
        <w:ind w:left="0" w:leftChars="0" w:right="0" w:rightChars="0" w:firstLine="640"/>
        <w:rPr>
          <w:rFonts w:hint="eastAsia" w:eastAsia="仿宋_GB2312" w:cs="Times New Roman"/>
          <w:kern w:val="2"/>
          <w:sz w:val="32"/>
          <w:szCs w:val="22"/>
          <w:highlight w:val="none"/>
        </w:rPr>
      </w:pPr>
      <w:r>
        <w:rPr>
          <w:rFonts w:hint="eastAsia" w:eastAsia="仿宋_GB2312" w:cs="Times New Roman"/>
          <w:b/>
          <w:bCs/>
          <w:kern w:val="2"/>
          <w:sz w:val="32"/>
          <w:szCs w:val="22"/>
          <w:highlight w:val="none"/>
        </w:rPr>
        <w:t>推进自然资源资产产权制度。</w:t>
      </w:r>
      <w:r>
        <w:rPr>
          <w:rFonts w:hint="eastAsia" w:eastAsia="仿宋_GB2312" w:cs="Times New Roman"/>
          <w:kern w:val="2"/>
          <w:sz w:val="32"/>
          <w:szCs w:val="22"/>
          <w:highlight w:val="none"/>
        </w:rPr>
        <w:t>根据自然资源资产负债表编制指南，结合</w:t>
      </w:r>
      <w:r>
        <w:rPr>
          <w:rFonts w:hint="eastAsia" w:eastAsia="仿宋_GB2312" w:cs="Times New Roman"/>
          <w:kern w:val="2"/>
          <w:sz w:val="32"/>
          <w:szCs w:val="22"/>
          <w:highlight w:val="none"/>
          <w:lang w:eastAsia="zh-CN"/>
        </w:rPr>
        <w:t>柳江区</w:t>
      </w:r>
      <w:r>
        <w:rPr>
          <w:rFonts w:hint="eastAsia" w:eastAsia="仿宋_GB2312" w:cs="Times New Roman"/>
          <w:kern w:val="2"/>
          <w:sz w:val="32"/>
          <w:szCs w:val="22"/>
          <w:highlight w:val="none"/>
        </w:rPr>
        <w:t>实际，构建水资源、土地资源、森林资源等的资产和负债核算方法，建立实物量核算账户，明确分类标准和统计规范，定期评估自然资源资产变化状况。核算主要自然资源实物量账户并公布核算结果</w:t>
      </w:r>
      <w:r>
        <w:rPr>
          <w:rFonts w:hint="eastAsia" w:eastAsia="仿宋_GB2312" w:cs="Times New Roman"/>
          <w:kern w:val="2"/>
          <w:sz w:val="32"/>
          <w:szCs w:val="22"/>
          <w:highlight w:val="none"/>
          <w:lang w:eastAsia="zh-CN"/>
        </w:rPr>
        <w:t>，</w:t>
      </w:r>
      <w:r>
        <w:rPr>
          <w:rFonts w:hint="eastAsia" w:eastAsia="仿宋_GB2312" w:cs="Times New Roman"/>
          <w:kern w:val="2"/>
          <w:sz w:val="32"/>
          <w:szCs w:val="22"/>
          <w:highlight w:val="none"/>
        </w:rPr>
        <w:t>明确年度内、规划期内、政府届内或领导干部任期内的自然资源资产的变化及使用等情况，并将其作为对领导干部实行自然资源产离任审计的重要依据。</w:t>
      </w:r>
    </w:p>
    <w:p w14:paraId="50ACE6A9">
      <w:pPr>
        <w:pStyle w:val="26"/>
        <w:pageBreakBefore w:val="0"/>
        <w:kinsoku/>
        <w:wordWrap/>
        <w:overflowPunct/>
        <w:topLinePunct w:val="0"/>
        <w:autoSpaceDE/>
        <w:autoSpaceDN/>
        <w:bidi w:val="0"/>
        <w:adjustRightInd w:val="0"/>
        <w:snapToGrid w:val="0"/>
        <w:spacing w:line="560" w:lineRule="exact"/>
        <w:ind w:left="0" w:leftChars="0" w:right="0" w:rightChars="0" w:firstLine="640"/>
        <w:rPr>
          <w:rFonts w:hint="eastAsia" w:eastAsia="仿宋_GB2312" w:cs="Times New Roman"/>
          <w:kern w:val="2"/>
          <w:sz w:val="32"/>
          <w:szCs w:val="22"/>
          <w:highlight w:val="none"/>
          <w:lang w:eastAsia="zh-CN"/>
        </w:rPr>
      </w:pPr>
      <w:r>
        <w:rPr>
          <w:rFonts w:hint="eastAsia" w:eastAsia="仿宋_GB2312" w:cs="Times New Roman"/>
          <w:b/>
          <w:bCs/>
          <w:kern w:val="2"/>
          <w:sz w:val="32"/>
          <w:szCs w:val="22"/>
          <w:highlight w:val="none"/>
        </w:rPr>
        <w:t>完善资源有偿使用制度。</w:t>
      </w:r>
      <w:r>
        <w:rPr>
          <w:rFonts w:hint="eastAsia" w:eastAsia="仿宋_GB2312" w:cs="Times New Roman"/>
          <w:kern w:val="2"/>
          <w:sz w:val="32"/>
          <w:szCs w:val="22"/>
          <w:highlight w:val="none"/>
        </w:rPr>
        <w:t>完善土地、矿产资源等有偿使用制度。健全资源开发成本合理分摊机制，调整资源开发收益分配关系，加强资源开发管理和宏观调控。严格执行资源开采权有偿取得制度，企业通过招标、拍卖等市场竞争手段公平取得资源开采权。加强水资源价格管理，调整水资源费和水利工程税费，严格征收环境保护税，促进环境保护。对耗水量大的行业实行限制性水价，促进节约用水</w:t>
      </w:r>
      <w:r>
        <w:rPr>
          <w:rFonts w:hint="eastAsia" w:eastAsia="仿宋_GB2312" w:cs="Times New Roman"/>
          <w:kern w:val="2"/>
          <w:sz w:val="32"/>
          <w:szCs w:val="22"/>
          <w:highlight w:val="none"/>
          <w:lang w:eastAsia="zh-CN"/>
        </w:rPr>
        <w:t>。</w:t>
      </w:r>
    </w:p>
    <w:p w14:paraId="5216AFB5">
      <w:pPr>
        <w:pStyle w:val="9"/>
        <w:pageBreakBefore w:val="0"/>
        <w:kinsoku/>
        <w:wordWrap/>
        <w:overflowPunct/>
        <w:topLinePunct w:val="0"/>
        <w:autoSpaceDE/>
        <w:autoSpaceDN/>
        <w:bidi w:val="0"/>
        <w:spacing w:line="560" w:lineRule="exact"/>
        <w:ind w:left="0" w:leftChars="0" w:right="0" w:rightChars="0" w:firstLine="640"/>
        <w:rPr>
          <w:rFonts w:ascii="楷体_GB2312" w:hAnsi="楷体_GB2312" w:eastAsia="楷体_GB2312" w:cs="楷体_GB2312"/>
          <w:b/>
          <w:bCs w:val="0"/>
          <w:highlight w:val="none"/>
        </w:rPr>
      </w:pPr>
      <w:r>
        <w:rPr>
          <w:rFonts w:hint="eastAsia" w:ascii="楷体_GB2312" w:hAnsi="楷体_GB2312" w:eastAsia="楷体_GB2312" w:cs="楷体_GB2312"/>
          <w:b/>
          <w:bCs w:val="0"/>
          <w:highlight w:val="none"/>
        </w:rPr>
        <w:t>（</w:t>
      </w:r>
      <w:r>
        <w:rPr>
          <w:rFonts w:hint="eastAsia" w:ascii="楷体_GB2312" w:hAnsi="楷体_GB2312" w:eastAsia="楷体_GB2312" w:cs="楷体_GB2312"/>
          <w:b/>
          <w:bCs w:val="0"/>
          <w:highlight w:val="none"/>
          <w:lang w:eastAsia="zh-CN"/>
        </w:rPr>
        <w:t>三</w:t>
      </w:r>
      <w:r>
        <w:rPr>
          <w:rFonts w:hint="eastAsia" w:ascii="楷体_GB2312" w:hAnsi="楷体_GB2312" w:eastAsia="楷体_GB2312" w:cs="楷体_GB2312"/>
          <w:b/>
          <w:bCs w:val="0"/>
          <w:highlight w:val="none"/>
        </w:rPr>
        <w:t>）</w:t>
      </w:r>
      <w:r>
        <w:rPr>
          <w:rFonts w:hint="eastAsia" w:ascii="楷体_GB2312" w:hAnsi="楷体_GB2312" w:eastAsia="楷体_GB2312" w:cs="楷体_GB2312"/>
          <w:b/>
          <w:bCs w:val="0"/>
          <w:highlight w:val="none"/>
          <w:lang w:eastAsia="zh-CN"/>
        </w:rPr>
        <w:t>深入推进生态保护和修复制度</w:t>
      </w:r>
    </w:p>
    <w:p w14:paraId="59DC15E0">
      <w:pPr>
        <w:pStyle w:val="26"/>
        <w:pageBreakBefore w:val="0"/>
        <w:kinsoku/>
        <w:wordWrap/>
        <w:overflowPunct/>
        <w:topLinePunct w:val="0"/>
        <w:autoSpaceDE/>
        <w:autoSpaceDN/>
        <w:bidi w:val="0"/>
        <w:adjustRightInd w:val="0"/>
        <w:snapToGrid w:val="0"/>
        <w:spacing w:line="560" w:lineRule="exact"/>
        <w:ind w:left="0" w:leftChars="0" w:right="0" w:rightChars="0" w:firstLine="640"/>
        <w:rPr>
          <w:rFonts w:hint="eastAsia" w:eastAsia="仿宋_GB2312" w:cs="Times New Roman"/>
          <w:kern w:val="2"/>
          <w:sz w:val="32"/>
          <w:szCs w:val="22"/>
          <w:highlight w:val="none"/>
          <w:lang w:eastAsia="zh-CN"/>
        </w:rPr>
      </w:pPr>
      <w:r>
        <w:rPr>
          <w:rFonts w:hint="eastAsia" w:eastAsia="仿宋_GB2312" w:cs="Times New Roman"/>
          <w:b/>
          <w:bCs/>
          <w:kern w:val="2"/>
          <w:sz w:val="32"/>
          <w:szCs w:val="22"/>
          <w:highlight w:val="none"/>
          <w:lang w:eastAsia="zh-CN"/>
        </w:rPr>
        <w:t>实施生态红线管控制度。</w:t>
      </w:r>
      <w:r>
        <w:rPr>
          <w:rFonts w:hint="eastAsia" w:eastAsia="仿宋_GB2312" w:cs="Times New Roman"/>
          <w:kern w:val="2"/>
          <w:sz w:val="32"/>
          <w:szCs w:val="22"/>
          <w:highlight w:val="none"/>
          <w:lang w:eastAsia="zh-CN"/>
        </w:rPr>
        <w:t>依据《广西生态保护红线管理办法（试行）》，围绕落实“生态功能不降低、面积不减少、性质不改变”的管控目标，按照“事前、事中、事后”全过程管理思路，建立监督管理制度、生态保护与修复制度、绩效考核制度等。遵循自然生态用地性质不转换、生态功能不降低、空间面积不减少、保护责任不改变的管控要求，由主要行政主管部门，依照各自职责对主管的生态保护红线区域进行日常管理和保护。生态保护红线区域实行最严格的管控措施，以自然恢复为主，人工干预为辅的原则开展生态保护。生态红线划定后，首先根据不同区域的相关生态环境特点建立相对应的健全保障机制；其次，逐步建立生态红线保护考核评价体系；再次，建立责任追究制度，对不顾生态环境盲目决策、造成严重后果的主体，追究其责任。</w:t>
      </w:r>
    </w:p>
    <w:p w14:paraId="5ADD36F3">
      <w:pPr>
        <w:pStyle w:val="26"/>
        <w:pageBreakBefore w:val="0"/>
        <w:kinsoku/>
        <w:wordWrap/>
        <w:overflowPunct/>
        <w:topLinePunct w:val="0"/>
        <w:autoSpaceDE/>
        <w:autoSpaceDN/>
        <w:bidi w:val="0"/>
        <w:adjustRightInd w:val="0"/>
        <w:snapToGrid w:val="0"/>
        <w:spacing w:line="560" w:lineRule="exact"/>
        <w:ind w:left="0" w:leftChars="0" w:right="0" w:rightChars="0" w:firstLine="640"/>
        <w:rPr>
          <w:rFonts w:hint="eastAsia" w:eastAsia="仿宋_GB2312" w:cs="Times New Roman"/>
          <w:kern w:val="2"/>
          <w:sz w:val="32"/>
          <w:szCs w:val="22"/>
          <w:highlight w:val="none"/>
          <w:lang w:eastAsia="zh-CN"/>
        </w:rPr>
      </w:pPr>
      <w:r>
        <w:rPr>
          <w:rFonts w:hint="eastAsia" w:eastAsia="仿宋_GB2312" w:cs="Times New Roman"/>
          <w:b/>
          <w:bCs/>
          <w:kern w:val="2"/>
          <w:sz w:val="32"/>
          <w:szCs w:val="22"/>
          <w:highlight w:val="none"/>
          <w:lang w:eastAsia="zh-CN"/>
        </w:rPr>
        <w:t>全面推进河长巡河常态化机制。</w:t>
      </w:r>
      <w:r>
        <w:rPr>
          <w:rFonts w:hint="eastAsia" w:eastAsia="仿宋_GB2312" w:cs="Times New Roman"/>
          <w:kern w:val="2"/>
          <w:sz w:val="32"/>
          <w:szCs w:val="22"/>
          <w:highlight w:val="none"/>
          <w:lang w:eastAsia="zh-CN"/>
        </w:rPr>
        <w:t>柳江区已全面推行河长制，全面形成覆盖区、镇、村四级河长组织体系，并出台了相关配套制度及考核办法，</w:t>
      </w:r>
      <w:r>
        <w:rPr>
          <w:rFonts w:hint="eastAsia" w:eastAsia="仿宋_GB2312" w:cs="Times New Roman"/>
          <w:kern w:val="2"/>
          <w:sz w:val="32"/>
          <w:szCs w:val="22"/>
          <w:highlight w:val="none"/>
          <w:lang w:val="en-US" w:eastAsia="zh-CN"/>
        </w:rPr>
        <w:t>2022年以来，全区各级河长每月巡河率均达100%。规划期柳江区应</w:t>
      </w:r>
      <w:r>
        <w:rPr>
          <w:rFonts w:hint="eastAsia" w:eastAsia="仿宋_GB2312" w:cs="Times New Roman"/>
          <w:kern w:val="2"/>
          <w:sz w:val="32"/>
          <w:szCs w:val="22"/>
          <w:highlight w:val="none"/>
          <w:lang w:eastAsia="zh-CN"/>
        </w:rPr>
        <w:t>持续加强和巩固河长管理成效，按照河长办工作要求，采取早部署、强配合、抓落实等一系列措施，严格落实巡河工作，加强河湖管理的工作力度，全面推进河长巡河常态化机制。</w:t>
      </w:r>
    </w:p>
    <w:p w14:paraId="5BAD710F">
      <w:pPr>
        <w:pStyle w:val="26"/>
        <w:pageBreakBefore w:val="0"/>
        <w:kinsoku/>
        <w:wordWrap/>
        <w:overflowPunct/>
        <w:topLinePunct w:val="0"/>
        <w:autoSpaceDE/>
        <w:autoSpaceDN/>
        <w:bidi w:val="0"/>
        <w:adjustRightInd w:val="0"/>
        <w:snapToGrid w:val="0"/>
        <w:spacing w:line="560" w:lineRule="exact"/>
        <w:ind w:left="0" w:leftChars="0" w:right="0" w:rightChars="0" w:firstLine="640"/>
        <w:rPr>
          <w:rFonts w:hint="eastAsia" w:eastAsia="仿宋_GB2312" w:cs="Times New Roman"/>
          <w:kern w:val="2"/>
          <w:sz w:val="32"/>
          <w:szCs w:val="22"/>
          <w:highlight w:val="none"/>
          <w:lang w:eastAsia="zh-CN"/>
        </w:rPr>
      </w:pPr>
      <w:r>
        <w:rPr>
          <w:rFonts w:hint="eastAsia" w:eastAsia="仿宋_GB2312" w:cs="Times New Roman"/>
          <w:b/>
          <w:bCs/>
          <w:kern w:val="2"/>
          <w:sz w:val="32"/>
          <w:szCs w:val="22"/>
          <w:highlight w:val="none"/>
          <w:lang w:eastAsia="zh-CN"/>
        </w:rPr>
        <w:t>实行均衡区域发展的生态保护补偿制度。</w:t>
      </w:r>
      <w:r>
        <w:rPr>
          <w:rFonts w:hint="eastAsia" w:eastAsia="仿宋_GB2312" w:cs="Times New Roman"/>
          <w:kern w:val="2"/>
          <w:sz w:val="32"/>
          <w:szCs w:val="22"/>
          <w:highlight w:val="none"/>
          <w:lang w:eastAsia="zh-CN"/>
        </w:rPr>
        <w:t>开展综合性生态保护补偿试点，对不同类型、不同领域的生态保护补偿资金进行统筹整合，加大对重点生态保护区域的补偿力度。重点支持自然保护区公益林保护、采矿区植被恢复、生活污水处理、地质灾害工程治理和生态移民等项目建设；以市场方式配置资源，提高资源利用效率，完善资源的开发利用、节约和保护机制。建立健全分类补偿与分档补助相结合的森林生态效益补偿机制，逐步提高生态公益林补偿标准。</w:t>
      </w:r>
    </w:p>
    <w:p w14:paraId="7911C634">
      <w:pPr>
        <w:pStyle w:val="9"/>
        <w:pageBreakBefore w:val="0"/>
        <w:kinsoku/>
        <w:wordWrap/>
        <w:overflowPunct/>
        <w:topLinePunct w:val="0"/>
        <w:autoSpaceDE/>
        <w:autoSpaceDN/>
        <w:bidi w:val="0"/>
        <w:spacing w:line="560" w:lineRule="exact"/>
        <w:ind w:left="0" w:leftChars="0" w:right="0" w:rightChars="0" w:firstLine="640"/>
        <w:rPr>
          <w:rFonts w:ascii="楷体_GB2312" w:hAnsi="楷体_GB2312" w:eastAsia="楷体_GB2312" w:cs="楷体_GB2312"/>
          <w:b/>
          <w:bCs w:val="0"/>
          <w:highlight w:val="none"/>
        </w:rPr>
      </w:pPr>
      <w:r>
        <w:rPr>
          <w:rFonts w:hint="eastAsia" w:ascii="楷体_GB2312" w:hAnsi="楷体_GB2312" w:eastAsia="楷体_GB2312" w:cs="楷体_GB2312"/>
          <w:b/>
          <w:bCs w:val="0"/>
          <w:highlight w:val="none"/>
        </w:rPr>
        <w:t>（</w:t>
      </w:r>
      <w:r>
        <w:rPr>
          <w:rFonts w:hint="eastAsia" w:ascii="楷体_GB2312" w:hAnsi="楷体_GB2312" w:eastAsia="楷体_GB2312" w:cs="楷体_GB2312"/>
          <w:b/>
          <w:bCs w:val="0"/>
          <w:highlight w:val="none"/>
          <w:lang w:eastAsia="zh-CN"/>
        </w:rPr>
        <w:t>四</w:t>
      </w:r>
      <w:r>
        <w:rPr>
          <w:rFonts w:hint="eastAsia" w:ascii="楷体_GB2312" w:hAnsi="楷体_GB2312" w:eastAsia="楷体_GB2312" w:cs="楷体_GB2312"/>
          <w:b/>
          <w:bCs w:val="0"/>
          <w:highlight w:val="none"/>
        </w:rPr>
        <w:t>）</w:t>
      </w:r>
      <w:r>
        <w:rPr>
          <w:rFonts w:hint="eastAsia" w:ascii="楷体_GB2312" w:hAnsi="楷体_GB2312" w:eastAsia="楷体_GB2312" w:cs="楷体_GB2312"/>
          <w:b/>
          <w:bCs w:val="0"/>
          <w:highlight w:val="none"/>
          <w:lang w:eastAsia="zh-CN"/>
        </w:rPr>
        <w:t>落实生态环境保护责任制度</w:t>
      </w:r>
    </w:p>
    <w:p w14:paraId="3B3B30C7">
      <w:pPr>
        <w:pStyle w:val="26"/>
        <w:pageBreakBefore w:val="0"/>
        <w:kinsoku/>
        <w:wordWrap/>
        <w:overflowPunct/>
        <w:topLinePunct w:val="0"/>
        <w:autoSpaceDE/>
        <w:autoSpaceDN/>
        <w:bidi w:val="0"/>
        <w:adjustRightInd w:val="0"/>
        <w:snapToGrid w:val="0"/>
        <w:spacing w:line="560" w:lineRule="exact"/>
        <w:ind w:left="0" w:leftChars="0" w:right="0" w:rightChars="0" w:firstLine="640"/>
        <w:rPr>
          <w:rFonts w:hint="eastAsia" w:eastAsia="仿宋_GB2312" w:cs="Times New Roman"/>
          <w:kern w:val="2"/>
          <w:sz w:val="32"/>
          <w:szCs w:val="22"/>
          <w:highlight w:val="none"/>
          <w:lang w:eastAsia="zh-CN"/>
        </w:rPr>
      </w:pPr>
      <w:r>
        <w:rPr>
          <w:rFonts w:hint="eastAsia" w:eastAsia="仿宋_GB2312" w:cs="Times New Roman"/>
          <w:b/>
          <w:bCs/>
          <w:kern w:val="2"/>
          <w:sz w:val="32"/>
          <w:szCs w:val="22"/>
          <w:highlight w:val="none"/>
          <w:lang w:eastAsia="zh-CN"/>
        </w:rPr>
        <w:t>建立生态文明建设目标责任制度。</w:t>
      </w:r>
      <w:r>
        <w:rPr>
          <w:rFonts w:hint="eastAsia" w:eastAsia="仿宋_GB2312" w:cs="Times New Roman"/>
          <w:kern w:val="2"/>
          <w:sz w:val="32"/>
          <w:szCs w:val="22"/>
          <w:highlight w:val="none"/>
          <w:lang w:eastAsia="zh-CN"/>
        </w:rPr>
        <w:t>成立柳江区国家生态文明建设示范区建设领导小组，推进政府任期和年度生态文明建设目标责任制，将“创建生态文明建设示范区”的目标任务纳入年度环保责任书，落实生态文明建设责任。柳江区国家生态文明建设示范区建设领导小组办公室每年制定生态文明建设年度行动计划，细化目标，分解任务，并将任务列入责任单位绩效考核目标，推动生态文明建设取得实效。柳江区国家生态文明建设示范区建设领导小组及其办公室对乡镇人民政府及相关部门的工作落实情况，进行定期、不定期检查督促和指导。</w:t>
      </w:r>
    </w:p>
    <w:p w14:paraId="1FE522A1">
      <w:pPr>
        <w:pStyle w:val="26"/>
        <w:pageBreakBefore w:val="0"/>
        <w:kinsoku/>
        <w:wordWrap/>
        <w:overflowPunct/>
        <w:topLinePunct w:val="0"/>
        <w:autoSpaceDE/>
        <w:autoSpaceDN/>
        <w:bidi w:val="0"/>
        <w:adjustRightInd w:val="0"/>
        <w:snapToGrid w:val="0"/>
        <w:spacing w:line="560" w:lineRule="exact"/>
        <w:ind w:left="0" w:leftChars="0" w:right="0" w:rightChars="0" w:firstLine="640"/>
        <w:rPr>
          <w:rFonts w:hint="eastAsia" w:eastAsia="仿宋_GB2312" w:cs="Times New Roman"/>
          <w:kern w:val="2"/>
          <w:sz w:val="32"/>
          <w:szCs w:val="22"/>
          <w:highlight w:val="none"/>
          <w:lang w:eastAsia="zh-CN"/>
        </w:rPr>
      </w:pPr>
      <w:r>
        <w:rPr>
          <w:rFonts w:hint="eastAsia" w:eastAsia="仿宋_GB2312" w:cs="Times New Roman"/>
          <w:b/>
          <w:bCs/>
          <w:kern w:val="2"/>
          <w:sz w:val="32"/>
          <w:szCs w:val="22"/>
          <w:highlight w:val="none"/>
          <w:lang w:eastAsia="zh-CN"/>
        </w:rPr>
        <w:t>完善生态文明建设绩效考核制度。</w:t>
      </w:r>
      <w:r>
        <w:rPr>
          <w:rFonts w:hint="eastAsia" w:eastAsia="仿宋_GB2312" w:cs="Times New Roman"/>
          <w:kern w:val="2"/>
          <w:sz w:val="32"/>
          <w:szCs w:val="22"/>
          <w:highlight w:val="none"/>
          <w:lang w:eastAsia="zh-CN"/>
        </w:rPr>
        <w:t>在原有的生态文明建设绩效考核制度基础上，制订完善生态文明建设评价体系和考核办法，严格落实《生态文明建设目标评价考核办法》，增加生态文明建设指标在各乡镇人民政府及相关部门目标绩效考核中的权重，把资源消耗、污染物排放、生态效益纳入经济社会发展评价体系。根据区域主体功能定位，进一步完善差别化考核制度，对重点生态功能区实行生态保护优先的绩效评价。逐年提升生态文明建设指标在政府绩效考核中的分值比例，2025年生态文明建设工作占党政实绩考核的比例不低于</w:t>
      </w:r>
      <w:r>
        <w:rPr>
          <w:rFonts w:hint="eastAsia" w:eastAsia="仿宋_GB2312" w:cs="Times New Roman"/>
          <w:kern w:val="2"/>
          <w:sz w:val="32"/>
          <w:szCs w:val="22"/>
          <w:highlight w:val="none"/>
          <w:lang w:val="en-US" w:eastAsia="zh-CN"/>
        </w:rPr>
        <w:t>20</w:t>
      </w:r>
      <w:r>
        <w:rPr>
          <w:rFonts w:hint="eastAsia" w:eastAsia="仿宋_GB2312" w:cs="Times New Roman"/>
          <w:kern w:val="2"/>
          <w:sz w:val="32"/>
          <w:szCs w:val="22"/>
          <w:highlight w:val="none"/>
          <w:lang w:eastAsia="zh-CN"/>
        </w:rPr>
        <w:t>%。</w:t>
      </w:r>
    </w:p>
    <w:p w14:paraId="0F0D09F7">
      <w:pPr>
        <w:pStyle w:val="26"/>
        <w:pageBreakBefore w:val="0"/>
        <w:kinsoku/>
        <w:wordWrap/>
        <w:overflowPunct/>
        <w:topLinePunct w:val="0"/>
        <w:autoSpaceDE/>
        <w:autoSpaceDN/>
        <w:bidi w:val="0"/>
        <w:adjustRightInd w:val="0"/>
        <w:snapToGrid w:val="0"/>
        <w:spacing w:line="560" w:lineRule="exact"/>
        <w:ind w:left="0" w:leftChars="0" w:right="0" w:rightChars="0" w:firstLine="640"/>
        <w:rPr>
          <w:rFonts w:hint="eastAsia" w:eastAsia="仿宋_GB2312" w:cs="Times New Roman"/>
          <w:kern w:val="2"/>
          <w:sz w:val="32"/>
          <w:szCs w:val="22"/>
          <w:highlight w:val="none"/>
          <w:lang w:eastAsia="zh-CN"/>
        </w:rPr>
      </w:pPr>
      <w:r>
        <w:rPr>
          <w:rFonts w:hint="eastAsia" w:eastAsia="仿宋_GB2312" w:cs="Times New Roman"/>
          <w:b/>
          <w:bCs/>
          <w:kern w:val="2"/>
          <w:sz w:val="32"/>
          <w:szCs w:val="22"/>
          <w:highlight w:val="none"/>
          <w:lang w:eastAsia="zh-CN"/>
        </w:rPr>
        <w:t>严格考核问责制度。</w:t>
      </w:r>
      <w:r>
        <w:rPr>
          <w:rFonts w:hint="eastAsia" w:eastAsia="仿宋_GB2312" w:cs="Times New Roman"/>
          <w:kern w:val="2"/>
          <w:sz w:val="32"/>
          <w:szCs w:val="22"/>
          <w:highlight w:val="none"/>
          <w:lang w:eastAsia="zh-CN"/>
        </w:rPr>
        <w:t>柳江区政府与各乡镇人民政府、街道办事处、相关部门和重点企业签订生态文明建设年度工作目标责任书，考核结果作为对领导班子及党政领导干部综合考核评价和责任追究的重要依据，并作为生态文明建设相关资金分配的参考依据。</w:t>
      </w:r>
    </w:p>
    <w:p w14:paraId="6D57F7F1">
      <w:pPr>
        <w:pStyle w:val="26"/>
        <w:pageBreakBefore w:val="0"/>
        <w:kinsoku/>
        <w:wordWrap/>
        <w:overflowPunct/>
        <w:topLinePunct w:val="0"/>
        <w:autoSpaceDE/>
        <w:autoSpaceDN/>
        <w:bidi w:val="0"/>
        <w:adjustRightInd w:val="0"/>
        <w:snapToGrid w:val="0"/>
        <w:spacing w:line="560" w:lineRule="exact"/>
        <w:ind w:left="0" w:leftChars="0" w:right="0" w:rightChars="0" w:firstLine="640"/>
        <w:rPr>
          <w:rFonts w:hint="eastAsia" w:eastAsia="仿宋_GB2312" w:cs="Times New Roman"/>
          <w:kern w:val="2"/>
          <w:sz w:val="32"/>
          <w:szCs w:val="22"/>
          <w:highlight w:val="none"/>
          <w:lang w:eastAsia="zh-CN"/>
        </w:rPr>
      </w:pPr>
      <w:r>
        <w:rPr>
          <w:rFonts w:hint="eastAsia" w:eastAsia="仿宋_GB2312" w:cs="Times New Roman"/>
          <w:b/>
          <w:bCs/>
          <w:kern w:val="2"/>
          <w:sz w:val="32"/>
          <w:szCs w:val="22"/>
          <w:highlight w:val="none"/>
          <w:lang w:eastAsia="zh-CN"/>
        </w:rPr>
        <w:t>完善环境责任离任审计制度。</w:t>
      </w:r>
      <w:r>
        <w:rPr>
          <w:rFonts w:hint="eastAsia" w:eastAsia="仿宋_GB2312" w:cs="Times New Roman"/>
          <w:kern w:val="2"/>
          <w:sz w:val="32"/>
          <w:szCs w:val="22"/>
          <w:highlight w:val="none"/>
          <w:lang w:eastAsia="zh-CN"/>
        </w:rPr>
        <w:t>成立领导干部自然资源资产离任审计工作小组，制定领导干部自然资源资产离任审计工作实施方案，明确各责任主体的自然资源资产负债表的编制责任、审计责任、配合责任和工作要求。探索实施领导干部离任自然资源资产责任审计制度，领导干部离任审计结果向公众公开，接受社会和群众监督，并且将审计结果作为领导干部提拔任用的重要依据。</w:t>
      </w:r>
    </w:p>
    <w:p w14:paraId="5702440F">
      <w:pPr>
        <w:pStyle w:val="26"/>
        <w:pageBreakBefore w:val="0"/>
        <w:kinsoku/>
        <w:wordWrap/>
        <w:overflowPunct/>
        <w:topLinePunct w:val="0"/>
        <w:autoSpaceDE/>
        <w:autoSpaceDN/>
        <w:bidi w:val="0"/>
        <w:adjustRightInd w:val="0"/>
        <w:snapToGrid w:val="0"/>
        <w:spacing w:line="560" w:lineRule="exact"/>
        <w:ind w:left="0" w:leftChars="0" w:right="0" w:rightChars="0" w:firstLine="640"/>
        <w:rPr>
          <w:rFonts w:hint="eastAsia" w:eastAsia="仿宋_GB2312" w:cs="Times New Roman"/>
          <w:kern w:val="2"/>
          <w:sz w:val="32"/>
          <w:szCs w:val="22"/>
          <w:highlight w:val="none"/>
          <w:lang w:eastAsia="zh-CN"/>
        </w:rPr>
      </w:pPr>
      <w:r>
        <w:rPr>
          <w:rFonts w:hint="eastAsia" w:eastAsia="仿宋_GB2312" w:cs="Times New Roman"/>
          <w:b/>
          <w:bCs/>
          <w:kern w:val="2"/>
          <w:sz w:val="32"/>
          <w:szCs w:val="22"/>
          <w:highlight w:val="none"/>
          <w:lang w:eastAsia="zh-CN"/>
        </w:rPr>
        <w:t>建立责任追究和环境损害赔偿制度。</w:t>
      </w:r>
      <w:r>
        <w:rPr>
          <w:rFonts w:hint="eastAsia" w:eastAsia="仿宋_GB2312" w:cs="Times New Roman"/>
          <w:kern w:val="2"/>
          <w:sz w:val="32"/>
          <w:szCs w:val="22"/>
          <w:highlight w:val="none"/>
          <w:lang w:eastAsia="zh-CN"/>
        </w:rPr>
        <w:t>强化党委政府生态文明建设的主体责任，落实党政同责、离任查责、终身追责制度。建立环境保护领导终身追究制、部门监管责任制、企业主体责任制。强化生产者环境保护法律责任，提高违法成本。按照“环境有价，损害担责”的原则，逐步推动生态环境损害赔偿制度法治化。向社会公开生态环境损害调查、鉴定评估、修复方案编制等工作中涉及公共利益的重大事项。</w:t>
      </w:r>
    </w:p>
    <w:p w14:paraId="2724EFCA">
      <w:pPr>
        <w:pStyle w:val="9"/>
        <w:pageBreakBefore w:val="0"/>
        <w:kinsoku/>
        <w:wordWrap/>
        <w:overflowPunct/>
        <w:topLinePunct w:val="0"/>
        <w:autoSpaceDE/>
        <w:autoSpaceDN/>
        <w:bidi w:val="0"/>
        <w:spacing w:line="560" w:lineRule="exact"/>
        <w:ind w:left="0" w:leftChars="0" w:right="0" w:rightChars="0" w:firstLine="640"/>
        <w:rPr>
          <w:rFonts w:ascii="楷体_GB2312" w:hAnsi="楷体_GB2312" w:eastAsia="楷体_GB2312" w:cs="楷体_GB2312"/>
          <w:b/>
          <w:bCs w:val="0"/>
          <w:highlight w:val="none"/>
        </w:rPr>
      </w:pPr>
      <w:r>
        <w:rPr>
          <w:rFonts w:hint="eastAsia" w:ascii="楷体_GB2312" w:hAnsi="楷体_GB2312" w:eastAsia="楷体_GB2312" w:cs="楷体_GB2312"/>
          <w:b/>
          <w:bCs w:val="0"/>
          <w:highlight w:val="none"/>
        </w:rPr>
        <w:t>（</w:t>
      </w:r>
      <w:r>
        <w:rPr>
          <w:rFonts w:hint="eastAsia" w:ascii="楷体_GB2312" w:hAnsi="楷体_GB2312" w:eastAsia="楷体_GB2312" w:cs="楷体_GB2312"/>
          <w:b/>
          <w:bCs w:val="0"/>
          <w:highlight w:val="none"/>
          <w:lang w:eastAsia="zh-CN"/>
        </w:rPr>
        <w:t>五</w:t>
      </w:r>
      <w:r>
        <w:rPr>
          <w:rFonts w:hint="eastAsia" w:ascii="楷体_GB2312" w:hAnsi="楷体_GB2312" w:eastAsia="楷体_GB2312" w:cs="楷体_GB2312"/>
          <w:b/>
          <w:bCs w:val="0"/>
          <w:highlight w:val="none"/>
        </w:rPr>
        <w:t>）</w:t>
      </w:r>
      <w:r>
        <w:rPr>
          <w:rFonts w:hint="eastAsia" w:ascii="楷体_GB2312" w:hAnsi="楷体_GB2312" w:eastAsia="楷体_GB2312" w:cs="楷体_GB2312"/>
          <w:b/>
          <w:bCs w:val="0"/>
          <w:highlight w:val="none"/>
          <w:lang w:eastAsia="zh-CN"/>
        </w:rPr>
        <w:t>建立健全现代生态环境治理体系</w:t>
      </w:r>
    </w:p>
    <w:p w14:paraId="43CA72DE">
      <w:pPr>
        <w:pStyle w:val="26"/>
        <w:pageBreakBefore w:val="0"/>
        <w:kinsoku/>
        <w:wordWrap/>
        <w:overflowPunct/>
        <w:topLinePunct w:val="0"/>
        <w:autoSpaceDE/>
        <w:autoSpaceDN/>
        <w:bidi w:val="0"/>
        <w:adjustRightInd w:val="0"/>
        <w:snapToGrid w:val="0"/>
        <w:spacing w:line="560" w:lineRule="exact"/>
        <w:ind w:left="0" w:leftChars="0" w:right="0" w:rightChars="0" w:firstLine="640"/>
        <w:rPr>
          <w:rFonts w:hint="eastAsia" w:eastAsia="仿宋_GB2312" w:cs="Times New Roman"/>
          <w:kern w:val="2"/>
          <w:sz w:val="32"/>
          <w:szCs w:val="22"/>
          <w:highlight w:val="none"/>
        </w:rPr>
      </w:pPr>
      <w:r>
        <w:rPr>
          <w:rFonts w:hint="eastAsia" w:eastAsia="仿宋_GB2312" w:cs="Times New Roman"/>
          <w:b/>
          <w:bCs/>
          <w:kern w:val="2"/>
          <w:sz w:val="32"/>
          <w:szCs w:val="22"/>
          <w:highlight w:val="none"/>
        </w:rPr>
        <w:t>完善生态环境社会监督举报机制</w:t>
      </w:r>
      <w:r>
        <w:rPr>
          <w:rFonts w:hint="eastAsia" w:eastAsia="仿宋_GB2312" w:cs="Times New Roman"/>
          <w:b/>
          <w:bCs/>
          <w:kern w:val="2"/>
          <w:sz w:val="32"/>
          <w:szCs w:val="22"/>
          <w:highlight w:val="none"/>
          <w:lang w:eastAsia="zh-CN"/>
        </w:rPr>
        <w:t>。</w:t>
      </w:r>
      <w:r>
        <w:rPr>
          <w:rFonts w:hint="eastAsia" w:eastAsia="仿宋_GB2312" w:cs="Times New Roman"/>
          <w:kern w:val="2"/>
          <w:sz w:val="32"/>
          <w:szCs w:val="22"/>
          <w:highlight w:val="none"/>
        </w:rPr>
        <w:t>健全举报制度，鼓励公民、法人和其他社会组织就生态环境问题进行举报。丰富生态环境公众监督形式，建立公众参与的环境后督察和后评估机制。建立社会舆情引导监督机制，明确舆论监督的范围和内容，健全环境舆论回应机制，加强对生态文明的舆论引导和公众监督。建立环境公益诉讼制度，对污染环境、破坏生态的行为，有关组织可提起公益诉讼。完善环境信访制度，建立环境信访预警机制和隐患排查制度，完善信访查处制度和积案化解制度。同时，设立投诉举报信箱、领导信箱，完善24小时12369环保投诉举报电话、建立微信举报平台，畅通群众举报投诉渠道，及时回应群众关切。在建设项目立项、实施、后评价等环节，有序增强公众参与程度。引导生态文明建设领域各类社会组织健康有序发展，发挥社会组织和志愿者的积极作用。</w:t>
      </w:r>
    </w:p>
    <w:p w14:paraId="5F1E8CF0">
      <w:pPr>
        <w:pStyle w:val="26"/>
        <w:pageBreakBefore w:val="0"/>
        <w:kinsoku/>
        <w:wordWrap/>
        <w:overflowPunct/>
        <w:topLinePunct w:val="0"/>
        <w:autoSpaceDE/>
        <w:autoSpaceDN/>
        <w:bidi w:val="0"/>
        <w:adjustRightInd w:val="0"/>
        <w:snapToGrid w:val="0"/>
        <w:spacing w:line="560" w:lineRule="exact"/>
        <w:ind w:left="0" w:leftChars="0" w:right="0" w:rightChars="0" w:firstLine="640"/>
        <w:rPr>
          <w:rFonts w:hint="eastAsia" w:eastAsia="仿宋_GB2312" w:cs="Times New Roman"/>
          <w:kern w:val="2"/>
          <w:sz w:val="32"/>
          <w:szCs w:val="22"/>
          <w:highlight w:val="none"/>
        </w:rPr>
      </w:pPr>
      <w:r>
        <w:rPr>
          <w:rFonts w:hint="eastAsia" w:eastAsia="仿宋_GB2312" w:cs="Times New Roman"/>
          <w:b/>
          <w:bCs/>
          <w:kern w:val="2"/>
          <w:sz w:val="32"/>
          <w:szCs w:val="22"/>
          <w:highlight w:val="none"/>
        </w:rPr>
        <w:t>探索建立生态产品价值实现机制</w:t>
      </w:r>
      <w:r>
        <w:rPr>
          <w:rFonts w:hint="eastAsia" w:eastAsia="仿宋_GB2312" w:cs="Times New Roman"/>
          <w:b/>
          <w:bCs/>
          <w:kern w:val="2"/>
          <w:sz w:val="32"/>
          <w:szCs w:val="22"/>
          <w:highlight w:val="none"/>
          <w:lang w:eastAsia="zh-CN"/>
        </w:rPr>
        <w:t>。</w:t>
      </w:r>
      <w:r>
        <w:rPr>
          <w:rFonts w:hint="eastAsia" w:eastAsia="仿宋_GB2312" w:cs="Times New Roman"/>
          <w:kern w:val="2"/>
          <w:sz w:val="32"/>
          <w:szCs w:val="22"/>
          <w:highlight w:val="none"/>
        </w:rPr>
        <w:t>积极探索政府主导、企业和社会各界参与、市场化运作、可持续发展的生态产品价值多元化实现路径。发挥</w:t>
      </w:r>
      <w:r>
        <w:rPr>
          <w:rFonts w:hint="eastAsia" w:eastAsia="仿宋_GB2312" w:cs="Times New Roman"/>
          <w:kern w:val="2"/>
          <w:sz w:val="32"/>
          <w:szCs w:val="22"/>
          <w:highlight w:val="none"/>
          <w:lang w:eastAsia="zh-CN"/>
        </w:rPr>
        <w:t>柳江区</w:t>
      </w:r>
      <w:r>
        <w:rPr>
          <w:rFonts w:hint="eastAsia" w:eastAsia="仿宋_GB2312" w:cs="Times New Roman"/>
          <w:kern w:val="2"/>
          <w:sz w:val="32"/>
          <w:szCs w:val="22"/>
          <w:highlight w:val="none"/>
        </w:rPr>
        <w:t>森林碳汇量大的优势，积极参与碳排放权交易试点。加强排污权储备调配，探索推进排污权、用能权、用水权、碳排放权市场化交易。在造纸、电力、有色等行业推行排污权有偿使用和交易试点，建立排污权交易体系。推行用能权交易制度，探索水权市场改革。健全促进绿色发展价格机制，完善污水、固体废物处理收费机制，建立有利于节约用水用能的价格机制，严格落实差别电价、惩罚性电价政策。</w:t>
      </w:r>
    </w:p>
    <w:p w14:paraId="7FCD4F5B">
      <w:pPr>
        <w:pStyle w:val="26"/>
        <w:pageBreakBefore w:val="0"/>
        <w:kinsoku/>
        <w:wordWrap/>
        <w:overflowPunct/>
        <w:topLinePunct w:val="0"/>
        <w:autoSpaceDE/>
        <w:autoSpaceDN/>
        <w:bidi w:val="0"/>
        <w:adjustRightInd w:val="0"/>
        <w:snapToGrid w:val="0"/>
        <w:spacing w:line="560" w:lineRule="exact"/>
        <w:ind w:left="0" w:leftChars="0" w:right="0" w:rightChars="0" w:firstLine="640"/>
        <w:rPr>
          <w:rFonts w:hint="eastAsia" w:eastAsia="仿宋_GB2312" w:cs="Times New Roman"/>
          <w:kern w:val="2"/>
          <w:sz w:val="32"/>
          <w:szCs w:val="22"/>
          <w:highlight w:val="none"/>
        </w:rPr>
      </w:pPr>
      <w:r>
        <w:rPr>
          <w:rFonts w:hint="eastAsia" w:eastAsia="仿宋_GB2312" w:cs="Times New Roman"/>
          <w:b/>
          <w:bCs/>
          <w:kern w:val="2"/>
          <w:sz w:val="32"/>
          <w:szCs w:val="22"/>
          <w:highlight w:val="none"/>
        </w:rPr>
        <w:t>推行环境污染第三方治理制度</w:t>
      </w:r>
      <w:r>
        <w:rPr>
          <w:rFonts w:hint="eastAsia" w:eastAsia="仿宋_GB2312" w:cs="Times New Roman"/>
          <w:b/>
          <w:bCs/>
          <w:kern w:val="2"/>
          <w:sz w:val="32"/>
          <w:szCs w:val="22"/>
          <w:highlight w:val="none"/>
          <w:lang w:eastAsia="zh-CN"/>
        </w:rPr>
        <w:t>。</w:t>
      </w:r>
      <w:r>
        <w:rPr>
          <w:rFonts w:hint="eastAsia" w:eastAsia="仿宋_GB2312" w:cs="Times New Roman"/>
          <w:kern w:val="2"/>
          <w:sz w:val="32"/>
          <w:szCs w:val="22"/>
          <w:highlight w:val="none"/>
        </w:rPr>
        <w:t>推进环境公用设施投资建设运营市场化，对可经营性好的城镇污水处理、垃圾资源化处理、环境监测等，采取特许经营、委托经营等方式引入第三方治理企业。以工业园区污水处理、固废利用和循环化改造为重点，引进第三方进行整体式设计、模块化建设、一体化运营。在重点片区农村面貌提升改造等农村环境整治领域，鼓励采用环境绩效合同服务等方式引入第三方治理企业，开展污水和垃圾收集、转运、集中处理于一体的综合环境服务。</w:t>
      </w:r>
    </w:p>
    <w:p w14:paraId="20A77C4B">
      <w:pPr>
        <w:pStyle w:val="26"/>
        <w:pageBreakBefore w:val="0"/>
        <w:kinsoku/>
        <w:wordWrap/>
        <w:overflowPunct/>
        <w:topLinePunct w:val="0"/>
        <w:autoSpaceDE/>
        <w:autoSpaceDN/>
        <w:bidi w:val="0"/>
        <w:adjustRightInd w:val="0"/>
        <w:snapToGrid w:val="0"/>
        <w:spacing w:line="560" w:lineRule="exact"/>
        <w:ind w:left="0" w:leftChars="0" w:right="0" w:rightChars="0" w:firstLine="640"/>
        <w:rPr>
          <w:rFonts w:hint="eastAsia" w:eastAsia="仿宋_GB2312" w:cs="Times New Roman"/>
          <w:kern w:val="2"/>
          <w:sz w:val="32"/>
          <w:szCs w:val="22"/>
          <w:highlight w:val="none"/>
        </w:rPr>
      </w:pPr>
      <w:r>
        <w:rPr>
          <w:rFonts w:hint="eastAsia" w:eastAsia="仿宋_GB2312" w:cs="Times New Roman"/>
          <w:b/>
          <w:bCs/>
          <w:kern w:val="2"/>
          <w:sz w:val="32"/>
          <w:szCs w:val="22"/>
          <w:highlight w:val="none"/>
        </w:rPr>
        <w:t>建立多元化环保投入机制</w:t>
      </w:r>
      <w:r>
        <w:rPr>
          <w:rFonts w:hint="eastAsia" w:eastAsia="仿宋_GB2312" w:cs="Times New Roman"/>
          <w:b/>
          <w:bCs/>
          <w:kern w:val="2"/>
          <w:sz w:val="32"/>
          <w:szCs w:val="22"/>
          <w:highlight w:val="none"/>
          <w:lang w:eastAsia="zh-CN"/>
        </w:rPr>
        <w:t>。</w:t>
      </w:r>
      <w:r>
        <w:rPr>
          <w:rFonts w:hint="eastAsia" w:eastAsia="仿宋_GB2312" w:cs="Times New Roman"/>
          <w:kern w:val="2"/>
          <w:sz w:val="32"/>
          <w:szCs w:val="22"/>
          <w:highlight w:val="none"/>
        </w:rPr>
        <w:t>建立制度化的财政投入预算保障机制，确保环保支出与GDP、财政收入联动增长，逐步增加环境保护专项资金的投入，重点用于环境基础设施建设、农村环境综合整治、水源地保护及环境监测能力建设等公益事业方面，促进各项环保重大建设项目纳入当地政府、部门和企业的项目计划。鼓励和支持工商资本、民间资本、外来资本通过并购、项目融资等形式，逐步推进环保设施建设和运营的多元化、企业化、市场化，逐步形成政府主导、企业自觉、社会支持的多元化环保投入机制。</w:t>
      </w:r>
    </w:p>
    <w:p w14:paraId="1DBD9FD2">
      <w:pPr>
        <w:pStyle w:val="26"/>
        <w:pageBreakBefore w:val="0"/>
        <w:kinsoku/>
        <w:wordWrap/>
        <w:overflowPunct/>
        <w:topLinePunct w:val="0"/>
        <w:autoSpaceDE/>
        <w:autoSpaceDN/>
        <w:bidi w:val="0"/>
        <w:adjustRightInd w:val="0"/>
        <w:snapToGrid w:val="0"/>
        <w:spacing w:line="560" w:lineRule="exact"/>
        <w:ind w:left="0" w:leftChars="0" w:right="0" w:rightChars="0" w:firstLine="640"/>
        <w:rPr>
          <w:rFonts w:eastAsia="仿宋_GB2312" w:cs="Times New Roman"/>
          <w:highlight w:val="none"/>
        </w:rPr>
      </w:pPr>
      <w:r>
        <w:rPr>
          <w:rFonts w:hint="eastAsia" w:eastAsia="仿宋_GB2312" w:cs="Times New Roman"/>
          <w:b/>
          <w:bCs/>
          <w:kern w:val="2"/>
          <w:sz w:val="32"/>
          <w:szCs w:val="22"/>
          <w:highlight w:val="none"/>
        </w:rPr>
        <w:t>绿色办公和政府采购制度</w:t>
      </w:r>
      <w:r>
        <w:rPr>
          <w:rFonts w:hint="eastAsia" w:eastAsia="仿宋_GB2312" w:cs="Times New Roman"/>
          <w:b/>
          <w:bCs/>
          <w:kern w:val="2"/>
          <w:sz w:val="32"/>
          <w:szCs w:val="22"/>
          <w:highlight w:val="none"/>
          <w:lang w:eastAsia="zh-CN"/>
        </w:rPr>
        <w:t>。</w:t>
      </w:r>
      <w:r>
        <w:rPr>
          <w:rFonts w:hint="eastAsia" w:eastAsia="仿宋_GB2312" w:cs="Times New Roman"/>
          <w:kern w:val="2"/>
          <w:sz w:val="32"/>
          <w:szCs w:val="22"/>
          <w:highlight w:val="none"/>
        </w:rPr>
        <w:t>提倡绿色出行，减少公务车的使用，优选节能环保车辆；提倡绿色办公，推进电子政务建设，高效利用办公用品。大力推行政府绿色采购，规范非公开招标的政府采购方式实施程序，完善绿色采购执行机制和监督监管，建立绿色采购的绩效评价机制和责任机制。完善环境标志产品认证制度，建立和完善政府绿色采购清单动态调整机制和公示制度。</w:t>
      </w:r>
    </w:p>
    <w:p w14:paraId="0F4C65BC">
      <w:pPr>
        <w:pStyle w:val="8"/>
        <w:pageBreakBefore w:val="0"/>
        <w:kinsoku/>
        <w:wordWrap/>
        <w:overflowPunct/>
        <w:topLinePunct w:val="0"/>
        <w:autoSpaceDE/>
        <w:autoSpaceDN/>
        <w:bidi w:val="0"/>
        <w:spacing w:line="560" w:lineRule="exact"/>
        <w:ind w:left="0" w:leftChars="0" w:right="0" w:rightChars="0" w:firstLine="640"/>
        <w:rPr>
          <w:b w:val="0"/>
          <w:bCs w:val="0"/>
          <w:highlight w:val="none"/>
        </w:rPr>
      </w:pPr>
      <w:bookmarkStart w:id="82" w:name="_Toc4351"/>
      <w:bookmarkStart w:id="83" w:name="_Toc5288"/>
      <w:bookmarkStart w:id="84" w:name="_Toc429"/>
      <w:bookmarkStart w:id="85" w:name="_Toc32479"/>
      <w:bookmarkStart w:id="86" w:name="_Toc25140"/>
      <w:bookmarkStart w:id="87" w:name="_Toc564"/>
      <w:bookmarkStart w:id="88" w:name="_Toc11061"/>
      <w:r>
        <w:rPr>
          <w:rFonts w:hint="eastAsia"/>
          <w:b w:val="0"/>
          <w:bCs w:val="0"/>
          <w:highlight w:val="none"/>
        </w:rPr>
        <w:t>二、</w:t>
      </w:r>
      <w:bookmarkStart w:id="89" w:name="_Toc520208709"/>
      <w:bookmarkStart w:id="90" w:name="_Toc2714"/>
      <w:r>
        <w:rPr>
          <w:rFonts w:hint="eastAsia"/>
          <w:b w:val="0"/>
          <w:bCs w:val="0"/>
          <w:highlight w:val="none"/>
          <w:lang w:eastAsia="zh-CN"/>
        </w:rPr>
        <w:t>生态安全体系建设</w:t>
      </w:r>
      <w:bookmarkEnd w:id="82"/>
      <w:bookmarkEnd w:id="83"/>
      <w:bookmarkEnd w:id="84"/>
      <w:bookmarkEnd w:id="85"/>
      <w:bookmarkEnd w:id="86"/>
      <w:bookmarkEnd w:id="87"/>
      <w:bookmarkEnd w:id="88"/>
      <w:bookmarkEnd w:id="89"/>
      <w:bookmarkEnd w:id="90"/>
    </w:p>
    <w:p w14:paraId="61A2103E">
      <w:pPr>
        <w:pStyle w:val="9"/>
        <w:pageBreakBefore w:val="0"/>
        <w:kinsoku/>
        <w:wordWrap/>
        <w:overflowPunct/>
        <w:topLinePunct w:val="0"/>
        <w:autoSpaceDE/>
        <w:autoSpaceDN/>
        <w:bidi w:val="0"/>
        <w:spacing w:line="560" w:lineRule="exact"/>
        <w:ind w:left="0" w:leftChars="0" w:right="0" w:rightChars="0" w:firstLine="640"/>
        <w:rPr>
          <w:rFonts w:ascii="楷体_GB2312" w:hAnsi="楷体_GB2312" w:eastAsia="楷体_GB2312" w:cs="楷体_GB2312"/>
          <w:b/>
          <w:bCs w:val="0"/>
          <w:highlight w:val="none"/>
        </w:rPr>
      </w:pPr>
      <w:r>
        <w:rPr>
          <w:rFonts w:hint="eastAsia" w:ascii="楷体_GB2312" w:hAnsi="楷体_GB2312" w:eastAsia="楷体_GB2312" w:cs="楷体_GB2312"/>
          <w:b/>
          <w:bCs w:val="0"/>
          <w:highlight w:val="none"/>
        </w:rPr>
        <w:t>（一）</w:t>
      </w:r>
      <w:bookmarkStart w:id="91" w:name="_Toc471226385"/>
      <w:bookmarkStart w:id="92" w:name="_Toc471226271"/>
      <w:r>
        <w:rPr>
          <w:rFonts w:hint="eastAsia" w:ascii="楷体_GB2312" w:hAnsi="楷体_GB2312" w:eastAsia="楷体_GB2312" w:cs="楷体_GB2312"/>
          <w:b/>
          <w:bCs w:val="0"/>
          <w:highlight w:val="none"/>
          <w:lang w:eastAsia="zh-CN"/>
        </w:rPr>
        <w:t>坚持减污降碳，积极应对全球气候变化</w:t>
      </w:r>
      <w:bookmarkEnd w:id="91"/>
      <w:bookmarkEnd w:id="92"/>
    </w:p>
    <w:p w14:paraId="5EFA342B">
      <w:pPr>
        <w:pageBreakBefore w:val="0"/>
        <w:kinsoku/>
        <w:wordWrap/>
        <w:overflowPunct/>
        <w:topLinePunct w:val="0"/>
        <w:autoSpaceDE/>
        <w:autoSpaceDN/>
        <w:bidi w:val="0"/>
        <w:spacing w:line="560" w:lineRule="exact"/>
        <w:ind w:left="0" w:leftChars="0" w:right="0" w:rightChars="0" w:firstLine="640"/>
        <w:rPr>
          <w:rFonts w:eastAsia="仿宋_GB2312" w:cs="Times New Roman"/>
          <w:highlight w:val="none"/>
        </w:rPr>
      </w:pPr>
      <w:r>
        <w:rPr>
          <w:rFonts w:eastAsia="仿宋_GB2312" w:cs="Times New Roman"/>
          <w:highlight w:val="none"/>
        </w:rPr>
        <w:t>1.</w:t>
      </w:r>
      <w:r>
        <w:rPr>
          <w:rFonts w:hint="default" w:eastAsia="仿宋_GB2312" w:cs="Times New Roman"/>
          <w:highlight w:val="none"/>
        </w:rPr>
        <w:t>控制温室气体排放</w:t>
      </w:r>
    </w:p>
    <w:p w14:paraId="5F8B6B3E">
      <w:pPr>
        <w:pageBreakBefore w:val="0"/>
        <w:kinsoku/>
        <w:wordWrap/>
        <w:overflowPunct/>
        <w:topLinePunct w:val="0"/>
        <w:autoSpaceDE/>
        <w:autoSpaceDN/>
        <w:bidi w:val="0"/>
        <w:spacing w:line="560" w:lineRule="exact"/>
        <w:ind w:left="0" w:leftChars="0" w:right="0" w:rightChars="0" w:firstLine="640"/>
        <w:rPr>
          <w:rFonts w:hint="default" w:eastAsia="仿宋_GB2312" w:cs="Times New Roman"/>
          <w:highlight w:val="none"/>
        </w:rPr>
      </w:pPr>
      <w:r>
        <w:rPr>
          <w:rFonts w:hint="default" w:eastAsia="仿宋_GB2312" w:cs="Times New Roman"/>
          <w:b/>
          <w:bCs/>
          <w:highlight w:val="none"/>
        </w:rPr>
        <w:t>加强重点领域温室气体排放协同控制。</w:t>
      </w:r>
      <w:r>
        <w:rPr>
          <w:rFonts w:hint="default" w:eastAsia="仿宋_GB2312" w:cs="Times New Roman"/>
          <w:highlight w:val="none"/>
        </w:rPr>
        <w:t>加强工业、城乡建设、交通运输、农业、废弃物处理等重点领域温室气体排放控制，推进产业体系、能源体系低碳化，加强电力、制糖、化工、建材等重点行业碳减排。持续推进能源结构优化，强化交通、建筑等重点领域低碳发展。提高新能源在公共交通领域的应用比例，推广新能源汽车及其他清洁燃料汽车，加快新能源汽车充电站、充电桩等配套设施建设。推进既有建筑节能改造，发展低能耗绿色节能建筑。强化氧化亚氮、氢氟碳化物、甲烷等非二氧化碳温室气体管控。协同控制大气污染、水污染、固体废弃物污染，实现减污降碳协同效应。</w:t>
      </w:r>
    </w:p>
    <w:p w14:paraId="16FC8DD4">
      <w:pPr>
        <w:pageBreakBefore w:val="0"/>
        <w:kinsoku/>
        <w:wordWrap/>
        <w:overflowPunct/>
        <w:topLinePunct w:val="0"/>
        <w:autoSpaceDE/>
        <w:autoSpaceDN/>
        <w:bidi w:val="0"/>
        <w:spacing w:line="560" w:lineRule="exact"/>
        <w:ind w:left="0" w:leftChars="0" w:right="0" w:rightChars="0" w:firstLine="640"/>
        <w:rPr>
          <w:rFonts w:cs="Times New Roman"/>
          <w:highlight w:val="none"/>
        </w:rPr>
      </w:pPr>
      <w:r>
        <w:rPr>
          <w:rFonts w:hint="default" w:eastAsia="仿宋_GB2312" w:cs="Times New Roman"/>
          <w:b/>
          <w:bCs/>
          <w:highlight w:val="none"/>
        </w:rPr>
        <w:t>推进清洁能源产业发展。</w:t>
      </w:r>
      <w:r>
        <w:rPr>
          <w:rFonts w:hint="default" w:eastAsia="仿宋_GB2312" w:cs="Times New Roman"/>
          <w:highlight w:val="none"/>
        </w:rPr>
        <w:t>加大清洁能源开发力度，大力发展风能、光能等清洁能源产业，推进天然气、液化石油气、风能等优质能源替代煤，加快能源转型，加大天然气项目推进力度，提高居民生活能源中清洁能源的消费比例，减少碳排放</w:t>
      </w:r>
      <w:r>
        <w:rPr>
          <w:rFonts w:eastAsia="仿宋_GB2312" w:cs="Times New Roman"/>
          <w:highlight w:val="none"/>
        </w:rPr>
        <w:t>。</w:t>
      </w:r>
    </w:p>
    <w:p w14:paraId="346B3E62">
      <w:pPr>
        <w:pageBreakBefore w:val="0"/>
        <w:kinsoku/>
        <w:wordWrap/>
        <w:overflowPunct/>
        <w:topLinePunct w:val="0"/>
        <w:autoSpaceDE/>
        <w:autoSpaceDN/>
        <w:bidi w:val="0"/>
        <w:spacing w:line="560" w:lineRule="exact"/>
        <w:ind w:left="0" w:leftChars="0" w:right="0" w:rightChars="0" w:firstLine="640"/>
        <w:rPr>
          <w:rFonts w:ascii="仿宋_GB2312" w:hAnsi="仿宋_GB2312" w:eastAsia="仿宋_GB2312" w:cs="仿宋_GB2312"/>
          <w:highlight w:val="none"/>
        </w:rPr>
      </w:pPr>
      <w:r>
        <w:rPr>
          <w:rFonts w:eastAsia="仿宋_GB2312" w:cs="Times New Roman"/>
          <w:highlight w:val="none"/>
        </w:rPr>
        <w:t>2.</w:t>
      </w:r>
      <w:r>
        <w:rPr>
          <w:rFonts w:hint="default" w:eastAsia="仿宋_GB2312" w:cs="Times New Roman"/>
          <w:highlight w:val="none"/>
        </w:rPr>
        <w:t>积极开展碳达峰行动</w:t>
      </w:r>
    </w:p>
    <w:p w14:paraId="43F19870">
      <w:pPr>
        <w:pageBreakBefore w:val="0"/>
        <w:kinsoku/>
        <w:wordWrap/>
        <w:overflowPunct/>
        <w:topLinePunct w:val="0"/>
        <w:autoSpaceDE/>
        <w:autoSpaceDN/>
        <w:bidi w:val="0"/>
        <w:spacing w:line="560" w:lineRule="exact"/>
        <w:ind w:left="0" w:leftChars="0" w:right="0" w:rightChars="0" w:firstLine="640"/>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rPr>
        <w:t>根据国家、自治区和柳州市关于碳达峰的要求，积极配合柳州市开展二氧化碳排放达峰行动，引导有条件的园区、社区积极申报创建国家级近零碳排放区示范试点和自治区低碳社区试点，探索建立“低碳”试点示范创建。加强达峰目标过程管理，强化形势分析和激励督导，确保达峰目标如期实现。协助柳州市做好减污和降碳监管，加强应对气候变化与生态环境保护工作统筹融合、协同增效，完善重点行业碳排放监测、报送和核查机制，确保在2030年之前全</w:t>
      </w:r>
      <w:r>
        <w:rPr>
          <w:rFonts w:hint="eastAsia" w:ascii="仿宋_GB2312" w:hAnsi="仿宋_GB2312" w:eastAsia="仿宋_GB2312" w:cs="仿宋_GB2312"/>
          <w:highlight w:val="none"/>
          <w:lang w:eastAsia="zh-CN"/>
        </w:rPr>
        <w:t>区</w:t>
      </w:r>
      <w:r>
        <w:rPr>
          <w:rFonts w:hint="eastAsia" w:ascii="仿宋_GB2312" w:hAnsi="仿宋_GB2312" w:eastAsia="仿宋_GB2312" w:cs="仿宋_GB2312"/>
          <w:highlight w:val="none"/>
        </w:rPr>
        <w:t>实现二氧化碳排放提前达峰</w:t>
      </w:r>
      <w:r>
        <w:rPr>
          <w:rFonts w:hint="eastAsia" w:ascii="仿宋_GB2312" w:hAnsi="仿宋_GB2312" w:eastAsia="仿宋_GB2312" w:cs="仿宋_GB2312"/>
          <w:highlight w:val="none"/>
          <w:lang w:eastAsia="zh-CN"/>
        </w:rPr>
        <w:t>。</w:t>
      </w:r>
    </w:p>
    <w:p w14:paraId="3CD60B1A">
      <w:pPr>
        <w:pageBreakBefore w:val="0"/>
        <w:kinsoku/>
        <w:wordWrap/>
        <w:overflowPunct/>
        <w:topLinePunct w:val="0"/>
        <w:autoSpaceDE/>
        <w:autoSpaceDN/>
        <w:bidi w:val="0"/>
        <w:spacing w:line="560" w:lineRule="exact"/>
        <w:ind w:left="0" w:leftChars="0" w:right="0" w:rightChars="0" w:firstLine="640"/>
        <w:rPr>
          <w:rFonts w:ascii="仿宋_GB2312" w:hAnsi="仿宋_GB2312" w:eastAsia="仿宋_GB2312" w:cs="仿宋_GB2312"/>
          <w:highlight w:val="none"/>
        </w:rPr>
      </w:pPr>
      <w:r>
        <w:rPr>
          <w:rFonts w:hint="eastAsia" w:eastAsia="仿宋_GB2312" w:cs="Times New Roman"/>
          <w:highlight w:val="none"/>
          <w:lang w:val="en-US" w:eastAsia="zh-CN"/>
        </w:rPr>
        <w:t>3</w:t>
      </w:r>
      <w:r>
        <w:rPr>
          <w:rFonts w:eastAsia="仿宋_GB2312" w:cs="Times New Roman"/>
          <w:highlight w:val="none"/>
        </w:rPr>
        <w:t>.</w:t>
      </w:r>
      <w:r>
        <w:rPr>
          <w:rFonts w:hint="eastAsia" w:eastAsia="仿宋_GB2312" w:cs="Times New Roman"/>
          <w:highlight w:val="none"/>
          <w:lang w:eastAsia="zh-CN"/>
        </w:rPr>
        <w:t>积极应对</w:t>
      </w:r>
      <w:r>
        <w:rPr>
          <w:rFonts w:hint="default" w:eastAsia="仿宋_GB2312" w:cs="Times New Roman"/>
          <w:highlight w:val="none"/>
        </w:rPr>
        <w:t>气候变化</w:t>
      </w:r>
      <w:r>
        <w:rPr>
          <w:rFonts w:hint="eastAsia" w:eastAsia="仿宋_GB2312" w:cs="Times New Roman"/>
          <w:highlight w:val="none"/>
          <w:lang w:eastAsia="zh-CN"/>
        </w:rPr>
        <w:t>影响</w:t>
      </w:r>
    </w:p>
    <w:p w14:paraId="3F625B29">
      <w:pPr>
        <w:pageBreakBefore w:val="0"/>
        <w:kinsoku/>
        <w:wordWrap/>
        <w:overflowPunct/>
        <w:topLinePunct w:val="0"/>
        <w:autoSpaceDE/>
        <w:autoSpaceDN/>
        <w:bidi w:val="0"/>
        <w:spacing w:line="560" w:lineRule="exact"/>
        <w:ind w:left="0" w:leftChars="0" w:right="0" w:rightChars="0" w:firstLine="640"/>
        <w:rPr>
          <w:highlight w:val="none"/>
        </w:rPr>
      </w:pPr>
      <w:r>
        <w:rPr>
          <w:rFonts w:hint="eastAsia" w:ascii="仿宋_GB2312" w:hAnsi="仿宋_GB2312" w:eastAsia="仿宋_GB2312" w:cs="仿宋_GB2312"/>
          <w:highlight w:val="none"/>
        </w:rPr>
        <w:t>积极开展适应气候变化行动，根据国家、自治区和柳州市相关政策、制度，完善气候变化适应性评估机制，推进气候变化适应性评估应用。聚焦农业生产和交通、能源、水利基础设施等重点领域，提升气候变化适应能力。强化供电、供热、供水、排水、燃气、通信等城市保障系统建设质量和管理水平，提高在极端自然灾害情况下的安全运行能力。建立健全气候防灾减灾体系，完善气候灾害应急预案和响应工作机制，加强气候灾害的监测评估和预测预警，增强经济社会发展的韧性和可持续性。</w:t>
      </w:r>
    </w:p>
    <w:p w14:paraId="02624847">
      <w:pPr>
        <w:pStyle w:val="9"/>
        <w:pageBreakBefore w:val="0"/>
        <w:kinsoku/>
        <w:wordWrap/>
        <w:overflowPunct/>
        <w:topLinePunct w:val="0"/>
        <w:autoSpaceDE/>
        <w:autoSpaceDN/>
        <w:bidi w:val="0"/>
        <w:spacing w:line="560" w:lineRule="exact"/>
        <w:ind w:left="0" w:leftChars="0" w:right="0" w:rightChars="0" w:firstLine="640"/>
        <w:rPr>
          <w:rFonts w:ascii="楷体_GB2312" w:hAnsi="楷体_GB2312" w:eastAsia="楷体_GB2312" w:cs="楷体_GB2312"/>
          <w:b/>
          <w:bCs w:val="0"/>
          <w:highlight w:val="none"/>
        </w:rPr>
      </w:pPr>
      <w:r>
        <w:rPr>
          <w:rFonts w:hint="eastAsia" w:ascii="楷体_GB2312" w:hAnsi="楷体_GB2312" w:eastAsia="楷体_GB2312" w:cs="楷体_GB2312"/>
          <w:b/>
          <w:bCs w:val="0"/>
          <w:highlight w:val="none"/>
        </w:rPr>
        <w:t>（二）</w:t>
      </w:r>
      <w:r>
        <w:rPr>
          <w:rFonts w:hint="eastAsia" w:ascii="楷体_GB2312" w:hAnsi="楷体_GB2312" w:eastAsia="楷体_GB2312" w:cs="楷体_GB2312"/>
          <w:b/>
          <w:bCs w:val="0"/>
          <w:highlight w:val="none"/>
          <w:lang w:eastAsia="zh-CN"/>
        </w:rPr>
        <w:t>大力实施大气污染防治，持续改善大气环境质量</w:t>
      </w:r>
    </w:p>
    <w:p w14:paraId="20122C60">
      <w:pPr>
        <w:pageBreakBefore w:val="0"/>
        <w:kinsoku/>
        <w:wordWrap/>
        <w:overflowPunct/>
        <w:topLinePunct w:val="0"/>
        <w:autoSpaceDE/>
        <w:autoSpaceDN/>
        <w:bidi w:val="0"/>
        <w:spacing w:line="560" w:lineRule="exact"/>
        <w:ind w:left="0" w:leftChars="0" w:right="0" w:rightChars="0" w:firstLine="640"/>
        <w:rPr>
          <w:rFonts w:ascii="仿宋_GB2312" w:hAnsi="仿宋_GB2312" w:eastAsia="仿宋_GB2312" w:cs="仿宋_GB2312"/>
          <w:highlight w:val="none"/>
        </w:rPr>
      </w:pPr>
      <w:r>
        <w:rPr>
          <w:rFonts w:hint="eastAsia" w:eastAsia="仿宋_GB2312" w:cs="Times New Roman"/>
          <w:highlight w:val="none"/>
          <w:lang w:val="en-US" w:eastAsia="zh-CN"/>
        </w:rPr>
        <w:t>1</w:t>
      </w:r>
      <w:r>
        <w:rPr>
          <w:rFonts w:eastAsia="仿宋_GB2312" w:cs="Times New Roman"/>
          <w:highlight w:val="none"/>
        </w:rPr>
        <w:t>.</w:t>
      </w:r>
      <w:r>
        <w:rPr>
          <w:rFonts w:hint="default" w:eastAsia="仿宋_GB2312" w:cs="Times New Roman"/>
          <w:highlight w:val="none"/>
        </w:rPr>
        <w:t>严格环境准入要求</w:t>
      </w:r>
    </w:p>
    <w:p w14:paraId="1BD56831">
      <w:pPr>
        <w:pageBreakBefore w:val="0"/>
        <w:kinsoku/>
        <w:wordWrap/>
        <w:overflowPunct/>
        <w:topLinePunct w:val="0"/>
        <w:autoSpaceDE/>
        <w:autoSpaceDN/>
        <w:bidi w:val="0"/>
        <w:spacing w:line="560" w:lineRule="exact"/>
        <w:ind w:left="0" w:leftChars="0" w:right="0" w:rightChars="0" w:firstLine="640"/>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eastAsia="zh-CN"/>
        </w:rPr>
        <w:t>根据国家、自治区和柳州市的工作部署，通过生态保护红线、环境质量底线、资源利用上线、环境准入清单等编制工作，明确禁止和限制发展的行业、生产工艺和产业目录，严格环境准入要求。</w:t>
      </w:r>
      <w:r>
        <w:rPr>
          <w:rFonts w:hint="eastAsia" w:ascii="仿宋_GB2312" w:hAnsi="仿宋_GB2312" w:eastAsia="仿宋_GB2312" w:cs="仿宋_GB2312"/>
          <w:highlight w:val="none"/>
          <w:lang w:val="en-US" w:eastAsia="zh-CN"/>
        </w:rPr>
        <w:t>严格落实固定资产投资项目节能评估审查对标管理，高耗能项目单位产品能耗须达到先进水平、用能设备达到一级能效标准。新兴工业园区严格按照产业准入要求，优先引进无污染或轻污染、清洁生产水平高的项目，严格控制承接高污染、高排放产业转移；居住用地周边禁止布局潜在污染扰民和环境风险突出的建设项目。逐步淘汰落后产能，坚决执行国家、自治区、市级发布的淘汰、限制落后生产能力、工艺和产品目录</w:t>
      </w:r>
      <w:r>
        <w:rPr>
          <w:rFonts w:hint="eastAsia" w:ascii="仿宋_GB2312" w:hAnsi="仿宋_GB2312" w:eastAsia="仿宋_GB2312" w:cs="仿宋_GB2312"/>
          <w:highlight w:val="none"/>
          <w:lang w:eastAsia="zh-CN"/>
        </w:rPr>
        <w:t>。</w:t>
      </w:r>
    </w:p>
    <w:p w14:paraId="1858FB11">
      <w:pPr>
        <w:pageBreakBefore w:val="0"/>
        <w:kinsoku/>
        <w:wordWrap/>
        <w:overflowPunct/>
        <w:topLinePunct w:val="0"/>
        <w:autoSpaceDE/>
        <w:autoSpaceDN/>
        <w:bidi w:val="0"/>
        <w:spacing w:line="560" w:lineRule="exact"/>
        <w:ind w:left="0" w:leftChars="0" w:right="0" w:rightChars="0" w:firstLine="640"/>
        <w:rPr>
          <w:rFonts w:ascii="仿宋_GB2312" w:hAnsi="仿宋_GB2312" w:eastAsia="仿宋_GB2312" w:cs="仿宋_GB2312"/>
          <w:highlight w:val="none"/>
        </w:rPr>
      </w:pPr>
      <w:r>
        <w:rPr>
          <w:rFonts w:hint="eastAsia" w:eastAsia="仿宋_GB2312" w:cs="Times New Roman"/>
          <w:highlight w:val="none"/>
          <w:lang w:val="en-US" w:eastAsia="zh-CN"/>
        </w:rPr>
        <w:t>2</w:t>
      </w:r>
      <w:r>
        <w:rPr>
          <w:rFonts w:eastAsia="仿宋_GB2312" w:cs="Times New Roman"/>
          <w:highlight w:val="none"/>
        </w:rPr>
        <w:t>.</w:t>
      </w:r>
      <w:r>
        <w:rPr>
          <w:rFonts w:hint="eastAsia" w:eastAsia="仿宋_GB2312" w:cs="Times New Roman"/>
          <w:highlight w:val="none"/>
          <w:lang w:eastAsia="zh-CN"/>
        </w:rPr>
        <w:t>强化能源结构调整</w:t>
      </w:r>
    </w:p>
    <w:p w14:paraId="12146D97">
      <w:pPr>
        <w:pageBreakBefore w:val="0"/>
        <w:kinsoku/>
        <w:wordWrap/>
        <w:overflowPunct/>
        <w:topLinePunct w:val="0"/>
        <w:autoSpaceDE/>
        <w:autoSpaceDN/>
        <w:bidi w:val="0"/>
        <w:spacing w:line="560" w:lineRule="exact"/>
        <w:ind w:left="0" w:leftChars="0" w:right="0" w:rightChars="0" w:firstLine="640"/>
        <w:rPr>
          <w:rFonts w:hint="eastAsia" w:ascii="仿宋_GB2312" w:hAnsi="仿宋_GB2312" w:eastAsia="仿宋_GB2312" w:cs="仿宋_GB2312"/>
          <w:highlight w:val="none"/>
          <w:lang w:val="en-US" w:eastAsia="zh-CN"/>
        </w:rPr>
      </w:pPr>
      <w:r>
        <w:rPr>
          <w:rFonts w:hint="eastAsia" w:ascii="仿宋_GB2312" w:hAnsi="仿宋_GB2312" w:eastAsia="仿宋_GB2312" w:cs="仿宋_GB2312"/>
          <w:b/>
          <w:bCs/>
          <w:highlight w:val="none"/>
          <w:lang w:val="en-US" w:eastAsia="zh-CN"/>
        </w:rPr>
        <w:t>全面推动重点领域节能减排。</w:t>
      </w:r>
      <w:r>
        <w:rPr>
          <w:rFonts w:hint="eastAsia" w:ascii="仿宋_GB2312" w:hAnsi="仿宋_GB2312" w:eastAsia="仿宋_GB2312" w:cs="仿宋_GB2312"/>
          <w:highlight w:val="none"/>
          <w:lang w:val="en-US" w:eastAsia="zh-CN"/>
        </w:rPr>
        <w:t>实施重点产业能效提升计划，开展重点用能单位节能低碳行动；开展节约型公共机构示范创建活动；严格执行建筑节能标准，加快推进建筑节能改造；优先发展公共交通，优化运输方式，推广节能与新能源交通运输装备；强化源头控管，严格把好项目低碳节能、生态环保关口，坚决不上高污染项目；加强高耗能行业能耗管控，推进企业兼并重组，加快淘汰落后产能，化解产能过剩，有效控制传统重点行业和重点企业碳排放；鼓励使用高效节能农业。</w:t>
      </w:r>
    </w:p>
    <w:p w14:paraId="32E440E1">
      <w:pPr>
        <w:pageBreakBefore w:val="0"/>
        <w:kinsoku/>
        <w:wordWrap/>
        <w:overflowPunct/>
        <w:topLinePunct w:val="0"/>
        <w:autoSpaceDE/>
        <w:autoSpaceDN/>
        <w:bidi w:val="0"/>
        <w:spacing w:line="560" w:lineRule="exact"/>
        <w:ind w:left="0" w:leftChars="0" w:right="0" w:rightChars="0" w:firstLine="640"/>
        <w:rPr>
          <w:rFonts w:hint="eastAsia" w:ascii="仿宋_GB2312" w:hAnsi="仿宋_GB2312" w:eastAsia="仿宋_GB2312" w:cs="仿宋_GB2312"/>
          <w:highlight w:val="none"/>
          <w:lang w:val="en-US" w:eastAsia="zh-CN"/>
        </w:rPr>
      </w:pPr>
      <w:r>
        <w:rPr>
          <w:rFonts w:hint="eastAsia" w:ascii="仿宋_GB2312" w:hAnsi="仿宋_GB2312" w:eastAsia="仿宋_GB2312" w:cs="仿宋_GB2312"/>
          <w:b/>
          <w:bCs/>
          <w:highlight w:val="none"/>
          <w:lang w:val="en-US" w:eastAsia="zh-CN"/>
        </w:rPr>
        <w:t>加快建设现代能源体系。</w:t>
      </w:r>
      <w:r>
        <w:rPr>
          <w:rFonts w:hint="default" w:ascii="Times New Roman" w:hAnsi="Times New Roman" w:eastAsia="仿宋_GB2312" w:cs="Times New Roman"/>
          <w:color w:val="auto"/>
          <w:sz w:val="32"/>
          <w:szCs w:val="32"/>
          <w:highlight w:val="none"/>
          <w:u w:val="none" w:color="auto"/>
          <w:lang w:val="en-US" w:eastAsia="zh-CN"/>
        </w:rPr>
        <w:t>以构建清洁、高效、安全、可持续的现代能源体系为目标，因地制宜发展太阳能、生物质能、风能等可再生能源，推进能源多元清洁发展。加快实施柳江区管道燃气项目</w:t>
      </w:r>
      <w:r>
        <w:rPr>
          <w:rFonts w:hint="eastAsia" w:ascii="Times New Roman" w:hAnsi="Times New Roman" w:eastAsia="仿宋_GB2312" w:cs="Times New Roman"/>
          <w:color w:val="auto"/>
          <w:sz w:val="32"/>
          <w:szCs w:val="32"/>
          <w:highlight w:val="none"/>
          <w:u w:val="none" w:color="auto"/>
          <w:lang w:val="en-US" w:eastAsia="zh-CN"/>
        </w:rPr>
        <w:t>和</w:t>
      </w:r>
      <w:r>
        <w:rPr>
          <w:rFonts w:hint="default" w:ascii="Times New Roman" w:hAnsi="Times New Roman" w:eastAsia="仿宋_GB2312" w:cs="Times New Roman"/>
          <w:color w:val="auto"/>
          <w:sz w:val="32"/>
          <w:szCs w:val="32"/>
          <w:highlight w:val="none"/>
          <w:u w:val="none" w:color="auto"/>
          <w:lang w:val="en-US" w:eastAsia="zh-CN"/>
        </w:rPr>
        <w:t>柳江区“智慧+油电气”综合能源服务站项目，大力拓展天然气等清洁能源应用领域。合理规划布局，构建覆盖城乡的加气站、充电桩（站）、加油站等能源网络，加快推动能源消费革命</w:t>
      </w:r>
      <w:r>
        <w:rPr>
          <w:rFonts w:hint="eastAsia" w:ascii="仿宋_GB2312" w:hAnsi="仿宋_GB2312" w:eastAsia="仿宋_GB2312" w:cs="仿宋_GB2312"/>
          <w:highlight w:val="none"/>
          <w:lang w:val="en-US" w:eastAsia="zh-CN"/>
        </w:rPr>
        <w:t>。</w:t>
      </w:r>
    </w:p>
    <w:p w14:paraId="0D7B021C">
      <w:pPr>
        <w:pageBreakBefore w:val="0"/>
        <w:kinsoku/>
        <w:wordWrap/>
        <w:overflowPunct/>
        <w:topLinePunct w:val="0"/>
        <w:autoSpaceDE/>
        <w:autoSpaceDN/>
        <w:bidi w:val="0"/>
        <w:spacing w:line="560" w:lineRule="exact"/>
        <w:ind w:left="0" w:leftChars="0" w:right="0" w:rightChars="0" w:firstLine="640"/>
        <w:rPr>
          <w:rFonts w:hint="eastAsia" w:ascii="仿宋_GB2312" w:hAnsi="仿宋_GB2312" w:eastAsia="仿宋_GB2312" w:cs="仿宋_GB2312"/>
          <w:highlight w:val="none"/>
          <w:lang w:eastAsia="zh-CN"/>
        </w:rPr>
      </w:pPr>
      <w:r>
        <w:rPr>
          <w:rFonts w:hint="eastAsia" w:ascii="仿宋_GB2312" w:hAnsi="仿宋_GB2312" w:eastAsia="仿宋_GB2312" w:cs="仿宋_GB2312"/>
          <w:b/>
          <w:bCs/>
          <w:highlight w:val="none"/>
          <w:lang w:val="en-US" w:eastAsia="zh-CN"/>
        </w:rPr>
        <w:t>大力推进企业燃煤设施升级改造。</w:t>
      </w:r>
      <w:r>
        <w:rPr>
          <w:rFonts w:hint="eastAsia" w:ascii="仿宋_GB2312" w:hAnsi="仿宋_GB2312" w:eastAsia="仿宋_GB2312" w:cs="仿宋_GB2312"/>
          <w:highlight w:val="none"/>
          <w:lang w:val="en-US" w:eastAsia="zh-CN"/>
        </w:rPr>
        <w:t>强化燃煤设施的脱硫、脱硝、除尘管理，逐步禁止燃用散煤。新、改、扩建项目原则上采用电力、天然气等清洁能源。建成区原则上不再新建每小时</w:t>
      </w:r>
      <w:r>
        <w:rPr>
          <w:rFonts w:hint="default" w:ascii="Times New Roman" w:hAnsi="Times New Roman" w:eastAsia="仿宋_GB2312" w:cs="Times New Roman"/>
          <w:highlight w:val="none"/>
          <w:lang w:val="en-US" w:eastAsia="zh-CN"/>
        </w:rPr>
        <w:t>35蒸吨以下的燃煤锅炉，其他地区原则上不再新建每小时10蒸吨</w:t>
      </w:r>
      <w:r>
        <w:rPr>
          <w:rFonts w:hint="eastAsia" w:ascii="仿宋_GB2312" w:hAnsi="仿宋_GB2312" w:eastAsia="仿宋_GB2312" w:cs="仿宋_GB2312"/>
          <w:highlight w:val="none"/>
          <w:lang w:val="en-US" w:eastAsia="zh-CN"/>
        </w:rPr>
        <w:t>以下的燃煤锅炉。推动柳江区能源结构调整，改用天然气等清洁能源</w:t>
      </w:r>
      <w:r>
        <w:rPr>
          <w:rFonts w:hint="eastAsia" w:ascii="仿宋_GB2312" w:hAnsi="仿宋_GB2312" w:eastAsia="仿宋_GB2312" w:cs="仿宋_GB2312"/>
          <w:highlight w:val="none"/>
          <w:lang w:eastAsia="zh-CN"/>
        </w:rPr>
        <w:t>。</w:t>
      </w:r>
    </w:p>
    <w:p w14:paraId="3C4F45E9">
      <w:pPr>
        <w:pageBreakBefore w:val="0"/>
        <w:kinsoku/>
        <w:wordWrap/>
        <w:overflowPunct/>
        <w:topLinePunct w:val="0"/>
        <w:autoSpaceDE/>
        <w:autoSpaceDN/>
        <w:bidi w:val="0"/>
        <w:spacing w:line="560" w:lineRule="exact"/>
        <w:ind w:left="0" w:leftChars="0" w:right="0" w:rightChars="0" w:firstLine="640"/>
        <w:rPr>
          <w:rFonts w:ascii="仿宋_GB2312" w:hAnsi="仿宋_GB2312" w:eastAsia="仿宋_GB2312" w:cs="仿宋_GB2312"/>
          <w:highlight w:val="none"/>
        </w:rPr>
      </w:pPr>
      <w:r>
        <w:rPr>
          <w:rFonts w:hint="eastAsia" w:eastAsia="仿宋_GB2312" w:cs="Times New Roman"/>
          <w:highlight w:val="none"/>
          <w:lang w:val="en-US" w:eastAsia="zh-CN"/>
        </w:rPr>
        <w:t>3</w:t>
      </w:r>
      <w:r>
        <w:rPr>
          <w:rFonts w:eastAsia="仿宋_GB2312" w:cs="Times New Roman"/>
          <w:highlight w:val="none"/>
        </w:rPr>
        <w:t>.</w:t>
      </w:r>
      <w:r>
        <w:rPr>
          <w:rFonts w:hint="eastAsia" w:eastAsia="仿宋_GB2312" w:cs="Times New Roman"/>
          <w:highlight w:val="none"/>
          <w:lang w:eastAsia="zh-CN"/>
        </w:rPr>
        <w:t>深化</w:t>
      </w:r>
      <w:r>
        <w:rPr>
          <w:rFonts w:hint="default" w:eastAsia="仿宋_GB2312" w:cs="Times New Roman"/>
          <w:highlight w:val="none"/>
        </w:rPr>
        <w:t>工业污染治理</w:t>
      </w:r>
    </w:p>
    <w:p w14:paraId="75AE7CFC">
      <w:pPr>
        <w:pageBreakBefore w:val="0"/>
        <w:kinsoku/>
        <w:wordWrap/>
        <w:overflowPunct/>
        <w:topLinePunct w:val="0"/>
        <w:autoSpaceDE/>
        <w:autoSpaceDN/>
        <w:bidi w:val="0"/>
        <w:spacing w:line="560" w:lineRule="exact"/>
        <w:ind w:left="0" w:leftChars="0" w:right="0" w:rightChars="0" w:firstLine="640"/>
        <w:rPr>
          <w:rFonts w:hint="eastAsia" w:ascii="仿宋_GB2312" w:hAnsi="仿宋_GB2312" w:eastAsia="仿宋_GB2312" w:cs="仿宋_GB2312"/>
          <w:highlight w:val="none"/>
          <w:lang w:val="en-US" w:eastAsia="zh-CN"/>
        </w:rPr>
      </w:pPr>
      <w:r>
        <w:rPr>
          <w:rFonts w:hint="eastAsia" w:ascii="仿宋_GB2312" w:hAnsi="仿宋_GB2312" w:eastAsia="仿宋_GB2312" w:cs="仿宋_GB2312"/>
          <w:b/>
          <w:bCs/>
          <w:highlight w:val="none"/>
          <w:lang w:val="en-US" w:eastAsia="zh-CN"/>
        </w:rPr>
        <w:t>强化排污许可证制度管理。</w:t>
      </w:r>
      <w:r>
        <w:rPr>
          <w:rFonts w:hint="eastAsia" w:ascii="仿宋_GB2312" w:hAnsi="仿宋_GB2312" w:eastAsia="仿宋_GB2312" w:cs="仿宋_GB2312"/>
          <w:highlight w:val="none"/>
          <w:lang w:val="en-US" w:eastAsia="zh-CN"/>
        </w:rPr>
        <w:t>严格执行排污许可证制度，加强证后执法监管力度，以监督性监测、烟气在线监测等数据作为执法依据，推动企业依证排污，达标排放。持续推进“散乱污”企业清理整治，建立“散乱污”企业管理台账，进一步夯实网格化管理，落实各乡镇街道属地管理责任，定期开展排查整治，严禁“散乱污”企业享受“六稳”“六保”相关优惠政策，坚决遏制“散乱污”企业反弹，防止已关停取缔的企业借机死灰复燃、异地转移。</w:t>
      </w:r>
    </w:p>
    <w:p w14:paraId="2BD3EEF8">
      <w:pPr>
        <w:pageBreakBefore w:val="0"/>
        <w:kinsoku/>
        <w:wordWrap/>
        <w:overflowPunct/>
        <w:topLinePunct w:val="0"/>
        <w:autoSpaceDE/>
        <w:autoSpaceDN/>
        <w:bidi w:val="0"/>
        <w:spacing w:line="560" w:lineRule="exact"/>
        <w:ind w:left="0" w:leftChars="0" w:right="0" w:rightChars="0" w:firstLine="640"/>
        <w:rPr>
          <w:rFonts w:hint="eastAsia" w:ascii="仿宋_GB2312" w:hAnsi="仿宋_GB2312" w:eastAsia="仿宋_GB2312" w:cs="仿宋_GB2312"/>
          <w:highlight w:val="none"/>
          <w:lang w:val="en-US" w:eastAsia="zh-CN"/>
        </w:rPr>
      </w:pPr>
      <w:r>
        <w:rPr>
          <w:rFonts w:hint="eastAsia" w:ascii="仿宋_GB2312" w:hAnsi="仿宋_GB2312" w:eastAsia="仿宋_GB2312" w:cs="仿宋_GB2312"/>
          <w:b/>
          <w:bCs/>
          <w:highlight w:val="none"/>
          <w:lang w:val="en-US" w:eastAsia="zh-CN"/>
        </w:rPr>
        <w:t>深入开展锅炉、炉窑综合整治。</w:t>
      </w:r>
      <w:r>
        <w:rPr>
          <w:rFonts w:hint="eastAsia" w:ascii="仿宋_GB2312" w:hAnsi="仿宋_GB2312" w:eastAsia="仿宋_GB2312" w:cs="仿宋_GB2312"/>
          <w:highlight w:val="none"/>
          <w:lang w:val="en-US" w:eastAsia="zh-CN"/>
        </w:rPr>
        <w:t>鼓励燃气锅炉开展低氮改造，推动生物质锅炉规范化运行，生物质锅炉应采用专用锅炉，禁止掺烧煤炭等其他燃料，并配套高效除尘设施，确保污染物稳定达标排放。依法全面淘汰砖瓦轮窑等落后产能，全面加强建材、砖瓦等重点行业无组织排放治理，生产工艺产尘点（装置）采取密闭、封闭或设置集气罩等措施，粉状物料等采用密闭、封闭等方式储存和输送，根据排污许可证的要求落实有关企业安装尾气在线监控设备并与生态环境部门联网，强化达标管控。</w:t>
      </w:r>
    </w:p>
    <w:p w14:paraId="3BF33144">
      <w:pPr>
        <w:pageBreakBefore w:val="0"/>
        <w:kinsoku/>
        <w:wordWrap/>
        <w:overflowPunct/>
        <w:topLinePunct w:val="0"/>
        <w:autoSpaceDE/>
        <w:autoSpaceDN/>
        <w:bidi w:val="0"/>
        <w:spacing w:line="560" w:lineRule="exact"/>
        <w:ind w:left="0" w:leftChars="0" w:right="0" w:rightChars="0" w:firstLine="640"/>
        <w:rPr>
          <w:rFonts w:hint="eastAsia" w:ascii="仿宋_GB2312" w:hAnsi="仿宋_GB2312" w:eastAsia="仿宋_GB2312" w:cs="仿宋_GB2312"/>
          <w:b w:val="0"/>
          <w:bCs w:val="0"/>
          <w:highlight w:val="none"/>
          <w:lang w:val="en-US" w:eastAsia="zh-CN"/>
        </w:rPr>
      </w:pPr>
      <w:r>
        <w:rPr>
          <w:rFonts w:hint="eastAsia" w:ascii="仿宋_GB2312" w:hAnsi="仿宋_GB2312" w:eastAsia="仿宋_GB2312" w:cs="仿宋_GB2312"/>
          <w:b/>
          <w:bCs/>
          <w:highlight w:val="none"/>
          <w:lang w:val="en-US" w:eastAsia="zh-CN"/>
        </w:rPr>
        <w:t>积极推进挥发性有机物综合整治。</w:t>
      </w:r>
      <w:r>
        <w:rPr>
          <w:rFonts w:hint="default" w:ascii="Times New Roman" w:hAnsi="Times New Roman" w:eastAsia="仿宋_GB2312" w:cs="Times New Roman"/>
          <w:b w:val="0"/>
          <w:bCs w:val="0"/>
          <w:highlight w:val="none"/>
          <w:lang w:val="en-US" w:eastAsia="zh-CN"/>
        </w:rPr>
        <w:t>按照工业和信息化部、市场监管总局关于低VOCs含量涂料产品的技术要求，大力推广使用低VOCs含量涂料、油墨、胶粘剂，在技术成熟的板材、家具、整车生产、汽修、印刷等行业，全面推进源头替代</w:t>
      </w:r>
      <w:r>
        <w:rPr>
          <w:rFonts w:hint="eastAsia" w:ascii="Times New Roman" w:hAnsi="Times New Roman" w:eastAsia="仿宋_GB2312" w:cs="Times New Roman"/>
          <w:b w:val="0"/>
          <w:bCs w:val="0"/>
          <w:highlight w:val="none"/>
          <w:lang w:val="en-US" w:eastAsia="zh-CN"/>
        </w:rPr>
        <w:t>。</w:t>
      </w:r>
      <w:r>
        <w:rPr>
          <w:rFonts w:hint="default" w:ascii="Times New Roman" w:hAnsi="Times New Roman" w:eastAsia="仿宋_GB2312" w:cs="Times New Roman"/>
          <w:b w:val="0"/>
          <w:bCs w:val="0"/>
          <w:highlight w:val="none"/>
          <w:lang w:val="en-US" w:eastAsia="zh-CN"/>
        </w:rPr>
        <w:t>推进治污设施升级改造，支持企业采用全密闭、连续化、自动化等生产技术以及高效工艺与设备等，减少工艺过程无组织排放</w:t>
      </w:r>
      <w:r>
        <w:rPr>
          <w:rFonts w:hint="eastAsia" w:ascii="Times New Roman" w:hAnsi="Times New Roman" w:eastAsia="仿宋_GB2312" w:cs="Times New Roman"/>
          <w:b w:val="0"/>
          <w:bCs w:val="0"/>
          <w:highlight w:val="none"/>
          <w:lang w:val="en-US" w:eastAsia="zh-CN"/>
        </w:rPr>
        <w:t>。</w:t>
      </w:r>
      <w:r>
        <w:rPr>
          <w:rFonts w:hint="default" w:ascii="Times New Roman" w:hAnsi="Times New Roman" w:eastAsia="仿宋_GB2312" w:cs="Times New Roman"/>
          <w:b w:val="0"/>
          <w:bCs w:val="0"/>
          <w:highlight w:val="none"/>
          <w:lang w:val="en-US" w:eastAsia="zh-CN"/>
        </w:rPr>
        <w:t>在有条件的工业园区和产业集群等，鼓励推广溶剂集中回收、活性炭集中再生、集中喷涂、共享喷涂等，加强资源共享，提高VOCs治理效率</w:t>
      </w:r>
      <w:r>
        <w:rPr>
          <w:rFonts w:hint="eastAsia" w:ascii="仿宋_GB2312" w:hAnsi="仿宋_GB2312" w:eastAsia="仿宋_GB2312" w:cs="仿宋_GB2312"/>
          <w:b w:val="0"/>
          <w:bCs w:val="0"/>
          <w:highlight w:val="none"/>
          <w:lang w:val="en-US" w:eastAsia="zh-CN"/>
        </w:rPr>
        <w:t>。</w:t>
      </w:r>
    </w:p>
    <w:p w14:paraId="475773C1">
      <w:pPr>
        <w:pageBreakBefore w:val="0"/>
        <w:kinsoku/>
        <w:wordWrap/>
        <w:overflowPunct/>
        <w:topLinePunct w:val="0"/>
        <w:autoSpaceDE/>
        <w:autoSpaceDN/>
        <w:bidi w:val="0"/>
        <w:spacing w:line="560" w:lineRule="exact"/>
        <w:ind w:left="0" w:leftChars="0" w:right="0" w:rightChars="0" w:firstLine="640"/>
        <w:rPr>
          <w:rFonts w:hint="eastAsia" w:ascii="仿宋_GB2312" w:hAnsi="仿宋_GB2312" w:eastAsia="仿宋_GB2312" w:cs="仿宋_GB2312"/>
          <w:highlight w:val="none"/>
          <w:lang w:eastAsia="zh-CN"/>
        </w:rPr>
      </w:pPr>
      <w:r>
        <w:rPr>
          <w:rFonts w:hint="eastAsia" w:ascii="仿宋_GB2312" w:hAnsi="仿宋_GB2312" w:eastAsia="仿宋_GB2312" w:cs="仿宋_GB2312"/>
          <w:b/>
          <w:bCs/>
          <w:highlight w:val="none"/>
          <w:lang w:val="en-US" w:eastAsia="zh-CN"/>
        </w:rPr>
        <w:t>强化加油站和油罐车油气污染治理工作。</w:t>
      </w:r>
      <w:r>
        <w:rPr>
          <w:rFonts w:hint="eastAsia" w:ascii="仿宋_GB2312" w:hAnsi="仿宋_GB2312" w:eastAsia="仿宋_GB2312" w:cs="仿宋_GB2312"/>
          <w:highlight w:val="none"/>
          <w:lang w:val="en-US" w:eastAsia="zh-CN"/>
        </w:rPr>
        <w:t>持续开展加油站、储油库、油罐车油气回收治理专项执法行动，覆盖民营加油站。推进加油站、储油库油气回收自动监控建设试点。建立油气回收日常管理制度，包括回收装置的使用、维护和更新等，确保油气回收治理设施持续正常运转，达到预期治理效果。新建加油站、储油库和新置油罐车必须安装油气回收装置。</w:t>
      </w:r>
    </w:p>
    <w:p w14:paraId="44974768">
      <w:pPr>
        <w:pageBreakBefore w:val="0"/>
        <w:kinsoku/>
        <w:wordWrap/>
        <w:overflowPunct/>
        <w:topLinePunct w:val="0"/>
        <w:autoSpaceDE/>
        <w:autoSpaceDN/>
        <w:bidi w:val="0"/>
        <w:spacing w:line="560" w:lineRule="exact"/>
        <w:ind w:left="0" w:leftChars="0" w:right="0" w:rightChars="0" w:firstLine="640"/>
        <w:rPr>
          <w:rFonts w:ascii="仿宋_GB2312" w:hAnsi="仿宋_GB2312" w:eastAsia="仿宋_GB2312" w:cs="仿宋_GB2312"/>
          <w:highlight w:val="none"/>
        </w:rPr>
      </w:pPr>
      <w:r>
        <w:rPr>
          <w:rFonts w:hint="eastAsia" w:eastAsia="仿宋_GB2312" w:cs="Times New Roman"/>
          <w:highlight w:val="none"/>
          <w:lang w:val="en-US" w:eastAsia="zh-CN"/>
        </w:rPr>
        <w:t>4</w:t>
      </w:r>
      <w:r>
        <w:rPr>
          <w:rFonts w:eastAsia="仿宋_GB2312" w:cs="Times New Roman"/>
          <w:highlight w:val="none"/>
        </w:rPr>
        <w:t>.</w:t>
      </w:r>
      <w:r>
        <w:rPr>
          <w:rFonts w:hint="default" w:eastAsia="仿宋_GB2312" w:cs="Times New Roman"/>
          <w:highlight w:val="none"/>
        </w:rPr>
        <w:t>强化</w:t>
      </w:r>
      <w:r>
        <w:rPr>
          <w:rFonts w:hint="eastAsia" w:eastAsia="仿宋_GB2312" w:cs="Times New Roman"/>
          <w:highlight w:val="none"/>
          <w:lang w:eastAsia="zh-CN"/>
        </w:rPr>
        <w:t>颗粒物污染</w:t>
      </w:r>
      <w:r>
        <w:rPr>
          <w:rFonts w:hint="default" w:eastAsia="仿宋_GB2312" w:cs="Times New Roman"/>
          <w:highlight w:val="none"/>
        </w:rPr>
        <w:t>控制</w:t>
      </w:r>
    </w:p>
    <w:p w14:paraId="3C3B1B72">
      <w:pPr>
        <w:pageBreakBefore w:val="0"/>
        <w:kinsoku/>
        <w:wordWrap/>
        <w:overflowPunct/>
        <w:topLinePunct w:val="0"/>
        <w:autoSpaceDE/>
        <w:autoSpaceDN/>
        <w:bidi w:val="0"/>
        <w:spacing w:line="560" w:lineRule="exact"/>
        <w:ind w:left="0" w:leftChars="0" w:right="0" w:rightChars="0" w:firstLine="640"/>
        <w:rPr>
          <w:rFonts w:hint="eastAsia" w:ascii="仿宋_GB2312" w:hAnsi="仿宋_GB2312" w:eastAsia="仿宋_GB2312" w:cs="仿宋_GB2312"/>
          <w:highlight w:val="none"/>
        </w:rPr>
      </w:pPr>
      <w:r>
        <w:rPr>
          <w:rFonts w:hint="eastAsia" w:ascii="仿宋_GB2312" w:hAnsi="仿宋_GB2312" w:eastAsia="仿宋_GB2312" w:cs="仿宋_GB2312"/>
          <w:b/>
          <w:bCs/>
          <w:highlight w:val="none"/>
        </w:rPr>
        <w:t>控制施工扬尘。</w:t>
      </w:r>
      <w:r>
        <w:rPr>
          <w:rFonts w:hint="eastAsia" w:ascii="仿宋_GB2312" w:hAnsi="仿宋_GB2312" w:eastAsia="仿宋_GB2312" w:cs="仿宋_GB2312"/>
          <w:highlight w:val="none"/>
        </w:rPr>
        <w:t>积极创建绿色工地，建筑工地文明施工，施工现场要求做到</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rPr>
        <w:t>3个100%</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rPr>
        <w:t>，将扬尘控制纳入文明施工管理和施工单位诚信评价指标体系，督促施工单位落实施工现场的扬尘防治。建设工程施工现场应按规定设置围挡墙</w:t>
      </w:r>
      <w:r>
        <w:rPr>
          <w:rFonts w:hint="eastAsia" w:ascii="仿宋_GB2312" w:hAnsi="仿宋_GB2312" w:eastAsia="仿宋_GB2312" w:cs="仿宋_GB2312"/>
          <w:highlight w:val="none"/>
          <w:lang w:eastAsia="zh-CN"/>
        </w:rPr>
        <w:t>和洒水降尘措施</w:t>
      </w:r>
      <w:r>
        <w:rPr>
          <w:rFonts w:hint="eastAsia" w:ascii="仿宋_GB2312" w:hAnsi="仿宋_GB2312" w:eastAsia="仿宋_GB2312" w:cs="仿宋_GB2312"/>
          <w:highlight w:val="none"/>
        </w:rPr>
        <w:t>，严禁敞开式作业，设置洗车平台并严格按操作规程对出工地的渣土和施工车辆进行冲洗，施工现场道路按规定进行地面硬化。易产生粉尘的物料堆场，必须采用筒仓、封闭堆场、防尘网或防尘布覆盖。强化扬尘污染防治责任，严格实行网络化管理，建筑及拆迁工地要在开工前制定现场扬尘控制措施，对施工现场实施封闭围挡、道路硬化、材料堆放遮盖、进出车辆冲洗、建筑垃圾清运等措施。</w:t>
      </w:r>
    </w:p>
    <w:p w14:paraId="23D08B66">
      <w:pPr>
        <w:pageBreakBefore w:val="0"/>
        <w:kinsoku/>
        <w:wordWrap/>
        <w:overflowPunct/>
        <w:topLinePunct w:val="0"/>
        <w:autoSpaceDE/>
        <w:autoSpaceDN/>
        <w:bidi w:val="0"/>
        <w:spacing w:line="560" w:lineRule="exact"/>
        <w:ind w:left="0" w:leftChars="0" w:right="0" w:rightChars="0" w:firstLine="640"/>
        <w:rPr>
          <w:rFonts w:hint="eastAsia" w:ascii="仿宋_GB2312" w:hAnsi="仿宋_GB2312" w:eastAsia="仿宋_GB2312" w:cs="仿宋_GB2312"/>
          <w:highlight w:val="none"/>
        </w:rPr>
      </w:pPr>
      <w:r>
        <w:rPr>
          <w:rFonts w:hint="eastAsia" w:ascii="仿宋_GB2312" w:hAnsi="仿宋_GB2312" w:eastAsia="仿宋_GB2312" w:cs="仿宋_GB2312"/>
          <w:b/>
          <w:bCs/>
          <w:highlight w:val="none"/>
        </w:rPr>
        <w:t>控制道路扬尘。</w:t>
      </w:r>
      <w:r>
        <w:rPr>
          <w:rFonts w:hint="eastAsia" w:ascii="仿宋_GB2312" w:hAnsi="仿宋_GB2312" w:eastAsia="仿宋_GB2312" w:cs="仿宋_GB2312"/>
          <w:highlight w:val="none"/>
        </w:rPr>
        <w:t>强化道路扬尘治理，逐步减少城区裸露地面积，着力提高城市道路机械化清扫率，合理安排城区道路洒水频次，推行道路机械化清扫等低尘作业方式。严格执行渣土运输资质管理与备案制度，推进渣土运输车辆安装卫星定位系统，严格实施密闭运输，落实冲洗保洁措施。推行</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rPr>
        <w:t>吸、扫、冲、收</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rPr>
        <w:t>清扫保洁新工艺，根据空气质量状况，适时增加作业频次，切实降低道路积尘负荷。</w:t>
      </w:r>
    </w:p>
    <w:p w14:paraId="3DF1CB71">
      <w:pPr>
        <w:pageBreakBefore w:val="0"/>
        <w:kinsoku/>
        <w:wordWrap/>
        <w:overflowPunct/>
        <w:topLinePunct w:val="0"/>
        <w:autoSpaceDE/>
        <w:autoSpaceDN/>
        <w:bidi w:val="0"/>
        <w:spacing w:line="560" w:lineRule="exact"/>
        <w:ind w:left="0" w:leftChars="0" w:right="0" w:rightChars="0" w:firstLine="640"/>
        <w:rPr>
          <w:rFonts w:hint="eastAsia" w:ascii="仿宋_GB2312" w:hAnsi="仿宋_GB2312" w:eastAsia="仿宋_GB2312" w:cs="仿宋_GB2312"/>
          <w:highlight w:val="none"/>
          <w:lang w:eastAsia="zh-CN"/>
        </w:rPr>
      </w:pPr>
      <w:r>
        <w:rPr>
          <w:rFonts w:hint="eastAsia" w:ascii="仿宋_GB2312" w:hAnsi="仿宋_GB2312" w:eastAsia="仿宋_GB2312" w:cs="仿宋_GB2312"/>
          <w:b/>
          <w:bCs/>
          <w:highlight w:val="none"/>
        </w:rPr>
        <w:t>加强秸秆综合利用和禁烧。</w:t>
      </w:r>
      <w:r>
        <w:rPr>
          <w:rFonts w:hint="eastAsia" w:ascii="仿宋_GB2312" w:hAnsi="仿宋_GB2312" w:eastAsia="仿宋_GB2312" w:cs="仿宋_GB2312"/>
          <w:highlight w:val="none"/>
        </w:rPr>
        <w:t>完善制定秸秆禁烧工作责任追究办法和秸秆禁烧考核奖惩办法，强化各镇及相关单位秸秆禁烧工作职责，形成长效机制。积极探索秸秆综合利用新途径，推进秸秆肥料化、饲料化、燃料化综合利用，提高农作物秸秆综合利用率。逐步建立完善秸秆收储运输体系和综合利用制度。落实</w:t>
      </w:r>
      <w:r>
        <w:rPr>
          <w:rFonts w:hint="eastAsia" w:ascii="仿宋_GB2312" w:hAnsi="仿宋_GB2312" w:eastAsia="仿宋_GB2312" w:cs="仿宋_GB2312"/>
          <w:highlight w:val="none"/>
          <w:lang w:eastAsia="zh-CN"/>
        </w:rPr>
        <w:t>城区</w:t>
      </w:r>
      <w:r>
        <w:rPr>
          <w:rFonts w:hint="eastAsia" w:ascii="仿宋_GB2312" w:hAnsi="仿宋_GB2312" w:eastAsia="仿宋_GB2312" w:cs="仿宋_GB2312"/>
          <w:highlight w:val="none"/>
        </w:rPr>
        <w:t>、乡</w:t>
      </w:r>
      <w:r>
        <w:rPr>
          <w:rFonts w:hint="eastAsia" w:ascii="仿宋_GB2312" w:hAnsi="仿宋_GB2312" w:eastAsia="仿宋_GB2312" w:cs="仿宋_GB2312"/>
          <w:highlight w:val="none"/>
          <w:lang w:eastAsia="zh-CN"/>
        </w:rPr>
        <w:t>镇</w:t>
      </w:r>
      <w:r>
        <w:rPr>
          <w:rFonts w:hint="eastAsia" w:ascii="仿宋_GB2312" w:hAnsi="仿宋_GB2312" w:eastAsia="仿宋_GB2312" w:cs="仿宋_GB2312"/>
          <w:highlight w:val="none"/>
        </w:rPr>
        <w:t>、村</w:t>
      </w:r>
      <w:r>
        <w:rPr>
          <w:rFonts w:hint="eastAsia" w:ascii="仿宋_GB2312" w:hAnsi="仿宋_GB2312" w:eastAsia="仿宋_GB2312" w:cs="仿宋_GB2312"/>
          <w:highlight w:val="none"/>
          <w:lang w:eastAsia="zh-CN"/>
        </w:rPr>
        <w:t>屯</w:t>
      </w:r>
      <w:r>
        <w:rPr>
          <w:rFonts w:hint="eastAsia" w:ascii="仿宋_GB2312" w:hAnsi="仿宋_GB2312" w:eastAsia="仿宋_GB2312" w:cs="仿宋_GB2312"/>
          <w:highlight w:val="none"/>
        </w:rPr>
        <w:t>三级工作机制，实现禁烧政策宣传到户、落实到人，依托柳江区高清视频监控点，进一步推广增建监控点，构建秸秆焚烧监控体系，实现实时全面监管，及时发现和处置露天焚烧行为；农业、糖业部门积极调动制糖企业、依托收蔗网络开展禁烧宣传，逐级宣传，压力传导，做到宣传全覆盖；总结柳江区综合利用试点效果，探索和推广区域收储综合利用项目，全面推广铺开秸秆收储运输和综合利用，落实奖补政策，实现疏堵结合</w:t>
      </w:r>
      <w:r>
        <w:rPr>
          <w:rFonts w:hint="eastAsia" w:ascii="仿宋_GB2312" w:hAnsi="仿宋_GB2312" w:eastAsia="仿宋_GB2312" w:cs="仿宋_GB2312"/>
          <w:highlight w:val="none"/>
          <w:lang w:eastAsia="zh-CN"/>
        </w:rPr>
        <w:t>。</w:t>
      </w:r>
    </w:p>
    <w:p w14:paraId="34E042FA">
      <w:pPr>
        <w:pageBreakBefore w:val="0"/>
        <w:kinsoku/>
        <w:wordWrap/>
        <w:overflowPunct/>
        <w:topLinePunct w:val="0"/>
        <w:autoSpaceDE/>
        <w:autoSpaceDN/>
        <w:bidi w:val="0"/>
        <w:spacing w:line="560" w:lineRule="exact"/>
        <w:ind w:left="0" w:leftChars="0" w:right="0" w:rightChars="0" w:firstLine="640"/>
        <w:rPr>
          <w:rFonts w:ascii="仿宋_GB2312" w:hAnsi="仿宋_GB2312" w:eastAsia="仿宋_GB2312" w:cs="仿宋_GB2312"/>
          <w:highlight w:val="none"/>
        </w:rPr>
      </w:pPr>
      <w:r>
        <w:rPr>
          <w:rFonts w:hint="eastAsia" w:eastAsia="仿宋_GB2312" w:cs="Times New Roman"/>
          <w:highlight w:val="none"/>
          <w:lang w:val="en-US" w:eastAsia="zh-CN"/>
        </w:rPr>
        <w:t>5</w:t>
      </w:r>
      <w:r>
        <w:rPr>
          <w:rFonts w:eastAsia="仿宋_GB2312" w:cs="Times New Roman"/>
          <w:highlight w:val="none"/>
        </w:rPr>
        <w:t>.</w:t>
      </w:r>
      <w:r>
        <w:rPr>
          <w:rFonts w:hint="eastAsia" w:eastAsia="仿宋_GB2312" w:cs="Times New Roman"/>
          <w:highlight w:val="none"/>
          <w:lang w:eastAsia="zh-CN"/>
        </w:rPr>
        <w:t>积极推进移动源</w:t>
      </w:r>
      <w:r>
        <w:rPr>
          <w:rFonts w:hint="default" w:eastAsia="仿宋_GB2312" w:cs="Times New Roman"/>
          <w:highlight w:val="none"/>
        </w:rPr>
        <w:t>污染防治</w:t>
      </w:r>
    </w:p>
    <w:p w14:paraId="17E16FED">
      <w:pPr>
        <w:pageBreakBefore w:val="0"/>
        <w:kinsoku/>
        <w:wordWrap/>
        <w:overflowPunct/>
        <w:topLinePunct w:val="0"/>
        <w:autoSpaceDE/>
        <w:autoSpaceDN/>
        <w:bidi w:val="0"/>
        <w:spacing w:line="560" w:lineRule="exact"/>
        <w:ind w:left="0" w:leftChars="0" w:right="0" w:rightChars="0" w:firstLine="640"/>
        <w:rPr>
          <w:rFonts w:hint="eastAsia" w:ascii="仿宋_GB2312" w:hAnsi="仿宋_GB2312" w:eastAsia="仿宋_GB2312" w:cs="仿宋_GB2312"/>
          <w:highlight w:val="none"/>
          <w:lang w:val="en-US" w:eastAsia="zh-CN"/>
        </w:rPr>
      </w:pPr>
      <w:r>
        <w:rPr>
          <w:rFonts w:hint="eastAsia" w:ascii="仿宋_GB2312" w:hAnsi="仿宋_GB2312" w:eastAsia="仿宋_GB2312" w:cs="仿宋_GB2312"/>
          <w:b/>
          <w:bCs/>
          <w:highlight w:val="none"/>
          <w:lang w:val="en-US" w:eastAsia="zh-CN"/>
        </w:rPr>
        <w:t>提高道路通行能力。</w:t>
      </w:r>
      <w:r>
        <w:rPr>
          <w:rFonts w:hint="eastAsia" w:ascii="仿宋_GB2312" w:hAnsi="仿宋_GB2312" w:eastAsia="仿宋_GB2312" w:cs="仿宋_GB2312"/>
          <w:highlight w:val="none"/>
          <w:lang w:val="en-US" w:eastAsia="zh-CN"/>
        </w:rPr>
        <w:t>改善道路交通，多举措疏通城区易发生拥堵路段，降低区域内机动车尾气排放影响。加强汽车尾气污染防治。加大汽车尾气污染控制力度，继续推进机动车减排，加快淘汰黄标车和老旧车辆，对违反限行规定的车辆加大查处力度；加强汽车报废更新、报废汽车回收拆解等政策法规宣传贯彻工作，完善报废汽车回收服务网络，推动车辆收购合理定价。开展机动车排气路检，抽检等监控工作。</w:t>
      </w:r>
    </w:p>
    <w:p w14:paraId="651C4C2D">
      <w:pPr>
        <w:pageBreakBefore w:val="0"/>
        <w:kinsoku/>
        <w:wordWrap/>
        <w:overflowPunct/>
        <w:topLinePunct w:val="0"/>
        <w:autoSpaceDE/>
        <w:autoSpaceDN/>
        <w:bidi w:val="0"/>
        <w:spacing w:line="560" w:lineRule="exact"/>
        <w:ind w:left="0" w:leftChars="0" w:right="0" w:rightChars="0" w:firstLine="640"/>
        <w:rPr>
          <w:rFonts w:hint="eastAsia" w:ascii="仿宋_GB2312" w:hAnsi="仿宋_GB2312" w:eastAsia="仿宋_GB2312" w:cs="仿宋_GB2312"/>
          <w:highlight w:val="none"/>
        </w:rPr>
      </w:pPr>
      <w:r>
        <w:rPr>
          <w:rFonts w:hint="eastAsia" w:ascii="仿宋_GB2312" w:hAnsi="仿宋_GB2312" w:eastAsia="仿宋_GB2312" w:cs="仿宋_GB2312"/>
          <w:b/>
          <w:bCs/>
          <w:highlight w:val="none"/>
          <w:lang w:val="en-US" w:eastAsia="zh-CN"/>
        </w:rPr>
        <w:t>加强机动车监管。</w:t>
      </w:r>
      <w:r>
        <w:rPr>
          <w:rFonts w:hint="eastAsia" w:ascii="仿宋_GB2312" w:hAnsi="仿宋_GB2312" w:eastAsia="仿宋_GB2312" w:cs="仿宋_GB2312"/>
          <w:highlight w:val="none"/>
        </w:rPr>
        <w:t>加强新车环保达标监管，严格实施国家机动车油耗和排放标准，加强机动车环保信息公开，指导排放检验机构严格开展车辆注册登记前的排放检验，通过国家机动车环境监管平台逐车核实环保信息公开情况。加大在用车监督执法力度，强化在用车排放检验和维修治理，强化老旧车辆淘汰、柴油车治理。加强油气污染治理设施运行监管，减少油气污染排放。鼓励机动车使用清洁燃料，大力推广新能源汽车，倡导低碳出行，减少氮氧化物排放量。</w:t>
      </w:r>
    </w:p>
    <w:p w14:paraId="43DF9556">
      <w:pPr>
        <w:pageBreakBefore w:val="0"/>
        <w:kinsoku/>
        <w:wordWrap/>
        <w:overflowPunct/>
        <w:topLinePunct w:val="0"/>
        <w:autoSpaceDE/>
        <w:autoSpaceDN/>
        <w:bidi w:val="0"/>
        <w:spacing w:line="560" w:lineRule="exact"/>
        <w:ind w:left="0" w:leftChars="0" w:right="0" w:rightChars="0" w:firstLine="640"/>
        <w:rPr>
          <w:rFonts w:hint="eastAsia" w:ascii="仿宋_GB2312" w:hAnsi="仿宋_GB2312" w:eastAsia="仿宋_GB2312" w:cs="仿宋_GB2312"/>
          <w:highlight w:val="none"/>
        </w:rPr>
      </w:pPr>
      <w:r>
        <w:rPr>
          <w:rFonts w:hint="eastAsia" w:ascii="仿宋_GB2312" w:hAnsi="仿宋_GB2312" w:eastAsia="仿宋_GB2312" w:cs="仿宋_GB2312"/>
          <w:b/>
          <w:bCs/>
          <w:highlight w:val="none"/>
          <w:lang w:val="en-US" w:eastAsia="zh-CN"/>
        </w:rPr>
        <w:t>构建城区便捷绿色公共交通系统。</w:t>
      </w:r>
      <w:r>
        <w:rPr>
          <w:rFonts w:hint="eastAsia" w:ascii="仿宋_GB2312" w:hAnsi="仿宋_GB2312" w:eastAsia="仿宋_GB2312" w:cs="仿宋_GB2312"/>
          <w:highlight w:val="none"/>
          <w:lang w:val="en-US" w:eastAsia="zh-CN"/>
        </w:rPr>
        <w:t>构建公共交通主导的城市交通模式，完善城区交通结构。优化公交线路布局，增加公共交通线路，开通公共交通市区及柳江至周边重点镇线路，实现柳江区城区与镇公交一体化。大力倡导骑自行车或步行上班，尽可能少使用小汽车，以节省能源，减少尾气排放。</w:t>
      </w:r>
    </w:p>
    <w:p w14:paraId="52BD58A0">
      <w:pPr>
        <w:pStyle w:val="9"/>
        <w:pageBreakBefore w:val="0"/>
        <w:kinsoku/>
        <w:wordWrap/>
        <w:overflowPunct/>
        <w:topLinePunct w:val="0"/>
        <w:autoSpaceDE/>
        <w:autoSpaceDN/>
        <w:bidi w:val="0"/>
        <w:spacing w:line="560" w:lineRule="exact"/>
        <w:ind w:left="0" w:leftChars="0" w:right="0" w:rightChars="0" w:firstLine="640"/>
        <w:rPr>
          <w:rFonts w:ascii="楷体_GB2312" w:hAnsi="楷体_GB2312" w:eastAsia="楷体_GB2312" w:cs="楷体_GB2312"/>
          <w:b/>
          <w:bCs w:val="0"/>
          <w:highlight w:val="none"/>
        </w:rPr>
      </w:pPr>
      <w:r>
        <w:rPr>
          <w:rFonts w:hint="eastAsia" w:ascii="楷体_GB2312" w:hAnsi="楷体_GB2312" w:eastAsia="楷体_GB2312" w:cs="楷体_GB2312"/>
          <w:b/>
          <w:bCs w:val="0"/>
          <w:highlight w:val="none"/>
        </w:rPr>
        <w:t>（三）</w:t>
      </w:r>
      <w:r>
        <w:rPr>
          <w:rFonts w:hint="eastAsia" w:ascii="楷体_GB2312" w:hAnsi="楷体_GB2312" w:eastAsia="楷体_GB2312" w:cs="楷体_GB2312"/>
          <w:b/>
          <w:bCs w:val="0"/>
          <w:highlight w:val="none"/>
          <w:lang w:eastAsia="zh-CN"/>
        </w:rPr>
        <w:t>持续改善水生态环境质量，打造水生态文明</w:t>
      </w:r>
    </w:p>
    <w:p w14:paraId="6444AFDA">
      <w:pPr>
        <w:pageBreakBefore w:val="0"/>
        <w:kinsoku/>
        <w:wordWrap/>
        <w:overflowPunct/>
        <w:topLinePunct w:val="0"/>
        <w:autoSpaceDE/>
        <w:autoSpaceDN/>
        <w:bidi w:val="0"/>
        <w:spacing w:line="560" w:lineRule="exact"/>
        <w:ind w:left="0" w:leftChars="0" w:right="0" w:rightChars="0" w:firstLine="640"/>
        <w:rPr>
          <w:rFonts w:eastAsia="仿宋_GB2312" w:cs="Times New Roman"/>
          <w:highlight w:val="none"/>
        </w:rPr>
      </w:pPr>
      <w:r>
        <w:rPr>
          <w:rFonts w:eastAsia="仿宋_GB2312" w:cs="Times New Roman"/>
          <w:highlight w:val="none"/>
        </w:rPr>
        <w:t>1.</w:t>
      </w:r>
      <w:r>
        <w:rPr>
          <w:rFonts w:hint="default" w:eastAsia="仿宋_GB2312" w:cs="Times New Roman"/>
          <w:highlight w:val="none"/>
          <w:lang w:val="en-US" w:eastAsia="zh-CN"/>
        </w:rPr>
        <w:t>全面落实最严格的水资源管理制度</w:t>
      </w:r>
    </w:p>
    <w:p w14:paraId="60C42C54">
      <w:pPr>
        <w:pageBreakBefore w:val="0"/>
        <w:kinsoku/>
        <w:wordWrap/>
        <w:overflowPunct/>
        <w:topLinePunct w:val="0"/>
        <w:autoSpaceDE/>
        <w:autoSpaceDN/>
        <w:bidi w:val="0"/>
        <w:spacing w:line="560" w:lineRule="exact"/>
        <w:ind w:left="0" w:leftChars="0" w:right="0" w:rightChars="0" w:firstLine="640"/>
        <w:rPr>
          <w:rFonts w:hint="default" w:eastAsia="仿宋_GB2312" w:cs="Times New Roman"/>
          <w:highlight w:val="none"/>
        </w:rPr>
      </w:pPr>
      <w:r>
        <w:rPr>
          <w:rFonts w:hint="default" w:eastAsia="仿宋_GB2312" w:cs="Times New Roman"/>
          <w:b/>
          <w:bCs/>
          <w:highlight w:val="none"/>
        </w:rPr>
        <w:t>坚持节约优先，保障生态用水。</w:t>
      </w:r>
      <w:r>
        <w:rPr>
          <w:rFonts w:hint="default" w:eastAsia="仿宋_GB2312" w:cs="Times New Roman"/>
          <w:highlight w:val="none"/>
        </w:rPr>
        <w:t>发挥水资源刚性约束作用，加快高耗水发展方式转变，把水资源节约贯穿于生产和生活的全过程，从源头缓解水资源供需矛盾，促进经济社会发展与水资源水环境承载能力相协调。加强区域水资源的高效和梯级利用，推动建设水污染治理、循环利用、生态保护有机结合的综合治理体系，将处理达标后的尾水进一步净化改善后，纳入区域水资源调配管理，作为区域内生态、生产和生活补充用水，维护河湖生态系统持续</w:t>
      </w:r>
      <w:r>
        <w:rPr>
          <w:rFonts w:hint="eastAsia" w:eastAsia="仿宋_GB2312" w:cs="Times New Roman"/>
          <w:highlight w:val="none"/>
          <w:lang w:eastAsia="zh-CN"/>
        </w:rPr>
        <w:t>变好</w:t>
      </w:r>
      <w:r>
        <w:rPr>
          <w:rFonts w:hint="default" w:eastAsia="仿宋_GB2312" w:cs="Times New Roman"/>
          <w:highlight w:val="none"/>
        </w:rPr>
        <w:t>。</w:t>
      </w:r>
    </w:p>
    <w:p w14:paraId="4E040919">
      <w:pPr>
        <w:pageBreakBefore w:val="0"/>
        <w:kinsoku/>
        <w:wordWrap/>
        <w:overflowPunct/>
        <w:topLinePunct w:val="0"/>
        <w:autoSpaceDE/>
        <w:autoSpaceDN/>
        <w:bidi w:val="0"/>
        <w:spacing w:line="560" w:lineRule="exact"/>
        <w:ind w:left="0" w:leftChars="0" w:right="0" w:rightChars="0" w:firstLine="640"/>
        <w:rPr>
          <w:rFonts w:hint="default" w:eastAsia="仿宋_GB2312" w:cs="Times New Roman"/>
          <w:highlight w:val="none"/>
        </w:rPr>
      </w:pPr>
      <w:r>
        <w:rPr>
          <w:rFonts w:hint="default" w:eastAsia="仿宋_GB2312" w:cs="Times New Roman"/>
          <w:b/>
          <w:bCs/>
          <w:highlight w:val="none"/>
        </w:rPr>
        <w:t>加强地下水资源保护。</w:t>
      </w:r>
      <w:r>
        <w:rPr>
          <w:rFonts w:hint="default" w:eastAsia="仿宋_GB2312" w:cs="Times New Roman"/>
          <w:highlight w:val="none"/>
        </w:rPr>
        <w:t>完善地下水水质保护措施，加强地下水水质监测，定期开展地下水基础环境状况调查与评估，强化</w:t>
      </w:r>
      <w:r>
        <w:rPr>
          <w:rFonts w:hint="default" w:eastAsia="仿宋_GB2312" w:cs="Times New Roman"/>
          <w:highlight w:val="none"/>
          <w:lang w:eastAsia="zh-CN"/>
        </w:rPr>
        <w:t>农村</w:t>
      </w:r>
      <w:r>
        <w:rPr>
          <w:rFonts w:hint="default" w:eastAsia="仿宋_GB2312" w:cs="Times New Roman"/>
          <w:highlight w:val="none"/>
        </w:rPr>
        <w:t>生活污染及农业污染等地下水水污染防治。严格地下水监管，实施地下水超采区整治和动态管理，对地下水实际开采量超过控制开采量的区域，严格控制地下工程建设及大流量抽取地下水地区的开采量。调整超采区水资源利用结构，逐步压减地下水开采量。制定分区分类地下水保护方案和措施(包括工程和非工程措施)，加强地下水的监测和计量，建立预警系统。</w:t>
      </w:r>
    </w:p>
    <w:p w14:paraId="5BF7229B">
      <w:pPr>
        <w:pageBreakBefore w:val="0"/>
        <w:kinsoku/>
        <w:wordWrap/>
        <w:overflowPunct/>
        <w:topLinePunct w:val="0"/>
        <w:autoSpaceDE/>
        <w:autoSpaceDN/>
        <w:bidi w:val="0"/>
        <w:spacing w:line="560" w:lineRule="exact"/>
        <w:ind w:left="0" w:leftChars="0" w:right="0" w:rightChars="0" w:firstLine="640"/>
        <w:rPr>
          <w:rFonts w:eastAsia="仿宋_GB2312" w:cs="Times New Roman"/>
          <w:highlight w:val="none"/>
        </w:rPr>
      </w:pPr>
      <w:r>
        <w:rPr>
          <w:rFonts w:hint="default" w:eastAsia="仿宋_GB2312" w:cs="Times New Roman"/>
          <w:b/>
          <w:bCs/>
          <w:highlight w:val="none"/>
          <w:lang w:val="en-US" w:eastAsia="zh-CN"/>
        </w:rPr>
        <w:t>强化用水总量控制、用水效率控制和水功能区限制纳污“三条红线”。</w:t>
      </w:r>
      <w:r>
        <w:rPr>
          <w:rFonts w:hint="default" w:eastAsia="仿宋_GB2312" w:cs="Times New Roman"/>
          <w:highlight w:val="none"/>
          <w:lang w:val="en-US" w:eastAsia="zh-CN"/>
        </w:rPr>
        <w:t>淘汰压减高耗水产业产能，建设节水型社会。根据水环境功能区环境容量调整工业布局，制定污染物排放总量限额，实施排污许可证制度，严格规范取水许可审批工作。同时，深入推进节水型社会建设工作，加强工业节水技术研究，提高主导产业的工业用水循环利用率，降低单位产品取水量和排污量，全面提高工业节水水平。灵活使用财政、税收、补贴等政策和办法促进工业节水，提高企业增加节水投入的积极性</w:t>
      </w:r>
      <w:r>
        <w:rPr>
          <w:rFonts w:eastAsia="仿宋_GB2312" w:cs="Times New Roman"/>
          <w:highlight w:val="none"/>
        </w:rPr>
        <w:t>。</w:t>
      </w:r>
    </w:p>
    <w:p w14:paraId="71E3D8D2">
      <w:pPr>
        <w:pageBreakBefore w:val="0"/>
        <w:kinsoku/>
        <w:wordWrap/>
        <w:overflowPunct/>
        <w:topLinePunct w:val="0"/>
        <w:autoSpaceDE/>
        <w:autoSpaceDN/>
        <w:bidi w:val="0"/>
        <w:spacing w:line="560" w:lineRule="exact"/>
        <w:ind w:left="0" w:leftChars="0" w:right="0" w:rightChars="0" w:firstLine="640"/>
        <w:rPr>
          <w:rFonts w:eastAsia="仿宋_GB2312" w:cs="Times New Roman"/>
          <w:highlight w:val="none"/>
        </w:rPr>
      </w:pPr>
      <w:r>
        <w:rPr>
          <w:rFonts w:eastAsia="仿宋_GB2312" w:cs="Times New Roman"/>
          <w:highlight w:val="none"/>
        </w:rPr>
        <w:t>2.</w:t>
      </w:r>
      <w:r>
        <w:rPr>
          <w:rFonts w:hint="default" w:eastAsia="仿宋_GB2312" w:cs="Times New Roman"/>
          <w:highlight w:val="none"/>
          <w:lang w:val="en-US" w:eastAsia="zh-CN"/>
        </w:rPr>
        <w:t>加强九曲河及其他河流流域污染防治</w:t>
      </w:r>
    </w:p>
    <w:p w14:paraId="3E96D65E">
      <w:pPr>
        <w:pageBreakBefore w:val="0"/>
        <w:kinsoku/>
        <w:wordWrap/>
        <w:overflowPunct/>
        <w:topLinePunct w:val="0"/>
        <w:autoSpaceDE/>
        <w:autoSpaceDN/>
        <w:bidi w:val="0"/>
        <w:spacing w:line="560" w:lineRule="exact"/>
        <w:ind w:left="0" w:leftChars="0" w:right="0" w:rightChars="0" w:firstLine="640"/>
        <w:rPr>
          <w:rFonts w:hint="default" w:eastAsia="仿宋_GB2312" w:cs="Times New Roman"/>
          <w:highlight w:val="none"/>
          <w:lang w:val="en-US" w:eastAsia="zh-CN"/>
        </w:rPr>
      </w:pPr>
      <w:r>
        <w:rPr>
          <w:rFonts w:hint="default" w:eastAsia="仿宋_GB2312" w:cs="Times New Roman"/>
          <w:b/>
          <w:bCs/>
          <w:highlight w:val="none"/>
          <w:lang w:val="en-US" w:eastAsia="zh-CN"/>
        </w:rPr>
        <w:t>持续推进中小河流治理。</w:t>
      </w:r>
      <w:r>
        <w:rPr>
          <w:rFonts w:hint="default" w:eastAsia="仿宋_GB2312" w:cs="Times New Roman"/>
          <w:highlight w:val="none"/>
          <w:lang w:val="en-US" w:eastAsia="zh-CN"/>
        </w:rPr>
        <w:t>以九曲河等柳江及红水河重要支流为重点，依托</w:t>
      </w:r>
      <w:r>
        <w:rPr>
          <w:rFonts w:hint="eastAsia" w:ascii="宋体" w:hAnsi="宋体" w:eastAsia="宋体" w:cs="宋体"/>
          <w:highlight w:val="none"/>
          <w:lang w:val="en-US" w:eastAsia="zh-CN"/>
        </w:rPr>
        <w:t>“</w:t>
      </w:r>
      <w:r>
        <w:rPr>
          <w:rFonts w:hint="default" w:eastAsia="仿宋_GB2312" w:cs="Times New Roman"/>
          <w:highlight w:val="none"/>
          <w:lang w:val="en-US" w:eastAsia="zh-CN"/>
        </w:rPr>
        <w:t>柳州市重点河流环境综合整治工程</w:t>
      </w:r>
      <w:r>
        <w:rPr>
          <w:rFonts w:hint="eastAsia" w:ascii="宋体" w:hAnsi="宋体" w:eastAsia="宋体" w:cs="宋体"/>
          <w:highlight w:val="none"/>
          <w:lang w:val="en-US" w:eastAsia="zh-CN"/>
        </w:rPr>
        <w:t>”</w:t>
      </w:r>
      <w:r>
        <w:rPr>
          <w:rFonts w:hint="default" w:eastAsia="仿宋_GB2312" w:cs="Times New Roman"/>
          <w:highlight w:val="none"/>
          <w:lang w:val="en-US" w:eastAsia="zh-CN"/>
        </w:rPr>
        <w:t>，</w:t>
      </w:r>
      <w:r>
        <w:rPr>
          <w:rFonts w:hint="eastAsia" w:eastAsia="仿宋_GB2312" w:cs="Times New Roman"/>
          <w:highlight w:val="none"/>
          <w:lang w:val="en-US" w:eastAsia="zh-CN"/>
        </w:rPr>
        <w:t>继续</w:t>
      </w:r>
      <w:r>
        <w:rPr>
          <w:rFonts w:hint="default" w:eastAsia="仿宋_GB2312" w:cs="Times New Roman"/>
          <w:highlight w:val="none"/>
          <w:lang w:val="en-US" w:eastAsia="zh-CN"/>
        </w:rPr>
        <w:t>推进</w:t>
      </w:r>
      <w:r>
        <w:rPr>
          <w:rFonts w:hint="eastAsia" w:ascii="宋体" w:hAnsi="宋体" w:eastAsia="宋体" w:cs="宋体"/>
          <w:highlight w:val="none"/>
          <w:lang w:val="en-US" w:eastAsia="zh-CN"/>
        </w:rPr>
        <w:t>“</w:t>
      </w:r>
      <w:r>
        <w:rPr>
          <w:rFonts w:hint="default" w:eastAsia="仿宋_GB2312" w:cs="Times New Roman"/>
          <w:highlight w:val="none"/>
          <w:lang w:val="en-US" w:eastAsia="zh-CN"/>
        </w:rPr>
        <w:t>柳江区中小河流治理工程</w:t>
      </w:r>
      <w:r>
        <w:rPr>
          <w:rFonts w:hint="eastAsia" w:ascii="宋体" w:hAnsi="宋体" w:eastAsia="宋体" w:cs="宋体"/>
          <w:highlight w:val="none"/>
          <w:lang w:val="en-US" w:eastAsia="zh-CN"/>
        </w:rPr>
        <w:t>”</w:t>
      </w:r>
      <w:r>
        <w:rPr>
          <w:rFonts w:hint="default" w:eastAsia="仿宋_GB2312" w:cs="Times New Roman"/>
          <w:highlight w:val="none"/>
          <w:lang w:val="en-US" w:eastAsia="zh-CN"/>
        </w:rPr>
        <w:t>，加强对九曲河河段、大桥河、三千河、保村河城区河段的环境综合整治，改善以上河水水质，并对部分中小河流进行护岸及堤防建设；通过广泛宣传，部门联合执法等措施，对全区河道及水库网箱养鱼进行整治工作；主要江河湖泊水库水生态系统得到基本保护。</w:t>
      </w:r>
    </w:p>
    <w:p w14:paraId="562D8B27">
      <w:pPr>
        <w:pageBreakBefore w:val="0"/>
        <w:kinsoku/>
        <w:wordWrap/>
        <w:overflowPunct/>
        <w:topLinePunct w:val="0"/>
        <w:autoSpaceDE/>
        <w:autoSpaceDN/>
        <w:bidi w:val="0"/>
        <w:spacing w:line="560" w:lineRule="exact"/>
        <w:ind w:left="0" w:leftChars="0" w:right="0" w:rightChars="0" w:firstLine="640"/>
        <w:rPr>
          <w:rFonts w:hint="default" w:eastAsia="仿宋_GB2312" w:cs="Times New Roman"/>
          <w:highlight w:val="none"/>
          <w:lang w:val="en-US" w:eastAsia="zh-CN"/>
        </w:rPr>
      </w:pPr>
      <w:r>
        <w:rPr>
          <w:rFonts w:hint="default" w:eastAsia="仿宋_GB2312" w:cs="Times New Roman"/>
          <w:b/>
          <w:bCs/>
          <w:highlight w:val="none"/>
          <w:lang w:val="en-US" w:eastAsia="zh-CN"/>
        </w:rPr>
        <w:t>推进地表水与地下水交互影响管控。</w:t>
      </w:r>
      <w:r>
        <w:rPr>
          <w:rFonts w:hint="default" w:eastAsia="仿宋_GB2312" w:cs="Times New Roman"/>
          <w:highlight w:val="none"/>
          <w:lang w:val="en-US" w:eastAsia="zh-CN"/>
        </w:rPr>
        <w:t>针对地表水、地下水共性污染因子，在完善环境本底研究基础上，加强总磷、重金属、硫酸盐、氟化物等污染物协同防治。打通岸上水里，坚持水陆统筹、以水定岸，明确每一条保护治理的水体对应的陆域汇水空间，并按照</w:t>
      </w:r>
      <w:r>
        <w:rPr>
          <w:rFonts w:hint="eastAsia" w:eastAsia="仿宋_GB2312" w:cs="Times New Roman"/>
          <w:highlight w:val="none"/>
          <w:lang w:val="en-US" w:eastAsia="zh-CN"/>
        </w:rPr>
        <w:t>“</w:t>
      </w:r>
      <w:r>
        <w:rPr>
          <w:rFonts w:hint="default" w:eastAsia="仿宋_GB2312" w:cs="Times New Roman"/>
          <w:highlight w:val="none"/>
          <w:lang w:val="en-US" w:eastAsia="zh-CN"/>
        </w:rPr>
        <w:t>流域统筹、区域落实</w:t>
      </w:r>
      <w:r>
        <w:rPr>
          <w:rFonts w:hint="eastAsia" w:eastAsia="仿宋_GB2312" w:cs="Times New Roman"/>
          <w:highlight w:val="none"/>
          <w:lang w:val="en-US" w:eastAsia="zh-CN"/>
        </w:rPr>
        <w:t>”</w:t>
      </w:r>
      <w:r>
        <w:rPr>
          <w:rFonts w:hint="default" w:eastAsia="仿宋_GB2312" w:cs="Times New Roman"/>
          <w:highlight w:val="none"/>
          <w:lang w:val="en-US" w:eastAsia="zh-CN"/>
        </w:rPr>
        <w:t>的思路，落实区内水生态环境保护责任；以排污许可证制度为依托，建立</w:t>
      </w:r>
      <w:r>
        <w:rPr>
          <w:rFonts w:hint="eastAsia" w:eastAsia="仿宋_GB2312" w:cs="Times New Roman"/>
          <w:highlight w:val="none"/>
          <w:lang w:val="en-US" w:eastAsia="zh-CN"/>
        </w:rPr>
        <w:t>“</w:t>
      </w:r>
      <w:r>
        <w:rPr>
          <w:rFonts w:hint="default" w:eastAsia="仿宋_GB2312" w:cs="Times New Roman"/>
          <w:highlight w:val="none"/>
          <w:lang w:val="en-US" w:eastAsia="zh-CN"/>
        </w:rPr>
        <w:t>水体—入河排污口—排污管线—污染源</w:t>
      </w:r>
      <w:r>
        <w:rPr>
          <w:rFonts w:hint="eastAsia" w:eastAsia="仿宋_GB2312" w:cs="Times New Roman"/>
          <w:highlight w:val="none"/>
          <w:lang w:val="en-US" w:eastAsia="zh-CN"/>
        </w:rPr>
        <w:t>”</w:t>
      </w:r>
      <w:r>
        <w:rPr>
          <w:rFonts w:hint="default" w:eastAsia="仿宋_GB2312" w:cs="Times New Roman"/>
          <w:highlight w:val="none"/>
          <w:lang w:val="en-US" w:eastAsia="zh-CN"/>
        </w:rPr>
        <w:t>联动管理的水污染物排放治理体系，落实企事业单位治污主体责任。推进城镇污水管网全覆盖、治理城乡生活环境、严防城市黑臭水体反复；因地制宜推进农村生活垃圾处理和污水治理，持续实施河湖水系综合整治，改善农村人居环境。</w:t>
      </w:r>
    </w:p>
    <w:p w14:paraId="7F95298B">
      <w:pPr>
        <w:pageBreakBefore w:val="0"/>
        <w:kinsoku/>
        <w:wordWrap/>
        <w:overflowPunct/>
        <w:topLinePunct w:val="0"/>
        <w:autoSpaceDE/>
        <w:autoSpaceDN/>
        <w:bidi w:val="0"/>
        <w:spacing w:line="560" w:lineRule="exact"/>
        <w:ind w:left="0" w:leftChars="0" w:right="0" w:rightChars="0" w:firstLine="640"/>
        <w:rPr>
          <w:rFonts w:eastAsia="仿宋_GB2312" w:cs="Times New Roman"/>
          <w:highlight w:val="none"/>
        </w:rPr>
      </w:pPr>
      <w:r>
        <w:rPr>
          <w:rFonts w:hint="default" w:eastAsia="仿宋_GB2312" w:cs="Times New Roman"/>
          <w:b/>
          <w:bCs/>
          <w:highlight w:val="none"/>
          <w:lang w:val="en-US" w:eastAsia="zh-CN"/>
        </w:rPr>
        <w:t>全面实施农村黑臭水体综合整治。</w:t>
      </w:r>
      <w:r>
        <w:rPr>
          <w:rFonts w:hint="default" w:eastAsia="仿宋_GB2312" w:cs="Times New Roman"/>
          <w:highlight w:val="none"/>
          <w:lang w:val="en-US" w:eastAsia="zh-CN"/>
        </w:rPr>
        <w:t>建立健全长效机制，完善监督举报机制，确保农村黑臭水体整治工程长效运行，防止返黑返臭，进一步巩固提升农村黑臭水体治理成效</w:t>
      </w:r>
      <w:r>
        <w:rPr>
          <w:rFonts w:eastAsia="仿宋_GB2312" w:cs="Times New Roman"/>
          <w:highlight w:val="none"/>
        </w:rPr>
        <w:t>。</w:t>
      </w:r>
    </w:p>
    <w:p w14:paraId="7F531579">
      <w:pPr>
        <w:pageBreakBefore w:val="0"/>
        <w:kinsoku/>
        <w:wordWrap/>
        <w:overflowPunct/>
        <w:topLinePunct w:val="0"/>
        <w:autoSpaceDE/>
        <w:autoSpaceDN/>
        <w:bidi w:val="0"/>
        <w:spacing w:line="560" w:lineRule="exact"/>
        <w:ind w:left="0" w:leftChars="0" w:right="0" w:rightChars="0" w:firstLine="640"/>
        <w:rPr>
          <w:rFonts w:eastAsia="仿宋_GB2312" w:cs="Times New Roman"/>
          <w:highlight w:val="none"/>
        </w:rPr>
      </w:pPr>
      <w:r>
        <w:rPr>
          <w:rFonts w:eastAsia="仿宋_GB2312" w:cs="Times New Roman"/>
          <w:highlight w:val="none"/>
        </w:rPr>
        <w:t>3.</w:t>
      </w:r>
      <w:r>
        <w:rPr>
          <w:rFonts w:hint="default" w:eastAsia="仿宋_GB2312" w:cs="Times New Roman"/>
          <w:highlight w:val="none"/>
          <w:lang w:val="en-US" w:eastAsia="zh-CN"/>
        </w:rPr>
        <w:t>深化污染治理，持续改善水环境质量</w:t>
      </w:r>
    </w:p>
    <w:p w14:paraId="4BD67B11">
      <w:pPr>
        <w:pageBreakBefore w:val="0"/>
        <w:kinsoku/>
        <w:wordWrap/>
        <w:overflowPunct/>
        <w:topLinePunct w:val="0"/>
        <w:autoSpaceDE/>
        <w:autoSpaceDN/>
        <w:bidi w:val="0"/>
        <w:spacing w:line="560" w:lineRule="exact"/>
        <w:ind w:left="0" w:leftChars="0" w:right="0" w:rightChars="0" w:firstLine="640"/>
        <w:rPr>
          <w:rFonts w:hint="default" w:eastAsia="仿宋_GB2312" w:cs="Times New Roman"/>
          <w:highlight w:val="none"/>
          <w:lang w:val="en-US" w:eastAsia="zh-CN"/>
        </w:rPr>
      </w:pPr>
      <w:r>
        <w:rPr>
          <w:rFonts w:hint="default" w:eastAsia="仿宋_GB2312" w:cs="Times New Roman"/>
          <w:b/>
          <w:bCs/>
          <w:highlight w:val="none"/>
          <w:lang w:val="en-US" w:eastAsia="zh-CN"/>
        </w:rPr>
        <w:t>加强工业污水治理。</w:t>
      </w:r>
      <w:r>
        <w:rPr>
          <w:rFonts w:hint="default" w:eastAsia="仿宋_GB2312" w:cs="Times New Roman"/>
          <w:highlight w:val="none"/>
          <w:lang w:val="en-US" w:eastAsia="zh-CN"/>
        </w:rPr>
        <w:t>根据水环境功能区环境容量调整工业布局，制定污染物排放总量限额，实施排污许可证制度，严格规范取水许可审批工作；对污染物排放量较大的制糖、制药、机械制造以及农副产品加工等支柱产业和主导产业，全面实施污染物总量控制。加强企业废水排放监管，推进在线监测系统建设和完善。加强对重点污染企业废水排放的监管，落实重点监控企业动态管理名录。推进工业企业在线监测系统建立和完善，加大环境违法处罚力度，杜绝偷排漏排和超标超量排污。强化重点企业水污染排放监管，提升工业废水收集和处理和提高工业企业的清洁生产水平和工业用水利用效率。</w:t>
      </w:r>
    </w:p>
    <w:p w14:paraId="78CCB202">
      <w:pPr>
        <w:pageBreakBefore w:val="0"/>
        <w:kinsoku/>
        <w:wordWrap/>
        <w:overflowPunct/>
        <w:topLinePunct w:val="0"/>
        <w:autoSpaceDE/>
        <w:autoSpaceDN/>
        <w:bidi w:val="0"/>
        <w:spacing w:line="560" w:lineRule="exact"/>
        <w:ind w:left="0" w:leftChars="0" w:right="0" w:rightChars="0" w:firstLine="640"/>
        <w:rPr>
          <w:rFonts w:hint="default" w:eastAsia="仿宋_GB2312" w:cs="Times New Roman"/>
          <w:highlight w:val="none"/>
          <w:lang w:val="en-US" w:eastAsia="zh-CN"/>
        </w:rPr>
      </w:pPr>
      <w:r>
        <w:rPr>
          <w:rFonts w:hint="default" w:eastAsia="仿宋_GB2312" w:cs="Times New Roman"/>
          <w:b/>
          <w:bCs/>
          <w:highlight w:val="none"/>
          <w:lang w:val="en-US" w:eastAsia="zh-CN"/>
        </w:rPr>
        <w:t>规范工业园区环境管理。</w:t>
      </w:r>
      <w:r>
        <w:rPr>
          <w:rFonts w:hint="default" w:eastAsia="仿宋_GB2312" w:cs="Times New Roman"/>
          <w:highlight w:val="none"/>
          <w:lang w:val="en-US" w:eastAsia="zh-CN"/>
        </w:rPr>
        <w:t>新建工业企业原则上都应在工业园区内建设并符合相关规划和园区定位，现有重污染行业企业应限期搬入产业对口园区。加大现有工业园区整治力度，完善污染治理设施，实施雨污分流改造。组织开展园区问题排查，建立</w:t>
      </w:r>
      <w:r>
        <w:rPr>
          <w:rFonts w:hint="eastAsia" w:eastAsia="仿宋_GB2312" w:cs="Times New Roman"/>
          <w:highlight w:val="none"/>
          <w:lang w:val="en-US" w:eastAsia="zh-CN"/>
        </w:rPr>
        <w:t>“</w:t>
      </w:r>
      <w:r>
        <w:rPr>
          <w:rFonts w:hint="default" w:eastAsia="仿宋_GB2312" w:cs="Times New Roman"/>
          <w:highlight w:val="none"/>
          <w:lang w:val="en-US" w:eastAsia="zh-CN"/>
        </w:rPr>
        <w:t>一园一档</w:t>
      </w:r>
      <w:r>
        <w:rPr>
          <w:rFonts w:hint="eastAsia" w:eastAsia="仿宋_GB2312" w:cs="Times New Roman"/>
          <w:highlight w:val="none"/>
          <w:lang w:val="en-US" w:eastAsia="zh-CN"/>
        </w:rPr>
        <w:t>”</w:t>
      </w:r>
      <w:r>
        <w:rPr>
          <w:rFonts w:hint="default" w:eastAsia="仿宋_GB2312" w:cs="Times New Roman"/>
          <w:highlight w:val="none"/>
          <w:lang w:val="en-US" w:eastAsia="zh-CN"/>
        </w:rPr>
        <w:t>，编制</w:t>
      </w:r>
      <w:r>
        <w:rPr>
          <w:rFonts w:hint="eastAsia" w:eastAsia="仿宋_GB2312" w:cs="Times New Roman"/>
          <w:highlight w:val="none"/>
          <w:lang w:val="en-US" w:eastAsia="zh-CN"/>
        </w:rPr>
        <w:t>“</w:t>
      </w:r>
      <w:r>
        <w:rPr>
          <w:rFonts w:hint="default" w:eastAsia="仿宋_GB2312" w:cs="Times New Roman"/>
          <w:highlight w:val="none"/>
          <w:lang w:val="en-US" w:eastAsia="zh-CN"/>
        </w:rPr>
        <w:t>一园一策</w:t>
      </w:r>
      <w:r>
        <w:rPr>
          <w:rFonts w:hint="eastAsia" w:eastAsia="仿宋_GB2312" w:cs="Times New Roman"/>
          <w:highlight w:val="none"/>
          <w:lang w:val="en-US" w:eastAsia="zh-CN"/>
        </w:rPr>
        <w:t>”</w:t>
      </w:r>
      <w:r>
        <w:rPr>
          <w:rFonts w:hint="default" w:eastAsia="仿宋_GB2312" w:cs="Times New Roman"/>
          <w:highlight w:val="none"/>
          <w:lang w:val="en-US" w:eastAsia="zh-CN"/>
        </w:rPr>
        <w:t>。强化重点企业排口水质监控，评估依托城镇生活污水处理设施处理工业废水对出水的影响，导致出水不能稳定达标的，要限期退出城镇污水处理设施并另行专门处理。</w:t>
      </w:r>
    </w:p>
    <w:p w14:paraId="419723F0">
      <w:pPr>
        <w:pageBreakBefore w:val="0"/>
        <w:kinsoku/>
        <w:wordWrap/>
        <w:overflowPunct/>
        <w:topLinePunct w:val="0"/>
        <w:autoSpaceDE/>
        <w:autoSpaceDN/>
        <w:bidi w:val="0"/>
        <w:spacing w:line="560" w:lineRule="exact"/>
        <w:ind w:left="0" w:leftChars="0" w:right="0" w:rightChars="0" w:firstLine="640"/>
        <w:rPr>
          <w:rFonts w:eastAsia="仿宋_GB2312" w:cs="Times New Roman"/>
          <w:highlight w:val="none"/>
        </w:rPr>
      </w:pPr>
      <w:r>
        <w:rPr>
          <w:rFonts w:hint="default" w:eastAsia="仿宋_GB2312" w:cs="Times New Roman"/>
          <w:b/>
          <w:bCs/>
          <w:highlight w:val="none"/>
          <w:lang w:val="en-US" w:eastAsia="zh-CN"/>
        </w:rPr>
        <w:t>加强城乡生活源治理。</w:t>
      </w:r>
      <w:r>
        <w:rPr>
          <w:rFonts w:hint="default" w:eastAsia="仿宋_GB2312" w:cs="Times New Roman"/>
          <w:highlight w:val="none"/>
          <w:lang w:val="en-US" w:eastAsia="zh-CN"/>
        </w:rPr>
        <w:t>持续推进城镇污水处理提质增效，加快城镇水环境治理设施建设，提升城镇污水处理能力和水平。加快推进</w:t>
      </w:r>
      <w:r>
        <w:rPr>
          <w:rFonts w:hint="eastAsia" w:eastAsia="仿宋_GB2312" w:cs="Times New Roman"/>
          <w:highlight w:val="none"/>
          <w:lang w:val="en-US" w:eastAsia="zh-CN"/>
        </w:rPr>
        <w:t>城镇污水处理厂、</w:t>
      </w:r>
      <w:r>
        <w:rPr>
          <w:rFonts w:hint="default" w:eastAsia="仿宋_GB2312" w:cs="Times New Roman"/>
          <w:highlight w:val="none"/>
          <w:lang w:val="en-US" w:eastAsia="zh-CN"/>
        </w:rPr>
        <w:t>乡镇级污水处理设施建设、扩建及提标改造。推进老旧污水管网改造和破损修复。加强污水管网清查，强化城中村、老旧城区和城乡结合部污水直排口截污、老旧管网改造，完善雨污分流管网建设。加快推进《柳江区农村生活污水治理专项规划》的实施。鼓励有条件的地区推进城镇污水处理设施和服务向农村延伸，进一步提升农村生活污水收集处理率</w:t>
      </w:r>
      <w:r>
        <w:rPr>
          <w:rFonts w:eastAsia="仿宋_GB2312" w:cs="Times New Roman"/>
          <w:highlight w:val="none"/>
        </w:rPr>
        <w:t>。</w:t>
      </w:r>
    </w:p>
    <w:p w14:paraId="298B0D59">
      <w:pPr>
        <w:pageBreakBefore w:val="0"/>
        <w:kinsoku/>
        <w:wordWrap/>
        <w:overflowPunct/>
        <w:topLinePunct w:val="0"/>
        <w:autoSpaceDE/>
        <w:autoSpaceDN/>
        <w:bidi w:val="0"/>
        <w:spacing w:line="560" w:lineRule="exact"/>
        <w:ind w:left="0" w:leftChars="0" w:right="0" w:rightChars="0" w:firstLine="640"/>
        <w:rPr>
          <w:rFonts w:ascii="仿宋_GB2312" w:hAnsi="仿宋_GB2312" w:eastAsia="仿宋_GB2312" w:cs="仿宋_GB2312"/>
          <w:highlight w:val="none"/>
        </w:rPr>
      </w:pPr>
      <w:r>
        <w:rPr>
          <w:rFonts w:hint="eastAsia" w:ascii="仿宋_GB2312" w:hAnsi="仿宋_GB2312" w:eastAsia="仿宋_GB2312" w:cs="仿宋_GB2312"/>
          <w:highlight w:val="none"/>
        </w:rPr>
        <w:t>4.加强</w:t>
      </w:r>
      <w:r>
        <w:rPr>
          <w:rFonts w:hint="eastAsia" w:ascii="仿宋_GB2312" w:hAnsi="仿宋_GB2312" w:eastAsia="仿宋_GB2312" w:cs="仿宋_GB2312"/>
          <w:highlight w:val="none"/>
          <w:lang w:eastAsia="zh-CN"/>
        </w:rPr>
        <w:t>农业</w:t>
      </w:r>
      <w:r>
        <w:rPr>
          <w:rFonts w:hint="eastAsia" w:ascii="仿宋_GB2312" w:hAnsi="仿宋_GB2312" w:eastAsia="仿宋_GB2312" w:cs="仿宋_GB2312"/>
          <w:highlight w:val="none"/>
        </w:rPr>
        <w:t>面源污染控制</w:t>
      </w:r>
    </w:p>
    <w:p w14:paraId="6CA90B2E">
      <w:pPr>
        <w:pageBreakBefore w:val="0"/>
        <w:kinsoku/>
        <w:wordWrap/>
        <w:overflowPunct/>
        <w:topLinePunct w:val="0"/>
        <w:autoSpaceDE/>
        <w:autoSpaceDN/>
        <w:bidi w:val="0"/>
        <w:spacing w:line="560" w:lineRule="exact"/>
        <w:ind w:left="0" w:leftChars="0" w:right="0" w:rightChars="0" w:firstLine="640"/>
        <w:rPr>
          <w:rFonts w:hint="eastAsia" w:ascii="仿宋_GB2312" w:hAnsi="仿宋_GB2312" w:eastAsia="仿宋_GB2312" w:cs="仿宋_GB2312"/>
          <w:highlight w:val="none"/>
        </w:rPr>
      </w:pPr>
      <w:r>
        <w:rPr>
          <w:rFonts w:hint="eastAsia" w:ascii="仿宋_GB2312" w:hAnsi="仿宋_GB2312" w:eastAsia="仿宋_GB2312" w:cs="仿宋_GB2312"/>
          <w:b/>
          <w:bCs/>
          <w:highlight w:val="none"/>
          <w:lang w:val="en-US" w:eastAsia="zh-CN"/>
        </w:rPr>
        <w:t>加大畜禽养殖业污染治理和监管力度。</w:t>
      </w:r>
      <w:r>
        <w:rPr>
          <w:rFonts w:hint="eastAsia" w:ascii="仿宋_GB2312" w:hAnsi="仿宋_GB2312" w:eastAsia="仿宋_GB2312" w:cs="仿宋_GB2312"/>
          <w:highlight w:val="none"/>
          <w:lang w:val="en-US" w:eastAsia="zh-CN"/>
        </w:rPr>
        <w:t>提高规模化畜禽养殖和养殖小区粪污综合利用率，强化分散式畜禽养殖管理，科学划定水产养殖禁养区。加强畜禽养殖场、养殖小区污染防治，建设畜禽粪便、污水的贮存设施，粪污厌氧消化和堆沤、有机肥加工、制取沼气、沼渣沼液分离和输送、污水处理、畜禽尸体处理等综合利用和无害化处理设施。发展畜禽粪便综合利用和无害化处理第三方治理，鼓励对沼气净化提纯，制取燃气；在养殖密集区域，建设畜禽养殖污染物处置中心，对污染物实行统一收集和处理。逐步将“清洁养殖”升级为“生态养殖”，加快发展禽畜粪便生产有机肥产业，推动禽畜粪便资源化利用，在现有的规模化养殖全部完成标准化改造</w:t>
      </w:r>
      <w:r>
        <w:rPr>
          <w:rFonts w:hint="eastAsia" w:ascii="仿宋_GB2312" w:hAnsi="仿宋_GB2312" w:eastAsia="仿宋_GB2312" w:cs="仿宋_GB2312"/>
          <w:highlight w:val="none"/>
        </w:rPr>
        <w:t>。</w:t>
      </w:r>
    </w:p>
    <w:p w14:paraId="5554757F">
      <w:pPr>
        <w:pageBreakBefore w:val="0"/>
        <w:kinsoku/>
        <w:wordWrap/>
        <w:overflowPunct/>
        <w:topLinePunct w:val="0"/>
        <w:autoSpaceDE/>
        <w:autoSpaceDN/>
        <w:bidi w:val="0"/>
        <w:spacing w:line="560" w:lineRule="exact"/>
        <w:ind w:left="0" w:leftChars="0" w:right="0" w:rightChars="0" w:firstLine="640"/>
        <w:rPr>
          <w:highlight w:val="none"/>
        </w:rPr>
      </w:pPr>
      <w:r>
        <w:rPr>
          <w:rFonts w:hint="eastAsia" w:ascii="仿宋_GB2312" w:hAnsi="仿宋_GB2312" w:eastAsia="仿宋_GB2312" w:cs="仿宋_GB2312"/>
          <w:b/>
          <w:bCs/>
          <w:highlight w:val="none"/>
        </w:rPr>
        <w:t>控制农业面源，制定实施</w:t>
      </w:r>
      <w:r>
        <w:rPr>
          <w:rFonts w:hint="eastAsia" w:ascii="仿宋_GB2312" w:hAnsi="仿宋_GB2312" w:eastAsia="仿宋_GB2312" w:cs="仿宋_GB2312"/>
          <w:b/>
          <w:bCs/>
          <w:highlight w:val="none"/>
          <w:lang w:eastAsia="zh-CN"/>
        </w:rPr>
        <w:t>柳江区</w:t>
      </w:r>
      <w:r>
        <w:rPr>
          <w:rFonts w:hint="eastAsia" w:ascii="仿宋_GB2312" w:hAnsi="仿宋_GB2312" w:eastAsia="仿宋_GB2312" w:cs="仿宋_GB2312"/>
          <w:b/>
          <w:bCs/>
          <w:highlight w:val="none"/>
        </w:rPr>
        <w:t>农业面源污染综合防治方案。</w:t>
      </w:r>
      <w:r>
        <w:rPr>
          <w:rFonts w:hint="eastAsia" w:ascii="仿宋_GB2312" w:hAnsi="仿宋_GB2312" w:eastAsia="仿宋_GB2312" w:cs="仿宋_GB2312"/>
          <w:highlight w:val="none"/>
        </w:rPr>
        <w:t>推广使用高效、低毒、低残留农药，推进农作物病虫害绿色防控和统防统治融合发展。实行测土配方施肥，推广精准施肥技术和机具。完善高标准农田建设、土地开发整理等标准规范，明确环保要求，新建高标准农田要达到相关环保要求。敏感区域和大中型灌区，要利用现有沟、塘、窖等，配置水生植物群落、格栅和透水坝，建设生态沟渠、污水净化塘、地表径流集蓄池等设施，净化农田排水及地表径流。</w:t>
      </w:r>
    </w:p>
    <w:p w14:paraId="19659A6D">
      <w:pPr>
        <w:pStyle w:val="9"/>
        <w:pageBreakBefore w:val="0"/>
        <w:kinsoku/>
        <w:wordWrap/>
        <w:overflowPunct/>
        <w:topLinePunct w:val="0"/>
        <w:autoSpaceDE/>
        <w:autoSpaceDN/>
        <w:bidi w:val="0"/>
        <w:spacing w:line="560" w:lineRule="exact"/>
        <w:ind w:left="0" w:leftChars="0" w:right="0" w:rightChars="0" w:firstLine="640"/>
        <w:rPr>
          <w:rFonts w:ascii="楷体_GB2312" w:hAnsi="楷体_GB2312" w:eastAsia="楷体_GB2312" w:cs="楷体_GB2312"/>
          <w:b/>
          <w:bCs w:val="0"/>
          <w:highlight w:val="none"/>
        </w:rPr>
      </w:pPr>
      <w:r>
        <w:rPr>
          <w:rFonts w:hint="eastAsia" w:ascii="楷体_GB2312" w:hAnsi="楷体_GB2312" w:eastAsia="楷体_GB2312" w:cs="楷体_GB2312"/>
          <w:b/>
          <w:bCs w:val="0"/>
          <w:highlight w:val="none"/>
        </w:rPr>
        <w:t>（四）</w:t>
      </w:r>
      <w:r>
        <w:rPr>
          <w:rFonts w:hint="eastAsia" w:ascii="楷体_GB2312" w:hAnsi="楷体_GB2312" w:eastAsia="楷体_GB2312" w:cs="楷体_GB2312"/>
          <w:b/>
          <w:bCs w:val="0"/>
          <w:highlight w:val="none"/>
          <w:lang w:eastAsia="zh-CN"/>
        </w:rPr>
        <w:t>有效管控土壤污染风险，保障土壤安全</w:t>
      </w:r>
    </w:p>
    <w:p w14:paraId="62B2B8CA">
      <w:pPr>
        <w:keepNext w:val="0"/>
        <w:keepLines w:val="0"/>
        <w:pageBreakBefore w:val="0"/>
        <w:widowControl w:val="0"/>
        <w:kinsoku/>
        <w:wordWrap/>
        <w:overflowPunct/>
        <w:topLinePunct w:val="0"/>
        <w:autoSpaceDE/>
        <w:autoSpaceDN/>
        <w:bidi w:val="0"/>
        <w:spacing w:line="560" w:lineRule="exact"/>
        <w:ind w:left="0" w:leftChars="0" w:right="0" w:rightChars="0" w:firstLine="652" w:firstLineChars="200"/>
        <w:textAlignment w:val="auto"/>
        <w:rPr>
          <w:rFonts w:eastAsia="仿宋_GB2312" w:cs="Times New Roman"/>
          <w:highlight w:val="none"/>
        </w:rPr>
      </w:pPr>
      <w:r>
        <w:rPr>
          <w:rFonts w:eastAsia="仿宋_GB2312" w:cs="Times New Roman"/>
          <w:highlight w:val="none"/>
        </w:rPr>
        <w:t>1.</w:t>
      </w:r>
      <w:r>
        <w:rPr>
          <w:rFonts w:hint="eastAsia" w:eastAsia="仿宋_GB2312" w:cs="Times New Roman"/>
          <w:highlight w:val="none"/>
          <w:lang w:eastAsia="zh-CN"/>
        </w:rPr>
        <w:t>深入实施土壤污染防治行动计划</w:t>
      </w:r>
    </w:p>
    <w:p w14:paraId="19519EFC">
      <w:pPr>
        <w:pStyle w:val="25"/>
        <w:keepNext w:val="0"/>
        <w:keepLines w:val="0"/>
        <w:pageBreakBefore w:val="0"/>
        <w:widowControl w:val="0"/>
        <w:kinsoku/>
        <w:wordWrap/>
        <w:overflowPunct/>
        <w:topLinePunct w:val="0"/>
        <w:autoSpaceDE/>
        <w:autoSpaceDN/>
        <w:bidi w:val="0"/>
        <w:spacing w:after="0" w:line="560" w:lineRule="exact"/>
        <w:ind w:left="0" w:leftChars="0" w:right="0" w:rightChars="0" w:firstLine="652" w:firstLineChars="200"/>
        <w:textAlignment w:val="auto"/>
        <w:rPr>
          <w:rFonts w:hint="default" w:eastAsia="仿宋_GB2312"/>
          <w:sz w:val="32"/>
          <w:highlight w:val="none"/>
          <w:lang w:val="en-US" w:eastAsia="zh-CN"/>
        </w:rPr>
      </w:pPr>
      <w:r>
        <w:rPr>
          <w:rFonts w:hint="default" w:eastAsia="仿宋_GB2312"/>
          <w:b/>
          <w:bCs/>
          <w:sz w:val="32"/>
          <w:highlight w:val="none"/>
          <w:lang w:val="en-US" w:eastAsia="zh-CN"/>
        </w:rPr>
        <w:t>开展土壤污染调查，掌握土壤环境质量状况。</w:t>
      </w:r>
      <w:r>
        <w:rPr>
          <w:rFonts w:hint="default" w:eastAsia="仿宋_GB2312"/>
          <w:sz w:val="32"/>
          <w:highlight w:val="none"/>
          <w:lang w:val="en-US" w:eastAsia="zh-CN"/>
        </w:rPr>
        <w:t>建设土壤环境质量监测网络，统一规划、整合优化土壤环境质量监测点位，完成柳江区辖区土壤环境质量监测点位设置，充分发挥行业监测网作用，基本形成土壤环境监测能力。实行数据共享，发挥土壤环境大数据在污染防治、城乡规划、土地利用、农业生产中的作用；全面强化监管执法、提升环境监管水平，严惩环境违法行为，明确重点监测土壤中镉、汞、砷、铅、铬等重金属和多环芳烃、石油烃等有机污染物。</w:t>
      </w:r>
    </w:p>
    <w:p w14:paraId="3FBC42EE">
      <w:pPr>
        <w:pStyle w:val="25"/>
        <w:keepNext w:val="0"/>
        <w:keepLines w:val="0"/>
        <w:pageBreakBefore w:val="0"/>
        <w:widowControl w:val="0"/>
        <w:kinsoku/>
        <w:wordWrap/>
        <w:overflowPunct/>
        <w:topLinePunct w:val="0"/>
        <w:autoSpaceDE/>
        <w:autoSpaceDN/>
        <w:bidi w:val="0"/>
        <w:spacing w:after="0" w:line="560" w:lineRule="exact"/>
        <w:ind w:left="0" w:leftChars="0" w:right="0" w:rightChars="0" w:firstLine="652" w:firstLineChars="200"/>
        <w:textAlignment w:val="auto"/>
        <w:rPr>
          <w:rFonts w:hint="default" w:eastAsia="仿宋_GB2312"/>
          <w:sz w:val="32"/>
          <w:highlight w:val="none"/>
          <w:lang w:val="en-US" w:eastAsia="zh-CN"/>
        </w:rPr>
      </w:pPr>
      <w:r>
        <w:rPr>
          <w:rFonts w:hint="default" w:eastAsia="仿宋_GB2312"/>
          <w:b/>
          <w:bCs/>
          <w:sz w:val="32"/>
          <w:highlight w:val="none"/>
          <w:lang w:val="en-US" w:eastAsia="zh-CN"/>
        </w:rPr>
        <w:t>加强</w:t>
      </w:r>
      <w:r>
        <w:rPr>
          <w:rFonts w:hint="eastAsia" w:eastAsia="仿宋_GB2312"/>
          <w:b/>
          <w:bCs/>
          <w:sz w:val="32"/>
          <w:highlight w:val="none"/>
          <w:lang w:val="en-US" w:eastAsia="zh-CN"/>
        </w:rPr>
        <w:t>土壤</w:t>
      </w:r>
      <w:r>
        <w:rPr>
          <w:rFonts w:hint="default" w:eastAsia="仿宋_GB2312"/>
          <w:b/>
          <w:bCs/>
          <w:sz w:val="32"/>
          <w:highlight w:val="none"/>
          <w:lang w:val="en-US" w:eastAsia="zh-CN"/>
        </w:rPr>
        <w:t>环境执法力量，改善</w:t>
      </w:r>
      <w:r>
        <w:rPr>
          <w:rFonts w:hint="eastAsia" w:eastAsia="仿宋_GB2312"/>
          <w:b/>
          <w:bCs/>
          <w:sz w:val="32"/>
          <w:highlight w:val="none"/>
          <w:lang w:val="en-US" w:eastAsia="zh-CN"/>
        </w:rPr>
        <w:t>土壤</w:t>
      </w:r>
      <w:r>
        <w:rPr>
          <w:rFonts w:hint="default" w:eastAsia="仿宋_GB2312"/>
          <w:b/>
          <w:bCs/>
          <w:sz w:val="32"/>
          <w:highlight w:val="none"/>
          <w:lang w:val="en-US" w:eastAsia="zh-CN"/>
        </w:rPr>
        <w:t>环境执法条件。</w:t>
      </w:r>
      <w:r>
        <w:rPr>
          <w:rFonts w:hint="default" w:eastAsia="仿宋_GB2312"/>
          <w:sz w:val="32"/>
          <w:highlight w:val="none"/>
          <w:lang w:val="en-US" w:eastAsia="zh-CN"/>
        </w:rPr>
        <w:t>配备必要的土壤污染快速检测等执法装备，提高执法人员素质，提高突发环境事件应急能力，建立并完善土壤环境污染事件应急预案，加强环境应急管理、技术支撑、处置救援能力建设；加大执法力度。将土壤污染防治作为环境执法的重要内容，充分利用土壤环境监管网格，加强土壤环境日常监管执法。严厉打击非法排放有毒有害污染物、违法违规存放危险化学品、非法处置危险废物、不正常使用污染治理设施、监测数据弄虚作假等环境违法行为。开展重点行业企业专项环境执法，对严重污染土壤环境、群众反映强烈的企业进行挂牌督办。</w:t>
      </w:r>
    </w:p>
    <w:p w14:paraId="2F90943C">
      <w:pPr>
        <w:pStyle w:val="25"/>
        <w:keepNext w:val="0"/>
        <w:keepLines w:val="0"/>
        <w:pageBreakBefore w:val="0"/>
        <w:widowControl w:val="0"/>
        <w:kinsoku/>
        <w:wordWrap/>
        <w:overflowPunct/>
        <w:topLinePunct w:val="0"/>
        <w:autoSpaceDE/>
        <w:autoSpaceDN/>
        <w:bidi w:val="0"/>
        <w:spacing w:after="0" w:line="560" w:lineRule="exact"/>
        <w:ind w:left="0" w:leftChars="0" w:right="0" w:rightChars="0" w:firstLine="652" w:firstLineChars="200"/>
        <w:textAlignment w:val="auto"/>
        <w:rPr>
          <w:b/>
          <w:bCs/>
          <w:highlight w:val="none"/>
        </w:rPr>
      </w:pPr>
      <w:r>
        <w:rPr>
          <w:rFonts w:hint="default" w:eastAsia="仿宋_GB2312"/>
          <w:b/>
          <w:bCs/>
          <w:sz w:val="32"/>
          <w:highlight w:val="none"/>
          <w:lang w:val="en-US" w:eastAsia="zh-CN"/>
        </w:rPr>
        <w:t>健全土壤环境联合管理协调机制。</w:t>
      </w:r>
      <w:r>
        <w:rPr>
          <w:rFonts w:hint="default" w:eastAsia="仿宋_GB2312"/>
          <w:sz w:val="32"/>
          <w:highlight w:val="none"/>
          <w:lang w:val="en-US" w:eastAsia="zh-CN"/>
        </w:rPr>
        <w:t>会同城乡规划、国土资源等部门，建立和完善污染地块信息沟通机制，对污染地块的开发利用实行联动监管，在本行政区域内组织应用污染地块信息系统。疑似污染地块和污染地块的土地使用权人应当按照</w:t>
      </w:r>
      <w:r>
        <w:rPr>
          <w:rFonts w:hint="eastAsia" w:eastAsia="仿宋_GB2312"/>
          <w:sz w:val="32"/>
          <w:highlight w:val="none"/>
          <w:lang w:val="en-US" w:eastAsia="zh-CN"/>
        </w:rPr>
        <w:t>生态环境</w:t>
      </w:r>
      <w:r>
        <w:rPr>
          <w:rFonts w:hint="default" w:eastAsia="仿宋_GB2312"/>
          <w:sz w:val="32"/>
          <w:highlight w:val="none"/>
          <w:lang w:val="en-US" w:eastAsia="zh-CN"/>
        </w:rPr>
        <w:t>部的规定，通过污染地块信息系统，在线填报并提交疑似污染地块和污染地块相关活动信息</w:t>
      </w:r>
      <w:r>
        <w:rPr>
          <w:rFonts w:eastAsia="仿宋_GB2312"/>
          <w:sz w:val="32"/>
          <w:highlight w:val="none"/>
        </w:rPr>
        <w:t>。</w:t>
      </w:r>
    </w:p>
    <w:p w14:paraId="78B439F2">
      <w:pPr>
        <w:keepNext w:val="0"/>
        <w:keepLines w:val="0"/>
        <w:pageBreakBefore w:val="0"/>
        <w:widowControl w:val="0"/>
        <w:kinsoku/>
        <w:wordWrap/>
        <w:overflowPunct/>
        <w:topLinePunct w:val="0"/>
        <w:autoSpaceDE/>
        <w:autoSpaceDN/>
        <w:bidi w:val="0"/>
        <w:spacing w:line="560" w:lineRule="exact"/>
        <w:ind w:left="0" w:leftChars="0" w:right="0" w:rightChars="0" w:firstLine="652" w:firstLineChars="200"/>
        <w:textAlignment w:val="auto"/>
        <w:rPr>
          <w:rFonts w:eastAsia="仿宋_GB2312" w:cs="Times New Roman"/>
          <w:highlight w:val="none"/>
        </w:rPr>
      </w:pPr>
      <w:r>
        <w:rPr>
          <w:rFonts w:eastAsia="仿宋_GB2312" w:cs="Times New Roman"/>
          <w:highlight w:val="none"/>
        </w:rPr>
        <w:t>2.</w:t>
      </w:r>
      <w:r>
        <w:rPr>
          <w:rFonts w:hint="default" w:eastAsia="仿宋_GB2312" w:cs="Times New Roman"/>
          <w:highlight w:val="none"/>
        </w:rPr>
        <w:t>推进</w:t>
      </w:r>
      <w:r>
        <w:rPr>
          <w:rFonts w:hint="eastAsia" w:eastAsia="仿宋_GB2312" w:cs="Times New Roman"/>
          <w:highlight w:val="none"/>
          <w:lang w:eastAsia="zh-CN"/>
        </w:rPr>
        <w:t>实施</w:t>
      </w:r>
      <w:r>
        <w:rPr>
          <w:rFonts w:hint="default" w:eastAsia="仿宋_GB2312" w:cs="Times New Roman"/>
          <w:highlight w:val="none"/>
        </w:rPr>
        <w:t>农用地分类管理</w:t>
      </w:r>
    </w:p>
    <w:p w14:paraId="160A874A">
      <w:pPr>
        <w:pStyle w:val="25"/>
        <w:keepNext w:val="0"/>
        <w:keepLines w:val="0"/>
        <w:pageBreakBefore w:val="0"/>
        <w:widowControl w:val="0"/>
        <w:kinsoku/>
        <w:wordWrap/>
        <w:overflowPunct/>
        <w:topLinePunct w:val="0"/>
        <w:autoSpaceDE/>
        <w:autoSpaceDN/>
        <w:bidi w:val="0"/>
        <w:spacing w:after="0" w:line="560" w:lineRule="exact"/>
        <w:ind w:left="0" w:leftChars="0" w:right="0" w:rightChars="0" w:firstLine="652" w:firstLineChars="200"/>
        <w:textAlignment w:val="auto"/>
        <w:rPr>
          <w:rFonts w:hint="default" w:eastAsia="仿宋_GB2312"/>
          <w:sz w:val="32"/>
          <w:highlight w:val="none"/>
        </w:rPr>
      </w:pPr>
      <w:r>
        <w:rPr>
          <w:rFonts w:hint="default" w:eastAsia="仿宋_GB2312"/>
          <w:b/>
          <w:bCs/>
          <w:sz w:val="32"/>
          <w:highlight w:val="none"/>
        </w:rPr>
        <w:t>持续推进农用地分类。</w:t>
      </w:r>
      <w:r>
        <w:rPr>
          <w:rFonts w:hint="default" w:eastAsia="仿宋_GB2312"/>
          <w:sz w:val="32"/>
          <w:highlight w:val="none"/>
        </w:rPr>
        <w:t>根据《农用地土壤环境质量类别划分技术指南》，持续实施农用地分类管理，加快完成农用地土壤环境质量类别划定工作，按污染程度将农用地划为三个类别，未污染和轻微污染的划为优先保护类，轻度和中度污染的划为安全利用类，重度污染的划为严格管控类，逐步建立分类清单，分别采取相应管理措施，切实加大保护力度，着力推进安全利用，全面落实严格管控，保障农产品质量安全。根据土地利用变更和土壤环境质量变化情况，定期对各类别耕地面积、分布等信息进行更新。</w:t>
      </w:r>
    </w:p>
    <w:p w14:paraId="5F9ACB6E">
      <w:pPr>
        <w:pStyle w:val="25"/>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52" w:firstLineChars="200"/>
        <w:textAlignment w:val="auto"/>
        <w:rPr>
          <w:rFonts w:hint="default" w:eastAsia="仿宋_GB2312"/>
          <w:sz w:val="32"/>
          <w:highlight w:val="none"/>
          <w:lang w:val="zh-CN" w:eastAsia="zh-CN"/>
        </w:rPr>
      </w:pPr>
      <w:r>
        <w:rPr>
          <w:rFonts w:hint="default" w:eastAsia="仿宋_GB2312"/>
          <w:b/>
          <w:bCs/>
          <w:sz w:val="32"/>
          <w:highlight w:val="none"/>
          <w:lang w:val="zh-CN" w:eastAsia="zh-CN"/>
        </w:rPr>
        <w:t>严格保护优先保护类耕地。</w:t>
      </w:r>
      <w:r>
        <w:rPr>
          <w:rFonts w:hint="default" w:eastAsia="仿宋_GB2312"/>
          <w:sz w:val="32"/>
          <w:highlight w:val="none"/>
          <w:lang w:val="en-US" w:eastAsia="zh-CN"/>
        </w:rPr>
        <w:t>将符合条件的优先保护类耕地划为永久基本农田，实行严格保护，确保其面积不减少、土壤环境质量不下降，除法律规定的重点建设项目选址确实无法避让外，其他任何建设不得占用；制定土壤环境保护方案，推行秸秆还田、增施有机肥、少耕免耕、粮豆轮作、农膜减量与回收利用等措施，避免土壤环境质量下降。全面推进建设占用耕地耕作层土壤剥离再利用，全区非农建设占用耕地必须实现耕作层“应剥尽剥、能覆尽覆”，土壤污染严重的，不纳入表土剥离范围。</w:t>
      </w:r>
    </w:p>
    <w:p w14:paraId="66B01FC8">
      <w:pPr>
        <w:pStyle w:val="25"/>
        <w:keepNext w:val="0"/>
        <w:keepLines w:val="0"/>
        <w:pageBreakBefore w:val="0"/>
        <w:widowControl w:val="0"/>
        <w:kinsoku/>
        <w:wordWrap/>
        <w:overflowPunct/>
        <w:topLinePunct w:val="0"/>
        <w:autoSpaceDE/>
        <w:autoSpaceDN/>
        <w:bidi w:val="0"/>
        <w:spacing w:after="0" w:line="560" w:lineRule="exact"/>
        <w:ind w:left="0" w:leftChars="0" w:right="0" w:rightChars="0" w:firstLine="652" w:firstLineChars="200"/>
        <w:textAlignment w:val="auto"/>
        <w:rPr>
          <w:rFonts w:hint="default" w:eastAsia="仿宋_GB2312"/>
          <w:sz w:val="32"/>
          <w:highlight w:val="none"/>
          <w:lang w:val="zh-CN" w:eastAsia="zh-CN"/>
        </w:rPr>
      </w:pPr>
      <w:r>
        <w:rPr>
          <w:rFonts w:hint="default" w:eastAsia="仿宋_GB2312"/>
          <w:b/>
          <w:bCs/>
          <w:sz w:val="32"/>
          <w:highlight w:val="none"/>
          <w:lang w:val="zh-CN" w:eastAsia="zh-CN"/>
        </w:rPr>
        <w:t>推进安全利用类耕地的管理。</w:t>
      </w:r>
      <w:r>
        <w:rPr>
          <w:rFonts w:hint="default" w:eastAsia="仿宋_GB2312"/>
          <w:sz w:val="32"/>
          <w:highlight w:val="none"/>
          <w:lang w:val="zh-CN" w:eastAsia="zh-CN"/>
        </w:rPr>
        <w:t xml:space="preserve">采取深耕深松、保护性耕作、秸秆还田、种植绿肥等土壤改良方式，增加土壤有机质，提升土壤肥力。根据国家有关受污染耕地安全利用技术指南，以及土壤污染状况和农产品超标情况，结合我区主要作物品种和种植习惯，制定实施受污染耕地安全利用方案，采取农艺调控、替代种植等措施，降低农产品超标风险。 </w:t>
      </w:r>
    </w:p>
    <w:p w14:paraId="2BE803E1">
      <w:pPr>
        <w:pStyle w:val="25"/>
        <w:keepNext w:val="0"/>
        <w:keepLines w:val="0"/>
        <w:pageBreakBefore w:val="0"/>
        <w:widowControl w:val="0"/>
        <w:kinsoku/>
        <w:wordWrap/>
        <w:overflowPunct/>
        <w:topLinePunct w:val="0"/>
        <w:autoSpaceDE/>
        <w:autoSpaceDN/>
        <w:bidi w:val="0"/>
        <w:spacing w:after="0" w:line="560" w:lineRule="exact"/>
        <w:ind w:left="0" w:leftChars="0" w:right="0" w:rightChars="0" w:firstLine="652" w:firstLineChars="200"/>
        <w:textAlignment w:val="auto"/>
        <w:rPr>
          <w:rFonts w:eastAsia="方正仿宋_GBK"/>
          <w:sz w:val="32"/>
          <w:highlight w:val="none"/>
        </w:rPr>
      </w:pPr>
      <w:r>
        <w:rPr>
          <w:rFonts w:hint="default" w:eastAsia="仿宋_GB2312"/>
          <w:b/>
          <w:bCs/>
          <w:sz w:val="32"/>
          <w:highlight w:val="none"/>
          <w:lang w:val="zh-CN" w:eastAsia="zh-CN"/>
        </w:rPr>
        <w:t>加强对严格管控类耕地的用途管理。</w:t>
      </w:r>
      <w:r>
        <w:rPr>
          <w:rFonts w:hint="default" w:eastAsia="仿宋_GB2312"/>
          <w:sz w:val="32"/>
          <w:highlight w:val="none"/>
          <w:lang w:val="zh-CN" w:eastAsia="zh-CN"/>
        </w:rPr>
        <w:t>加强对严格管控类耕地的用途管理，推进农艺农机相结合，推行粮经轮作、粮饲轮作等耕地轮作制度。农业和林业部门制定实施重度污染耕地种植结构调整或退耕还林还草计划。并落实有关措施。将严格管控类耕地纳入新一轮退耕还林还草实施范围</w:t>
      </w:r>
      <w:r>
        <w:rPr>
          <w:rFonts w:eastAsia="仿宋_GB2312"/>
          <w:sz w:val="32"/>
          <w:highlight w:val="none"/>
        </w:rPr>
        <w:t>。</w:t>
      </w:r>
    </w:p>
    <w:p w14:paraId="20252DF9">
      <w:pPr>
        <w:keepNext w:val="0"/>
        <w:keepLines w:val="0"/>
        <w:pageBreakBefore w:val="0"/>
        <w:widowControl w:val="0"/>
        <w:kinsoku/>
        <w:wordWrap/>
        <w:overflowPunct/>
        <w:topLinePunct w:val="0"/>
        <w:autoSpaceDE/>
        <w:autoSpaceDN/>
        <w:bidi w:val="0"/>
        <w:spacing w:line="560" w:lineRule="exact"/>
        <w:ind w:left="0" w:leftChars="0" w:right="0" w:rightChars="0" w:firstLine="652" w:firstLineChars="200"/>
        <w:textAlignment w:val="auto"/>
        <w:rPr>
          <w:rFonts w:eastAsia="仿宋_GB2312" w:cs="Times New Roman"/>
          <w:highlight w:val="none"/>
        </w:rPr>
      </w:pPr>
      <w:r>
        <w:rPr>
          <w:rFonts w:eastAsia="仿宋_GB2312" w:cs="Times New Roman"/>
          <w:highlight w:val="none"/>
        </w:rPr>
        <w:t>3.</w:t>
      </w:r>
      <w:r>
        <w:rPr>
          <w:rFonts w:hint="eastAsia" w:eastAsia="仿宋_GB2312" w:cs="Times New Roman"/>
          <w:highlight w:val="none"/>
          <w:lang w:eastAsia="zh-CN"/>
        </w:rPr>
        <w:t>加强土壤污染源管控</w:t>
      </w:r>
    </w:p>
    <w:p w14:paraId="0AE5FFCB">
      <w:pPr>
        <w:pStyle w:val="25"/>
        <w:keepNext w:val="0"/>
        <w:keepLines w:val="0"/>
        <w:pageBreakBefore w:val="0"/>
        <w:widowControl w:val="0"/>
        <w:kinsoku/>
        <w:wordWrap/>
        <w:overflowPunct/>
        <w:topLinePunct w:val="0"/>
        <w:autoSpaceDE/>
        <w:autoSpaceDN/>
        <w:bidi w:val="0"/>
        <w:spacing w:after="0" w:line="560" w:lineRule="exact"/>
        <w:ind w:left="0" w:leftChars="0" w:right="0" w:rightChars="0" w:firstLine="652" w:firstLineChars="200"/>
        <w:textAlignment w:val="auto"/>
        <w:rPr>
          <w:rFonts w:hint="eastAsia" w:ascii="仿宋_GB2312" w:hAnsi="仿宋_GB2312" w:eastAsia="仿宋_GB2312" w:cs="仿宋_GB2312"/>
          <w:sz w:val="32"/>
          <w:highlight w:val="none"/>
          <w:lang w:val="en-US" w:eastAsia="zh-CN"/>
        </w:rPr>
      </w:pPr>
      <w:r>
        <w:rPr>
          <w:rFonts w:hint="eastAsia" w:ascii="仿宋_GB2312" w:hAnsi="仿宋_GB2312" w:eastAsia="仿宋_GB2312" w:cs="仿宋_GB2312"/>
          <w:b/>
          <w:bCs/>
          <w:sz w:val="32"/>
          <w:highlight w:val="none"/>
          <w:lang w:val="en-US" w:eastAsia="zh-CN"/>
        </w:rPr>
        <w:t>严格管控工业企业土壤污染源。</w:t>
      </w:r>
      <w:r>
        <w:rPr>
          <w:rFonts w:hint="eastAsia" w:ascii="仿宋_GB2312" w:hAnsi="仿宋_GB2312" w:eastAsia="仿宋_GB2312" w:cs="仿宋_GB2312"/>
          <w:sz w:val="32"/>
          <w:highlight w:val="none"/>
          <w:lang w:val="en-US" w:eastAsia="zh-CN"/>
        </w:rPr>
        <w:t>严格控制在优先保护类耕地集中区域新建有色金属冶炼、化工、焦化、电镀等行业企业，现有相关行业企业要采用新技术、新工艺，加快提标升级改造步伐；着力推进安全利用。根据工矿企业分布和污染排放情况，确定土壤环境重点监管企业名单，实行动态更新，并向社会公布；严防矿产资源开发污染土壤，加强尾矿库管理，全面整治历史遗留尾矿库，完善覆膜、压土、排洪、堤坝加固等隐患治理和闭库措施；加强涉重金属行业污染防控，继续淘汰涉重金属重点行业落后产能，完善重金属相关行业准入条件，禁止新建落后产能或产能严重过剩行业的建设项目；加强工业废物处理处置，全面整治煤矸石、工业副产石膏、粉煤灰、赤泥、冶炼渣、电石渣、铬渣、砷渣以及脱硫、脱硝、除尘产生固体废物的堆存场所，完善防扬散、防流失、防渗漏等设施，制定整治方案并有序实施，加强工业固体废物综合利用，对电子废物、废轮胎、废塑料等再生利用活动进行清理整顿，引导有关企业采用先进适用加工工艺、集聚发展，集中建设和运营污染治理设施，防止污染土壤和地下水。</w:t>
      </w:r>
    </w:p>
    <w:p w14:paraId="2F43BEA8">
      <w:pPr>
        <w:pStyle w:val="25"/>
        <w:keepNext w:val="0"/>
        <w:keepLines w:val="0"/>
        <w:pageBreakBefore w:val="0"/>
        <w:widowControl w:val="0"/>
        <w:kinsoku/>
        <w:wordWrap/>
        <w:overflowPunct/>
        <w:topLinePunct w:val="0"/>
        <w:autoSpaceDE/>
        <w:autoSpaceDN/>
        <w:bidi w:val="0"/>
        <w:spacing w:after="0" w:line="560" w:lineRule="exact"/>
        <w:ind w:left="0" w:leftChars="0" w:right="0" w:rightChars="0" w:firstLine="652" w:firstLineChars="200"/>
        <w:textAlignment w:val="auto"/>
        <w:rPr>
          <w:rFonts w:hint="eastAsia" w:ascii="仿宋_GB2312" w:hAnsi="仿宋_GB2312" w:eastAsia="仿宋_GB2312" w:cs="仿宋_GB2312"/>
          <w:sz w:val="32"/>
          <w:highlight w:val="none"/>
          <w:lang w:val="zh-CN" w:eastAsia="zh-CN"/>
        </w:rPr>
      </w:pPr>
      <w:r>
        <w:rPr>
          <w:rFonts w:hint="eastAsia" w:ascii="仿宋_GB2312" w:hAnsi="仿宋_GB2312" w:eastAsia="仿宋_GB2312" w:cs="仿宋_GB2312"/>
          <w:b/>
          <w:bCs/>
          <w:sz w:val="32"/>
          <w:highlight w:val="none"/>
          <w:lang w:eastAsia="zh-CN"/>
        </w:rPr>
        <w:t>加强农业污染源管控。</w:t>
      </w:r>
      <w:r>
        <w:rPr>
          <w:rFonts w:hint="eastAsia" w:ascii="仿宋_GB2312" w:hAnsi="仿宋_GB2312" w:eastAsia="仿宋_GB2312" w:cs="仿宋_GB2312"/>
          <w:sz w:val="32"/>
          <w:highlight w:val="none"/>
          <w:lang w:val="en-US" w:eastAsia="zh-CN"/>
        </w:rPr>
        <w:t>合理使用化肥农药，鼓励农民增施有机肥，减少化肥使用量，科学施用农药，推行农作物病虫害专业化统防统治和绿色防控，推广高效低毒低残留农药和现代植保机械，</w:t>
      </w:r>
      <w:r>
        <w:rPr>
          <w:rFonts w:hint="eastAsia" w:ascii="仿宋_GB2312" w:hAnsi="仿宋_GB2312" w:eastAsia="仿宋_GB2312" w:cs="仿宋_GB2312"/>
          <w:sz w:val="32"/>
          <w:highlight w:val="none"/>
          <w:lang w:val="zh-CN" w:eastAsia="zh-CN"/>
        </w:rPr>
        <w:t>加强农药包装废弃物回收，并按规范进行无害化处置，在柳江区进行废弃农药瓶（袋）等农业废弃物回收处理试点基础上，逐步推进“有害垃圾政府补企业收”处理模式，提高农膜回收利用率。</w:t>
      </w:r>
      <w:r>
        <w:rPr>
          <w:rFonts w:hint="eastAsia" w:ascii="仿宋_GB2312" w:hAnsi="仿宋_GB2312" w:eastAsia="仿宋_GB2312" w:cs="仿宋_GB2312"/>
          <w:sz w:val="32"/>
          <w:highlight w:val="none"/>
          <w:lang w:val="en-US" w:eastAsia="zh-CN"/>
        </w:rPr>
        <w:t>深入开展秸秆资源化利用，强化畜禽养殖污染防治，加强畜禽粪便综合利用，</w:t>
      </w:r>
      <w:r>
        <w:rPr>
          <w:rFonts w:hint="eastAsia" w:ascii="仿宋_GB2312" w:hAnsi="仿宋_GB2312" w:eastAsia="仿宋_GB2312" w:cs="仿宋_GB2312"/>
          <w:sz w:val="32"/>
          <w:highlight w:val="none"/>
        </w:rPr>
        <w:t>推行“微生物+”生态养殖模式</w:t>
      </w:r>
      <w:r>
        <w:rPr>
          <w:rFonts w:hint="eastAsia" w:ascii="仿宋_GB2312" w:hAnsi="仿宋_GB2312" w:eastAsia="仿宋_GB2312" w:cs="仿宋_GB2312"/>
          <w:sz w:val="32"/>
          <w:highlight w:val="none"/>
          <w:lang w:val="en-US" w:eastAsia="zh-CN"/>
        </w:rPr>
        <w:t>。鼓励支持畜禽粪便处理利用设施建设；加强灌溉水水质管理，推行测土配方施肥。</w:t>
      </w:r>
      <w:r>
        <w:rPr>
          <w:rFonts w:hint="eastAsia" w:ascii="仿宋_GB2312" w:hAnsi="仿宋_GB2312" w:eastAsia="仿宋_GB2312" w:cs="仿宋_GB2312"/>
          <w:sz w:val="32"/>
          <w:highlight w:val="none"/>
          <w:lang w:val="zh-CN" w:eastAsia="zh-CN"/>
        </w:rPr>
        <w:t>严禁将城镇生活垃圾、污泥、工业废物直接用作肥料。</w:t>
      </w:r>
    </w:p>
    <w:p w14:paraId="1A472A7A">
      <w:pPr>
        <w:keepNext w:val="0"/>
        <w:keepLines w:val="0"/>
        <w:pageBreakBefore w:val="0"/>
        <w:widowControl w:val="0"/>
        <w:kinsoku/>
        <w:wordWrap/>
        <w:overflowPunct/>
        <w:topLinePunct w:val="0"/>
        <w:autoSpaceDE/>
        <w:autoSpaceDN/>
        <w:bidi w:val="0"/>
        <w:spacing w:line="560" w:lineRule="exact"/>
        <w:ind w:left="0" w:leftChars="0" w:right="0" w:rightChars="0" w:firstLine="652" w:firstLineChars="200"/>
        <w:textAlignment w:val="auto"/>
        <w:rPr>
          <w:rFonts w:eastAsia="仿宋_GB2312" w:cs="Times New Roman"/>
          <w:highlight w:val="none"/>
        </w:rPr>
      </w:pPr>
      <w:r>
        <w:rPr>
          <w:rFonts w:eastAsia="仿宋_GB2312" w:cs="Times New Roman"/>
          <w:highlight w:val="none"/>
        </w:rPr>
        <w:t>4.</w:t>
      </w:r>
      <w:r>
        <w:rPr>
          <w:rFonts w:hint="default" w:eastAsia="仿宋_GB2312" w:cs="Times New Roman"/>
          <w:highlight w:val="none"/>
          <w:lang w:val="zh-CN" w:eastAsia="zh-CN"/>
        </w:rPr>
        <w:t>严格落实建设用地土壤污染风险管控与修复名录制度</w:t>
      </w:r>
    </w:p>
    <w:p w14:paraId="5E82AE34">
      <w:pPr>
        <w:keepNext w:val="0"/>
        <w:keepLines w:val="0"/>
        <w:pageBreakBefore w:val="0"/>
        <w:widowControl w:val="0"/>
        <w:kinsoku/>
        <w:wordWrap/>
        <w:overflowPunct/>
        <w:topLinePunct w:val="0"/>
        <w:autoSpaceDE/>
        <w:autoSpaceDN/>
        <w:bidi w:val="0"/>
        <w:spacing w:line="560" w:lineRule="exact"/>
        <w:ind w:left="0" w:leftChars="0" w:right="0" w:rightChars="0" w:firstLine="652" w:firstLineChars="200"/>
        <w:textAlignment w:val="auto"/>
        <w:rPr>
          <w:rFonts w:hint="eastAsia" w:ascii="仿宋_GB2312" w:hAnsi="仿宋_GB2312" w:eastAsia="仿宋_GB2312" w:cs="仿宋_GB2312"/>
          <w:highlight w:val="none"/>
          <w:lang w:val="zh-CN" w:eastAsia="zh-CN"/>
        </w:rPr>
      </w:pPr>
      <w:r>
        <w:rPr>
          <w:rFonts w:hint="eastAsia" w:ascii="仿宋_GB2312" w:hAnsi="仿宋_GB2312" w:eastAsia="仿宋_GB2312" w:cs="仿宋_GB2312"/>
          <w:b/>
          <w:bCs/>
          <w:highlight w:val="none"/>
          <w:lang w:val="zh-CN" w:eastAsia="zh-CN"/>
        </w:rPr>
        <w:t>实施建设用地准入管理。</w:t>
      </w:r>
      <w:r>
        <w:rPr>
          <w:rFonts w:hint="eastAsia" w:ascii="仿宋_GB2312" w:hAnsi="仿宋_GB2312" w:eastAsia="仿宋_GB2312" w:cs="仿宋_GB2312"/>
          <w:highlight w:val="none"/>
          <w:lang w:val="zh-CN" w:eastAsia="zh-CN"/>
        </w:rPr>
        <w:t>防范人居环境风险，开展建设用地调查评估，分用途明确管理措施，落实监管责任，严格用地准入。将建设用地土壤环境管理要求纳入城市规划和供地管理，土地开发利用必须符合土壤环境质量要求。区自然资源局、区住房和城乡建设局等部门在编制土地利用总体规划、城市总体规划、控制性详细规划等相关规划时，应充分考虑污染地块的环境风险，合理确定土地用途。在启动新一轮土地利用总体规划修编时，应充分考虑污染地块环境风险，合理安排地块用途。将土壤污染防治工作内容纳入《柳州市柳江区控制性详细规划》修编中，结合污染地块的环境风险评估，合理规划总体用地布局。</w:t>
      </w:r>
    </w:p>
    <w:p w14:paraId="7FD4C37C">
      <w:pPr>
        <w:keepNext w:val="0"/>
        <w:keepLines w:val="0"/>
        <w:pageBreakBefore w:val="0"/>
        <w:widowControl w:val="0"/>
        <w:kinsoku/>
        <w:wordWrap/>
        <w:overflowPunct/>
        <w:topLinePunct w:val="0"/>
        <w:autoSpaceDE/>
        <w:autoSpaceDN/>
        <w:bidi w:val="0"/>
        <w:spacing w:line="560" w:lineRule="exact"/>
        <w:ind w:left="0" w:leftChars="0" w:right="0" w:rightChars="0" w:firstLine="652" w:firstLineChars="200"/>
        <w:textAlignment w:val="auto"/>
        <w:rPr>
          <w:rFonts w:hint="eastAsia" w:ascii="仿宋_GB2312" w:hAnsi="仿宋_GB2312" w:eastAsia="仿宋_GB2312" w:cs="仿宋_GB2312"/>
          <w:highlight w:val="none"/>
          <w:lang w:val="zh-CN" w:eastAsia="zh-CN"/>
        </w:rPr>
      </w:pPr>
      <w:r>
        <w:rPr>
          <w:rFonts w:hint="eastAsia" w:ascii="仿宋_GB2312" w:hAnsi="仿宋_GB2312" w:eastAsia="仿宋_GB2312" w:cs="仿宋_GB2312"/>
          <w:b/>
          <w:bCs/>
          <w:highlight w:val="none"/>
          <w:lang w:val="zh-CN" w:eastAsia="zh-CN"/>
        </w:rPr>
        <w:t>开展污染治理与修复。</w:t>
      </w:r>
      <w:r>
        <w:rPr>
          <w:rFonts w:hint="eastAsia" w:ascii="仿宋_GB2312" w:hAnsi="仿宋_GB2312" w:eastAsia="仿宋_GB2312" w:cs="仿宋_GB2312"/>
          <w:highlight w:val="none"/>
          <w:lang w:val="zh-CN" w:eastAsia="zh-CN"/>
        </w:rPr>
        <w:t>改善区域土壤环境质量，明确治理与修复主体，制定治理与修复规划，有序开展治理与修复，强化治理与修复工程监管，工程完工后，责任单位要委托第三方机构对治理与修复效果进行评估，结果向社会公开。实行土壤污染治理与修复终身责任制。</w:t>
      </w:r>
    </w:p>
    <w:p w14:paraId="415FF8ED">
      <w:pPr>
        <w:pageBreakBefore w:val="0"/>
        <w:kinsoku/>
        <w:wordWrap/>
        <w:overflowPunct/>
        <w:topLinePunct w:val="0"/>
        <w:autoSpaceDE/>
        <w:autoSpaceDN/>
        <w:bidi w:val="0"/>
        <w:spacing w:line="560" w:lineRule="exact"/>
        <w:ind w:left="0" w:leftChars="0" w:right="0" w:rightChars="0" w:firstLine="640"/>
        <w:rPr>
          <w:rFonts w:ascii="仿宋_GB2312" w:hAnsi="仿宋_GB2312" w:eastAsia="仿宋_GB2312" w:cs="仿宋_GB2312"/>
          <w:highlight w:val="none"/>
        </w:rPr>
      </w:pPr>
      <w:r>
        <w:rPr>
          <w:rFonts w:hint="eastAsia" w:ascii="仿宋_GB2312" w:hAnsi="仿宋_GB2312" w:eastAsia="仿宋_GB2312" w:cs="仿宋_GB2312"/>
          <w:b/>
          <w:bCs/>
          <w:highlight w:val="none"/>
          <w:lang w:val="zh-CN" w:eastAsia="zh-CN"/>
        </w:rPr>
        <w:t>强化未污染土壤保护。</w:t>
      </w:r>
      <w:r>
        <w:rPr>
          <w:rFonts w:hint="eastAsia" w:ascii="仿宋_GB2312" w:hAnsi="仿宋_GB2312" w:eastAsia="仿宋_GB2312" w:cs="仿宋_GB2312"/>
          <w:highlight w:val="none"/>
          <w:lang w:val="zh-CN" w:eastAsia="zh-CN"/>
        </w:rPr>
        <w:t>严控新增土壤污染，强化空间布局管控。加强规划区划和建设项目布局论证，根据土壤等环境承载能力，合理确定区域功能定位、空间布局。鼓励工业企业集聚发展，提高土地节约集约利用水平，减少土壤污染。严格执行相关行业企业布局选址要求，禁止在居民区、学校、医疗和养老机构等周边新建有色金属冶炼、焦化等行业企业；结合推进新型城镇化、产业结构调整和化解过剩产能等，有序搬迁或依法关闭对土壤造成严重污染的现有企业。结合区域功能定位和土壤污染防治需要，科学布局生活垃圾处理、危险废物处置、废旧资源再生利用等设施和场所</w:t>
      </w:r>
      <w:r>
        <w:rPr>
          <w:rFonts w:hint="eastAsia" w:ascii="仿宋_GB2312" w:hAnsi="仿宋_GB2312" w:eastAsia="仿宋_GB2312" w:cs="仿宋_GB2312"/>
          <w:highlight w:val="none"/>
        </w:rPr>
        <w:t>。</w:t>
      </w:r>
    </w:p>
    <w:p w14:paraId="1EA67C88">
      <w:pPr>
        <w:pStyle w:val="9"/>
        <w:pageBreakBefore w:val="0"/>
        <w:kinsoku/>
        <w:wordWrap/>
        <w:overflowPunct/>
        <w:topLinePunct w:val="0"/>
        <w:autoSpaceDE/>
        <w:autoSpaceDN/>
        <w:bidi w:val="0"/>
        <w:spacing w:line="560" w:lineRule="exact"/>
        <w:ind w:left="0" w:leftChars="0" w:right="0" w:rightChars="0" w:firstLine="640"/>
        <w:rPr>
          <w:rFonts w:ascii="楷体_GB2312" w:hAnsi="楷体_GB2312" w:eastAsia="楷体_GB2312" w:cs="楷体_GB2312"/>
          <w:b/>
          <w:bCs w:val="0"/>
          <w:highlight w:val="none"/>
        </w:rPr>
      </w:pPr>
      <w:r>
        <w:rPr>
          <w:rFonts w:hint="eastAsia" w:ascii="楷体_GB2312" w:hAnsi="楷体_GB2312" w:eastAsia="楷体_GB2312" w:cs="楷体_GB2312"/>
          <w:b/>
          <w:bCs w:val="0"/>
          <w:highlight w:val="none"/>
        </w:rPr>
        <w:t>（五）</w:t>
      </w:r>
      <w:r>
        <w:rPr>
          <w:rFonts w:hint="eastAsia" w:ascii="楷体_GB2312" w:hAnsi="楷体_GB2312" w:eastAsia="楷体_GB2312" w:cs="楷体_GB2312"/>
          <w:b/>
          <w:bCs w:val="0"/>
          <w:highlight w:val="none"/>
          <w:lang w:eastAsia="zh-CN"/>
        </w:rPr>
        <w:t>加强噪声污染防治，改善人居环境</w:t>
      </w:r>
    </w:p>
    <w:p w14:paraId="64D72EDC">
      <w:pPr>
        <w:pageBreakBefore w:val="0"/>
        <w:kinsoku/>
        <w:wordWrap/>
        <w:overflowPunct/>
        <w:topLinePunct w:val="0"/>
        <w:autoSpaceDE/>
        <w:autoSpaceDN/>
        <w:bidi w:val="0"/>
        <w:spacing w:line="560" w:lineRule="exact"/>
        <w:ind w:left="0" w:leftChars="0" w:right="0" w:rightChars="0" w:firstLine="640"/>
        <w:rPr>
          <w:rFonts w:eastAsia="仿宋_GB2312" w:cs="Times New Roman"/>
          <w:highlight w:val="none"/>
        </w:rPr>
      </w:pPr>
      <w:r>
        <w:rPr>
          <w:rFonts w:eastAsia="仿宋_GB2312" w:cs="Times New Roman"/>
          <w:highlight w:val="none"/>
        </w:rPr>
        <w:t>1.</w:t>
      </w:r>
      <w:r>
        <w:rPr>
          <w:rFonts w:hint="default" w:eastAsia="仿宋_GB2312" w:cs="Times New Roman"/>
          <w:highlight w:val="none"/>
          <w:lang w:val="en-US" w:eastAsia="zh-CN"/>
        </w:rPr>
        <w:t>加强规划用地功能控制</w:t>
      </w:r>
      <w:r>
        <w:rPr>
          <w:rFonts w:hint="eastAsia" w:eastAsia="仿宋_GB2312" w:cs="Times New Roman"/>
          <w:highlight w:val="none"/>
          <w:lang w:val="en-US" w:eastAsia="zh-CN"/>
        </w:rPr>
        <w:t>，改善交通路网布局</w:t>
      </w:r>
    </w:p>
    <w:p w14:paraId="4247C618">
      <w:pPr>
        <w:pageBreakBefore w:val="0"/>
        <w:kinsoku/>
        <w:wordWrap/>
        <w:overflowPunct/>
        <w:topLinePunct w:val="0"/>
        <w:autoSpaceDE/>
        <w:autoSpaceDN/>
        <w:bidi w:val="0"/>
        <w:spacing w:line="560" w:lineRule="exact"/>
        <w:ind w:left="0" w:leftChars="0" w:right="0" w:rightChars="0" w:firstLine="640"/>
        <w:rPr>
          <w:rFonts w:hint="default" w:eastAsia="仿宋_GB2312" w:cs="Times New Roman"/>
          <w:highlight w:val="none"/>
          <w:lang w:val="en-US" w:eastAsia="zh-CN"/>
        </w:rPr>
      </w:pPr>
      <w:r>
        <w:rPr>
          <w:rFonts w:hint="default" w:eastAsia="仿宋_GB2312" w:cs="Times New Roman"/>
          <w:b/>
          <w:bCs/>
          <w:highlight w:val="none"/>
          <w:lang w:val="en-US" w:eastAsia="zh-CN"/>
        </w:rPr>
        <w:t>强化城市规划用地功能控制</w:t>
      </w:r>
      <w:r>
        <w:rPr>
          <w:rFonts w:hint="eastAsia" w:eastAsia="仿宋_GB2312" w:cs="Times New Roman"/>
          <w:b/>
          <w:bCs/>
          <w:highlight w:val="none"/>
          <w:lang w:val="en-US" w:eastAsia="zh-CN"/>
        </w:rPr>
        <w:t>。</w:t>
      </w:r>
      <w:r>
        <w:rPr>
          <w:rFonts w:hint="default" w:eastAsia="仿宋_GB2312" w:cs="Times New Roman"/>
          <w:highlight w:val="none"/>
          <w:lang w:val="en-US" w:eastAsia="zh-CN"/>
        </w:rPr>
        <w:t>使</w:t>
      </w:r>
      <w:r>
        <w:rPr>
          <w:rFonts w:hint="eastAsia" w:eastAsia="仿宋_GB2312" w:cs="Times New Roman"/>
          <w:highlight w:val="none"/>
          <w:lang w:val="en-US" w:eastAsia="zh-CN"/>
        </w:rPr>
        <w:t>柳江区</w:t>
      </w:r>
      <w:r>
        <w:rPr>
          <w:rFonts w:hint="default" w:eastAsia="仿宋_GB2312" w:cs="Times New Roman"/>
          <w:highlight w:val="none"/>
          <w:lang w:val="en-US" w:eastAsia="zh-CN"/>
        </w:rPr>
        <w:t>城区各用地功能合理分割，明晰居民区、商业区和工业区，逐步改变工业企业、餐饮娱乐服务业与居民住宅交错混杂的局面，从而有效地控制城区生活、交通、工业等噪声污染。居民区、交通干线、工业区之间应设置一定距离的防护隔离带，并逐步从功能定位上消除一楼商铺、二楼以上居住的格局。</w:t>
      </w:r>
    </w:p>
    <w:p w14:paraId="09BFBEB8">
      <w:pPr>
        <w:pageBreakBefore w:val="0"/>
        <w:kinsoku/>
        <w:wordWrap/>
        <w:overflowPunct/>
        <w:topLinePunct w:val="0"/>
        <w:autoSpaceDE/>
        <w:autoSpaceDN/>
        <w:bidi w:val="0"/>
        <w:spacing w:line="560" w:lineRule="exact"/>
        <w:ind w:left="0" w:leftChars="0" w:right="0" w:rightChars="0" w:firstLine="640"/>
        <w:rPr>
          <w:rFonts w:cs="Times New Roman"/>
          <w:highlight w:val="none"/>
        </w:rPr>
      </w:pPr>
      <w:r>
        <w:rPr>
          <w:rFonts w:hint="default" w:eastAsia="仿宋_GB2312" w:cs="Times New Roman"/>
          <w:b/>
          <w:bCs/>
          <w:highlight w:val="none"/>
          <w:lang w:val="en-US" w:eastAsia="zh-CN"/>
        </w:rPr>
        <w:t>完善城区交通路网的规划建设</w:t>
      </w:r>
      <w:r>
        <w:rPr>
          <w:rFonts w:hint="eastAsia" w:eastAsia="仿宋_GB2312" w:cs="Times New Roman"/>
          <w:b/>
          <w:bCs/>
          <w:highlight w:val="none"/>
          <w:lang w:val="en-US" w:eastAsia="zh-CN"/>
        </w:rPr>
        <w:t>。</w:t>
      </w:r>
      <w:r>
        <w:rPr>
          <w:rFonts w:hint="default" w:eastAsia="仿宋_GB2312" w:cs="Times New Roman"/>
          <w:highlight w:val="none"/>
          <w:lang w:val="en-US" w:eastAsia="zh-CN"/>
        </w:rPr>
        <w:t>合理组织城区对外交通通道，将远程交通和过境车流控制在城区外围，减轻城区交通压力、降低交通噪声污染。合理确定路网结构，优先发展公共客运交通系统，鼓励群众公交出行，减低对摩托车、私家车等的依赖，降低机动车辆的使用对居民生活环境的影响。开展道路拓宽工程，新建道路设计尽可能有助于车辆通行顺畅，减少交通阻塞，避免因车辆怠速、停车、重新启动而产生的高噪污染。新规划的交通干线两侧应避免建设对噪声敏感的建筑群，城区生活居住群内的道路应发挥其疏通人流的主要功能，尽可能降低车辆的通行频率。老城区内分散的居住建筑应逐步改造成组团式成片分布，通过公共建筑等外围设施或加装围墙、绿化带等建筑隔离噪声，并引导机动车辆在居住组团外部通过。控制过境车辆，规划城镇过境公路；合理规划城镇交通网络；合理规划停车场</w:t>
      </w:r>
      <w:r>
        <w:rPr>
          <w:rFonts w:eastAsia="仿宋_GB2312" w:cs="Times New Roman"/>
          <w:highlight w:val="none"/>
        </w:rPr>
        <w:t>。</w:t>
      </w:r>
    </w:p>
    <w:p w14:paraId="658F21CC">
      <w:pPr>
        <w:pageBreakBefore w:val="0"/>
        <w:kinsoku/>
        <w:wordWrap/>
        <w:overflowPunct/>
        <w:topLinePunct w:val="0"/>
        <w:autoSpaceDE/>
        <w:autoSpaceDN/>
        <w:bidi w:val="0"/>
        <w:spacing w:line="560" w:lineRule="exact"/>
        <w:ind w:left="0" w:leftChars="0" w:right="0" w:rightChars="0" w:firstLine="640"/>
        <w:rPr>
          <w:rFonts w:eastAsia="仿宋_GB2312" w:cs="Times New Roman"/>
          <w:highlight w:val="none"/>
        </w:rPr>
      </w:pPr>
      <w:r>
        <w:rPr>
          <w:rFonts w:eastAsia="仿宋_GB2312" w:cs="Times New Roman"/>
          <w:highlight w:val="none"/>
        </w:rPr>
        <w:t>2.</w:t>
      </w:r>
      <w:r>
        <w:rPr>
          <w:rFonts w:hint="default" w:eastAsia="仿宋_GB2312" w:cs="Times New Roman"/>
          <w:highlight w:val="none"/>
          <w:lang w:val="en-US" w:eastAsia="zh-CN"/>
        </w:rPr>
        <w:t>加强噪声污染防治管理</w:t>
      </w:r>
    </w:p>
    <w:p w14:paraId="2A828925">
      <w:pPr>
        <w:pageBreakBefore w:val="0"/>
        <w:kinsoku/>
        <w:wordWrap/>
        <w:overflowPunct/>
        <w:topLinePunct w:val="0"/>
        <w:autoSpaceDE/>
        <w:autoSpaceDN/>
        <w:bidi w:val="0"/>
        <w:spacing w:line="560" w:lineRule="exact"/>
        <w:ind w:left="0" w:leftChars="0" w:right="0" w:rightChars="0" w:firstLine="640"/>
        <w:rPr>
          <w:rFonts w:hint="default" w:eastAsia="仿宋_GB2312" w:cs="Times New Roman"/>
          <w:highlight w:val="none"/>
          <w:lang w:val="en-US" w:eastAsia="zh-CN"/>
        </w:rPr>
      </w:pPr>
      <w:r>
        <w:rPr>
          <w:rFonts w:hint="default" w:eastAsia="仿宋_GB2312" w:cs="Times New Roman"/>
          <w:b/>
          <w:bCs/>
          <w:highlight w:val="none"/>
          <w:lang w:val="en-US" w:eastAsia="zh-CN"/>
        </w:rPr>
        <w:t>施工噪声防治管理</w:t>
      </w:r>
      <w:r>
        <w:rPr>
          <w:rFonts w:hint="eastAsia" w:eastAsia="仿宋_GB2312" w:cs="Times New Roman"/>
          <w:b/>
          <w:bCs/>
          <w:highlight w:val="none"/>
          <w:lang w:val="en-US" w:eastAsia="zh-CN"/>
        </w:rPr>
        <w:t>。</w:t>
      </w:r>
      <w:r>
        <w:rPr>
          <w:rFonts w:hint="default" w:eastAsia="仿宋_GB2312" w:cs="Times New Roman"/>
          <w:highlight w:val="none"/>
          <w:lang w:val="en-US" w:eastAsia="zh-CN"/>
        </w:rPr>
        <w:t>加强对建筑施工噪声的监督管理，严格限定施工作业时间，限制在敏感区内夜间进行产生噪声污染的施工作业。2类声环境功能区和其他噪声敏感区如确需要夜间施工，应执行审批夜间施工许可证制度。产生环境噪声污染的运输车辆，应在规定的时间内施工作业。未经批准，不得在夜间使用产生严重噪声污染的大型施工机具，施工现场夜间禁止使用电锯等高噪设备。施工设备和土石方、打桩、结构、装修等施工阶段的噪声排放必须符合国家建筑施工场界噪声限值标准，鼓励使用低噪声施工设备和工艺。</w:t>
      </w:r>
    </w:p>
    <w:p w14:paraId="2A493230">
      <w:pPr>
        <w:pageBreakBefore w:val="0"/>
        <w:kinsoku/>
        <w:wordWrap/>
        <w:overflowPunct/>
        <w:topLinePunct w:val="0"/>
        <w:autoSpaceDE/>
        <w:autoSpaceDN/>
        <w:bidi w:val="0"/>
        <w:spacing w:line="560" w:lineRule="exact"/>
        <w:ind w:left="0" w:leftChars="0" w:right="0" w:rightChars="0" w:firstLine="640"/>
        <w:rPr>
          <w:rFonts w:hint="default" w:eastAsia="仿宋_GB2312" w:cs="Times New Roman"/>
          <w:highlight w:val="none"/>
          <w:lang w:val="en-US" w:eastAsia="zh-CN"/>
        </w:rPr>
      </w:pPr>
      <w:r>
        <w:rPr>
          <w:rFonts w:hint="default" w:eastAsia="仿宋_GB2312" w:cs="Times New Roman"/>
          <w:b/>
          <w:bCs/>
          <w:highlight w:val="none"/>
          <w:lang w:val="en-US" w:eastAsia="zh-CN"/>
        </w:rPr>
        <w:t>生活噪声防治管理</w:t>
      </w:r>
      <w:r>
        <w:rPr>
          <w:rFonts w:hint="eastAsia" w:eastAsia="仿宋_GB2312" w:cs="Times New Roman"/>
          <w:b/>
          <w:bCs/>
          <w:highlight w:val="none"/>
          <w:lang w:val="en-US" w:eastAsia="zh-CN"/>
        </w:rPr>
        <w:t>。</w:t>
      </w:r>
      <w:r>
        <w:rPr>
          <w:rFonts w:hint="default" w:eastAsia="仿宋_GB2312" w:cs="Times New Roman"/>
          <w:highlight w:val="none"/>
          <w:lang w:val="en-US" w:eastAsia="zh-CN"/>
        </w:rPr>
        <w:t>严格执行《社会生活环境噪声排放标准》，禁止商业经营活动在室外使用音响器材招揽顾客。娱乐场所噪声达不到相应功能区标准的要限期整改，整改后仍不能达标的予以关停。宾馆、饭店和商业等经营场所安装的冷却塔、水泵房和空调器等配套服务设施造成的噪声污染必须加以有效治理。积极推行室内综合市场，取缔扰民的露天或马路市场。明确限制室内装修作业时间，午间和夜间不得使用电钻、电锯、电刨等产生严重环境噪声污染的工具进行装修作业。</w:t>
      </w:r>
    </w:p>
    <w:p w14:paraId="61F16612">
      <w:pPr>
        <w:pageBreakBefore w:val="0"/>
        <w:kinsoku/>
        <w:wordWrap/>
        <w:overflowPunct/>
        <w:topLinePunct w:val="0"/>
        <w:autoSpaceDE/>
        <w:autoSpaceDN/>
        <w:bidi w:val="0"/>
        <w:spacing w:line="560" w:lineRule="exact"/>
        <w:ind w:left="0" w:leftChars="0" w:right="0" w:rightChars="0" w:firstLine="640"/>
        <w:rPr>
          <w:rFonts w:hint="default" w:eastAsia="仿宋_GB2312" w:cs="Times New Roman"/>
          <w:highlight w:val="none"/>
          <w:lang w:val="en-US" w:eastAsia="zh-CN"/>
        </w:rPr>
      </w:pPr>
      <w:r>
        <w:rPr>
          <w:rFonts w:hint="default" w:eastAsia="仿宋_GB2312" w:cs="Times New Roman"/>
          <w:b/>
          <w:bCs/>
          <w:highlight w:val="none"/>
          <w:lang w:val="en-US" w:eastAsia="zh-CN"/>
        </w:rPr>
        <w:t>交通噪声防治管理</w:t>
      </w:r>
      <w:r>
        <w:rPr>
          <w:rFonts w:hint="eastAsia" w:eastAsia="仿宋_GB2312" w:cs="Times New Roman"/>
          <w:b/>
          <w:bCs/>
          <w:highlight w:val="none"/>
          <w:lang w:val="en-US" w:eastAsia="zh-CN"/>
        </w:rPr>
        <w:t>。</w:t>
      </w:r>
      <w:r>
        <w:rPr>
          <w:rFonts w:hint="default" w:eastAsia="仿宋_GB2312" w:cs="Times New Roman"/>
          <w:highlight w:val="none"/>
          <w:lang w:val="en-US" w:eastAsia="zh-CN"/>
        </w:rPr>
        <w:t>限定货车进入城区噪声敏感路段行驶时间，根据城区发展制定并逐步扩大机动车禁行范围。在城区狭窄路段实施机动车单向通行，完善城区内停车场建设，减少交通拥堵。各路段的出入口标志应设置规范，保障车辆进出顺畅，减少怠速噪声。强化城区机动车禁鸣喇叭管理，逐步扩大机动车辆禁鸣路段和区域范围。对居住集中区、教育科研机构、医疗卫生设施等敏感建筑物集中区域和敏感时段，采取禁鸣、限行、限速等手段，降低交通噪声。</w:t>
      </w:r>
    </w:p>
    <w:p w14:paraId="1179343F">
      <w:pPr>
        <w:pageBreakBefore w:val="0"/>
        <w:kinsoku/>
        <w:wordWrap/>
        <w:overflowPunct/>
        <w:topLinePunct w:val="0"/>
        <w:autoSpaceDE/>
        <w:autoSpaceDN/>
        <w:bidi w:val="0"/>
        <w:spacing w:line="560" w:lineRule="exact"/>
        <w:ind w:left="0" w:leftChars="0" w:right="0" w:rightChars="0" w:firstLine="640"/>
        <w:rPr>
          <w:rFonts w:eastAsia="仿宋_GB2312" w:cs="Times New Roman"/>
          <w:highlight w:val="none"/>
        </w:rPr>
      </w:pPr>
      <w:r>
        <w:rPr>
          <w:rFonts w:hint="default" w:eastAsia="仿宋_GB2312" w:cs="Times New Roman"/>
          <w:b/>
          <w:bCs/>
          <w:highlight w:val="none"/>
          <w:lang w:val="en-US" w:eastAsia="zh-CN"/>
        </w:rPr>
        <w:t>工业噪声防治管理</w:t>
      </w:r>
      <w:r>
        <w:rPr>
          <w:rFonts w:hint="eastAsia" w:eastAsia="仿宋_GB2312" w:cs="Times New Roman"/>
          <w:b/>
          <w:bCs/>
          <w:highlight w:val="none"/>
          <w:lang w:val="en-US" w:eastAsia="zh-CN"/>
        </w:rPr>
        <w:t>。</w:t>
      </w:r>
      <w:r>
        <w:rPr>
          <w:rFonts w:hint="default" w:eastAsia="仿宋_GB2312" w:cs="Times New Roman"/>
          <w:highlight w:val="none"/>
          <w:lang w:val="en-US" w:eastAsia="zh-CN"/>
        </w:rPr>
        <w:t>贯彻执行《工业企业厂界环境噪声排放标准》，严厉查处工业企业噪声排放超标扰民行为。对位于噪声敏感建筑物集中区域内的现有企业高噪声设备进行限期整改，对噪声大又无法治理的噪声源，应实施搬迁或转产。工业企业应以低噪声小振动的工艺和设备代替高噪声强振动的工艺和设备。鼓风机、空气压缩机、空调机、各种泵、发电机、冷却塔等主要噪声源应选用通过国家相关机构认证的低噪声产品。对达不到相应要求的，应视工业噪声声源的类型、性质和声传播途径，采用隔音、消声、吸声、隔振，阻尼以及综合控制措施</w:t>
      </w:r>
      <w:r>
        <w:rPr>
          <w:rFonts w:eastAsia="仿宋_GB2312" w:cs="Times New Roman"/>
          <w:highlight w:val="none"/>
        </w:rPr>
        <w:t>。</w:t>
      </w:r>
    </w:p>
    <w:p w14:paraId="547767DE">
      <w:pPr>
        <w:pStyle w:val="9"/>
        <w:pageBreakBefore w:val="0"/>
        <w:kinsoku/>
        <w:wordWrap/>
        <w:overflowPunct/>
        <w:topLinePunct w:val="0"/>
        <w:autoSpaceDE/>
        <w:autoSpaceDN/>
        <w:bidi w:val="0"/>
        <w:spacing w:line="560" w:lineRule="exact"/>
        <w:ind w:left="0" w:leftChars="0" w:right="0" w:rightChars="0" w:firstLine="640"/>
        <w:rPr>
          <w:rFonts w:ascii="楷体_GB2312" w:hAnsi="楷体_GB2312" w:eastAsia="楷体_GB2312" w:cs="楷体_GB2312"/>
          <w:b/>
          <w:bCs w:val="0"/>
          <w:highlight w:val="none"/>
        </w:rPr>
      </w:pPr>
      <w:r>
        <w:rPr>
          <w:rFonts w:hint="eastAsia" w:ascii="楷体_GB2312" w:hAnsi="楷体_GB2312" w:eastAsia="楷体_GB2312" w:cs="楷体_GB2312"/>
          <w:b/>
          <w:bCs w:val="0"/>
          <w:highlight w:val="none"/>
        </w:rPr>
        <w:t>（</w:t>
      </w:r>
      <w:r>
        <w:rPr>
          <w:rFonts w:hint="eastAsia" w:ascii="楷体_GB2312" w:hAnsi="楷体_GB2312" w:eastAsia="楷体_GB2312" w:cs="楷体_GB2312"/>
          <w:b/>
          <w:bCs w:val="0"/>
          <w:highlight w:val="none"/>
          <w:lang w:eastAsia="zh-CN"/>
        </w:rPr>
        <w:t>六</w:t>
      </w:r>
      <w:r>
        <w:rPr>
          <w:rFonts w:hint="eastAsia" w:ascii="楷体_GB2312" w:hAnsi="楷体_GB2312" w:eastAsia="楷体_GB2312" w:cs="楷体_GB2312"/>
          <w:b/>
          <w:bCs w:val="0"/>
          <w:highlight w:val="none"/>
        </w:rPr>
        <w:t>）</w:t>
      </w:r>
      <w:bookmarkStart w:id="93" w:name="_Toc471226281"/>
      <w:bookmarkStart w:id="94" w:name="_Toc471226387"/>
      <w:r>
        <w:rPr>
          <w:rFonts w:hint="eastAsia" w:ascii="楷体_GB2312" w:hAnsi="楷体_GB2312" w:eastAsia="楷体_GB2312" w:cs="楷体_GB2312"/>
          <w:b/>
          <w:bCs w:val="0"/>
          <w:highlight w:val="none"/>
          <w:lang w:eastAsia="zh-CN"/>
        </w:rPr>
        <w:t>深入推进生态系统保护与修复，筑牢生态安全屏障</w:t>
      </w:r>
      <w:bookmarkEnd w:id="93"/>
      <w:bookmarkEnd w:id="94"/>
    </w:p>
    <w:p w14:paraId="702A78CA">
      <w:pPr>
        <w:pageBreakBefore w:val="0"/>
        <w:kinsoku/>
        <w:wordWrap/>
        <w:overflowPunct/>
        <w:topLinePunct w:val="0"/>
        <w:autoSpaceDE/>
        <w:autoSpaceDN/>
        <w:bidi w:val="0"/>
        <w:spacing w:line="560" w:lineRule="exact"/>
        <w:ind w:left="0" w:leftChars="0" w:right="0" w:rightChars="0" w:firstLine="640"/>
        <w:rPr>
          <w:rFonts w:eastAsia="仿宋_GB2312" w:cs="Times New Roman"/>
          <w:highlight w:val="none"/>
        </w:rPr>
      </w:pPr>
      <w:r>
        <w:rPr>
          <w:rFonts w:eastAsia="仿宋_GB2312" w:cs="Times New Roman"/>
          <w:highlight w:val="none"/>
        </w:rPr>
        <w:t>1.</w:t>
      </w:r>
      <w:r>
        <w:rPr>
          <w:rFonts w:hint="default" w:eastAsia="仿宋_GB2312" w:cs="Times New Roman"/>
          <w:highlight w:val="none"/>
          <w:lang w:val="en-US" w:eastAsia="zh-CN"/>
        </w:rPr>
        <w:t>完善森林管护体系，加强城市绿地发展</w:t>
      </w:r>
    </w:p>
    <w:p w14:paraId="62BA26B1">
      <w:pPr>
        <w:pageBreakBefore w:val="0"/>
        <w:kinsoku/>
        <w:wordWrap/>
        <w:overflowPunct/>
        <w:topLinePunct w:val="0"/>
        <w:autoSpaceDE/>
        <w:autoSpaceDN/>
        <w:bidi w:val="0"/>
        <w:spacing w:line="560" w:lineRule="exact"/>
        <w:ind w:left="0" w:leftChars="0" w:right="0" w:rightChars="0" w:firstLine="640"/>
        <w:rPr>
          <w:rFonts w:hint="eastAsia" w:eastAsia="仿宋_GB2312" w:cs="Times New Roman"/>
          <w:highlight w:val="none"/>
          <w:lang w:val="en-US" w:eastAsia="zh-CN"/>
        </w:rPr>
      </w:pPr>
      <w:r>
        <w:rPr>
          <w:rFonts w:hint="eastAsia" w:eastAsia="仿宋_GB2312" w:cs="Times New Roman"/>
          <w:b/>
          <w:bCs/>
          <w:highlight w:val="none"/>
          <w:lang w:val="en-US" w:eastAsia="zh-CN"/>
        </w:rPr>
        <w:t>强化林地管理，切实保护生态系统。</w:t>
      </w:r>
      <w:r>
        <w:rPr>
          <w:rFonts w:hint="eastAsia" w:eastAsia="仿宋_GB2312" w:cs="Times New Roman"/>
          <w:highlight w:val="none"/>
          <w:lang w:val="en-US" w:eastAsia="zh-CN"/>
        </w:rPr>
        <w:t>突出生态建设，进一步保护和发展森林资源，加强生态公益林保护，改善城市生态系统和湿地生态系统，大力培育、保护和合理利用森林资源，增强森林生态系统的整体功能。通过实施石漠化综合治理工程、高产优质油茶基地建设等工程，积极发展植树造林，培育森林资源。实施水土保持林和水源涵养林建设工程，采用封育和改造相结合的方式，逐步提高林地土壤肥力和林分涵养水源能力，恢复森林植被，建成以多种乡土阔叶树种为主体，灌木、草本、藤本相结合的复层林种结构，水土流失得到有效控制。</w:t>
      </w:r>
    </w:p>
    <w:p w14:paraId="655251ED">
      <w:pPr>
        <w:pageBreakBefore w:val="0"/>
        <w:kinsoku/>
        <w:wordWrap/>
        <w:overflowPunct/>
        <w:topLinePunct w:val="0"/>
        <w:autoSpaceDE/>
        <w:autoSpaceDN/>
        <w:bidi w:val="0"/>
        <w:spacing w:line="560" w:lineRule="exact"/>
        <w:ind w:left="0" w:leftChars="0" w:right="0" w:rightChars="0" w:firstLine="640"/>
        <w:rPr>
          <w:rFonts w:hint="eastAsia" w:eastAsia="仿宋_GB2312" w:cs="Times New Roman"/>
          <w:highlight w:val="none"/>
          <w:lang w:eastAsia="zh-CN"/>
        </w:rPr>
      </w:pPr>
      <w:r>
        <w:rPr>
          <w:rFonts w:hint="eastAsia" w:eastAsia="仿宋_GB2312" w:cs="Times New Roman"/>
          <w:b/>
          <w:bCs/>
          <w:highlight w:val="none"/>
          <w:lang w:val="en-US" w:eastAsia="zh-CN"/>
        </w:rPr>
        <w:t>加强城区、道路、村庄、林地的绿化。</w:t>
      </w:r>
      <w:r>
        <w:rPr>
          <w:rFonts w:hint="eastAsia" w:eastAsia="仿宋_GB2312" w:cs="Times New Roman"/>
          <w:highlight w:val="none"/>
          <w:lang w:val="en-US" w:eastAsia="zh-CN"/>
        </w:rPr>
        <w:t>逐步营造“城在林中，路在绿中，人在景中”的森林生态氛围。建立执法、巡查、宣传、公众监督、禁噪等综合管理机制，制止生境破坏，减轻对栖息地的干扰。深入推进“绿满柳江”绿化造林提升、天然林保护等生态工程建设，加强柳江流域水生态保护与修复。防范水葫芦等外来生物侵入；在城镇和风景区绿化中，引进外来草种、树种必须谨慎经过生物安全评估；加快退化生态系统恢复与重建，以防止外来生物乘虚繁衍。加强古树名木保护，推进古树名木抢救及复壮、周边环境建设和环境治理。规划完善城区绿地系统，重点实施道路造林绿化、街头绿化、小区园林绿化，形成江河、冲沟生态修复，道路、城区绿色怡人的山水宜居柳江新风貌</w:t>
      </w:r>
      <w:r>
        <w:rPr>
          <w:rFonts w:hint="eastAsia" w:eastAsia="仿宋_GB2312" w:cs="Times New Roman"/>
          <w:highlight w:val="none"/>
          <w:lang w:eastAsia="zh-CN"/>
        </w:rPr>
        <w:t>。</w:t>
      </w:r>
    </w:p>
    <w:p w14:paraId="098C7A9A">
      <w:pPr>
        <w:pageBreakBefore w:val="0"/>
        <w:kinsoku/>
        <w:wordWrap/>
        <w:overflowPunct/>
        <w:topLinePunct w:val="0"/>
        <w:autoSpaceDE/>
        <w:autoSpaceDN/>
        <w:bidi w:val="0"/>
        <w:spacing w:line="560" w:lineRule="exact"/>
        <w:ind w:left="0" w:leftChars="0" w:right="0" w:rightChars="0" w:firstLine="640"/>
        <w:rPr>
          <w:rFonts w:eastAsia="仿宋_GB2312" w:cs="Times New Roman"/>
          <w:highlight w:val="none"/>
        </w:rPr>
      </w:pPr>
      <w:r>
        <w:rPr>
          <w:rFonts w:hint="eastAsia" w:eastAsia="仿宋_GB2312" w:cs="Times New Roman"/>
          <w:highlight w:val="none"/>
          <w:lang w:val="en-US" w:eastAsia="zh-CN"/>
        </w:rPr>
        <w:t>2</w:t>
      </w:r>
      <w:r>
        <w:rPr>
          <w:rFonts w:eastAsia="仿宋_GB2312" w:cs="Times New Roman"/>
          <w:highlight w:val="none"/>
        </w:rPr>
        <w:t>.</w:t>
      </w:r>
      <w:r>
        <w:rPr>
          <w:rFonts w:hint="default" w:eastAsia="仿宋_GB2312" w:cs="Times New Roman"/>
          <w:highlight w:val="none"/>
          <w:lang w:val="en-US" w:eastAsia="zh-CN"/>
        </w:rPr>
        <w:t>大力实施生态系统保护与恢复工程</w:t>
      </w:r>
    </w:p>
    <w:p w14:paraId="078DEBDC">
      <w:pPr>
        <w:pageBreakBefore w:val="0"/>
        <w:kinsoku/>
        <w:wordWrap/>
        <w:overflowPunct/>
        <w:topLinePunct w:val="0"/>
        <w:autoSpaceDE/>
        <w:autoSpaceDN/>
        <w:bidi w:val="0"/>
        <w:spacing w:line="560" w:lineRule="exact"/>
        <w:ind w:left="0" w:leftChars="0" w:right="0" w:rightChars="0" w:firstLine="640"/>
        <w:rPr>
          <w:rFonts w:hint="eastAsia" w:ascii="仿宋_GB2312" w:hAnsi="仿宋_GB2312" w:eastAsia="仿宋_GB2312" w:cs="仿宋_GB2312"/>
          <w:highlight w:val="none"/>
          <w:lang w:val="en-US" w:eastAsia="zh-CN"/>
        </w:rPr>
      </w:pPr>
      <w:r>
        <w:rPr>
          <w:rFonts w:hint="eastAsia" w:ascii="仿宋_GB2312" w:hAnsi="仿宋_GB2312" w:eastAsia="仿宋_GB2312" w:cs="仿宋_GB2312"/>
          <w:b/>
          <w:bCs/>
          <w:highlight w:val="none"/>
          <w:lang w:val="en-US" w:eastAsia="zh-CN"/>
        </w:rPr>
        <w:t>保护和修复山水林田湖湿地。</w:t>
      </w:r>
      <w:r>
        <w:rPr>
          <w:rFonts w:hint="eastAsia" w:ascii="仿宋_GB2312" w:hAnsi="仿宋_GB2312" w:eastAsia="仿宋_GB2312" w:cs="仿宋_GB2312"/>
          <w:highlight w:val="none"/>
          <w:lang w:val="en-US" w:eastAsia="zh-CN"/>
        </w:rPr>
        <w:t>实施生态保护分区责任控制，明确全区及各个乡镇（街区）优化开发、重点开发、限制开发和禁止开发的范围和要求。按照“有河有水、有鱼有草”的原则，开展水生态修复。</w:t>
      </w:r>
      <w:bookmarkStart w:id="95" w:name="_Toc5760"/>
      <w:r>
        <w:rPr>
          <w:rFonts w:hint="eastAsia" w:ascii="仿宋_GB2312" w:hAnsi="仿宋_GB2312" w:eastAsia="仿宋_GB2312" w:cs="仿宋_GB2312"/>
          <w:highlight w:val="none"/>
          <w:lang w:val="en-US" w:eastAsia="zh-CN"/>
        </w:rPr>
        <w:t>推进乡村小微湿地保护恢复和综合治理</w:t>
      </w:r>
      <w:bookmarkEnd w:id="95"/>
      <w:r>
        <w:rPr>
          <w:rFonts w:hint="eastAsia" w:ascii="仿宋_GB2312" w:hAnsi="仿宋_GB2312" w:eastAsia="仿宋_GB2312" w:cs="仿宋_GB2312"/>
          <w:highlight w:val="none"/>
          <w:lang w:val="en-US" w:eastAsia="zh-CN"/>
        </w:rPr>
        <w:t>。</w:t>
      </w:r>
    </w:p>
    <w:p w14:paraId="7656AA83">
      <w:pPr>
        <w:pageBreakBefore w:val="0"/>
        <w:kinsoku/>
        <w:wordWrap/>
        <w:overflowPunct/>
        <w:topLinePunct w:val="0"/>
        <w:autoSpaceDE/>
        <w:autoSpaceDN/>
        <w:bidi w:val="0"/>
        <w:spacing w:line="560" w:lineRule="exact"/>
        <w:ind w:left="0" w:leftChars="0" w:right="0" w:rightChars="0" w:firstLine="640"/>
        <w:rPr>
          <w:rFonts w:hint="eastAsia" w:ascii="仿宋_GB2312" w:hAnsi="仿宋_GB2312" w:eastAsia="仿宋_GB2312" w:cs="仿宋_GB2312"/>
          <w:highlight w:val="none"/>
          <w:lang w:val="en-US" w:eastAsia="zh-CN"/>
        </w:rPr>
      </w:pPr>
      <w:r>
        <w:rPr>
          <w:rFonts w:hint="eastAsia" w:ascii="仿宋_GB2312" w:hAnsi="仿宋_GB2312" w:eastAsia="仿宋_GB2312" w:cs="仿宋_GB2312"/>
          <w:b/>
          <w:bCs/>
          <w:highlight w:val="none"/>
          <w:lang w:val="en-US" w:eastAsia="zh-CN"/>
        </w:rPr>
        <w:t>开展水生态净化行动。</w:t>
      </w:r>
      <w:r>
        <w:rPr>
          <w:rFonts w:hint="eastAsia" w:ascii="仿宋_GB2312" w:hAnsi="仿宋_GB2312" w:eastAsia="仿宋_GB2312" w:cs="仿宋_GB2312"/>
          <w:highlight w:val="none"/>
          <w:lang w:val="en-US" w:eastAsia="zh-CN"/>
        </w:rPr>
        <w:t>优先对柳江区内的河湖生态缓冲带等产水、护水、净水的国土生态空间实施保护修复，开展植树造绿、水土保持，恢复河湖自然岸线。对不符合河湖生态缓冲带等保护要求的生产生活活动进行清理整治。严格控制柳江主要干支流涉危险化学品等项目审批，充分发挥生态空间保护生态环境、提供生态产品功能，构筑水生态安全屏障。让河流湖泊休养生息，保护和合理利用河湖水生生物资源，科学划定河湖禁捕、限捕区域。</w:t>
      </w:r>
    </w:p>
    <w:p w14:paraId="71EC1511">
      <w:pPr>
        <w:pageBreakBefore w:val="0"/>
        <w:kinsoku/>
        <w:wordWrap/>
        <w:overflowPunct/>
        <w:topLinePunct w:val="0"/>
        <w:autoSpaceDE/>
        <w:autoSpaceDN/>
        <w:bidi w:val="0"/>
        <w:spacing w:line="560" w:lineRule="exact"/>
        <w:ind w:left="0" w:leftChars="0" w:right="0" w:rightChars="0" w:firstLine="640"/>
        <w:rPr>
          <w:rFonts w:hint="eastAsia" w:ascii="仿宋_GB2312" w:hAnsi="仿宋_GB2312" w:eastAsia="仿宋_GB2312" w:cs="仿宋_GB2312"/>
          <w:highlight w:val="none"/>
        </w:rPr>
      </w:pPr>
      <w:r>
        <w:rPr>
          <w:rFonts w:hint="eastAsia" w:ascii="仿宋_GB2312" w:hAnsi="仿宋_GB2312" w:eastAsia="仿宋_GB2312" w:cs="仿宋_GB2312"/>
          <w:b/>
          <w:bCs/>
          <w:highlight w:val="none"/>
          <w:lang w:eastAsia="zh-CN"/>
        </w:rPr>
        <w:t>建立</w:t>
      </w:r>
      <w:r>
        <w:rPr>
          <w:rFonts w:hint="eastAsia" w:ascii="仿宋_GB2312" w:hAnsi="仿宋_GB2312" w:eastAsia="仿宋_GB2312" w:cs="仿宋_GB2312"/>
          <w:b/>
          <w:bCs/>
          <w:highlight w:val="none"/>
        </w:rPr>
        <w:t>野生动植物保护制度。</w:t>
      </w:r>
      <w:r>
        <w:rPr>
          <w:rFonts w:hint="eastAsia" w:ascii="仿宋_GB2312" w:hAnsi="仿宋_GB2312" w:eastAsia="仿宋_GB2312" w:cs="仿宋_GB2312"/>
          <w:highlight w:val="none"/>
        </w:rPr>
        <w:t>组织开展野生动植物保护专项执法活动，实行严格的野生动植物保护制度。组织开展野生植物种质资源调查；严厉打击非法捕杀猎杀野生动物、破坏野生动植物资源等违法犯罪行为，严查野生动物非法交易行为；开展水生生物资源增殖放流活动，强化珍稀濒危物种的保护；开展各乡镇野生动物栖息地、迁徙廊道巡查，排除鸟类迁徙潜在安全隐患；强化野生动植物繁育利用事中事后监管。加强涉林涉草违法犯罪打击；全力推进</w:t>
      </w:r>
      <w:r>
        <w:rPr>
          <w:rFonts w:hint="eastAsia" w:ascii="仿宋_GB2312" w:hAnsi="仿宋_GB2312" w:eastAsia="仿宋_GB2312" w:cs="仿宋_GB2312"/>
          <w:highlight w:val="none"/>
          <w:lang w:eastAsia="zh-CN"/>
        </w:rPr>
        <w:t>柳江区</w:t>
      </w:r>
      <w:r>
        <w:rPr>
          <w:rFonts w:hint="eastAsia" w:ascii="仿宋_GB2312" w:hAnsi="仿宋_GB2312" w:eastAsia="仿宋_GB2312" w:cs="仿宋_GB2312"/>
          <w:highlight w:val="none"/>
        </w:rPr>
        <w:t>自然资源生态、绿色、健康的发展，辖区内河流特有性、指示性物种及濒危水生物种的种类和数量不降低。</w:t>
      </w:r>
    </w:p>
    <w:p w14:paraId="577F9B32">
      <w:pPr>
        <w:pageBreakBefore w:val="0"/>
        <w:kinsoku/>
        <w:wordWrap/>
        <w:overflowPunct/>
        <w:topLinePunct w:val="0"/>
        <w:autoSpaceDE/>
        <w:autoSpaceDN/>
        <w:bidi w:val="0"/>
        <w:spacing w:line="560" w:lineRule="exact"/>
        <w:ind w:left="0" w:leftChars="0" w:right="0" w:rightChars="0" w:firstLine="640"/>
        <w:rPr>
          <w:rFonts w:hint="eastAsia" w:ascii="仿宋_GB2312" w:hAnsi="仿宋_GB2312" w:eastAsia="仿宋_GB2312" w:cs="仿宋_GB2312"/>
          <w:highlight w:val="none"/>
        </w:rPr>
      </w:pPr>
      <w:r>
        <w:rPr>
          <w:rFonts w:hint="eastAsia" w:ascii="仿宋_GB2312" w:hAnsi="仿宋_GB2312" w:eastAsia="仿宋_GB2312" w:cs="仿宋_GB2312"/>
          <w:b/>
          <w:bCs/>
          <w:highlight w:val="none"/>
        </w:rPr>
        <w:t>加强外来物种入侵防控。</w:t>
      </w:r>
      <w:r>
        <w:rPr>
          <w:rFonts w:hint="eastAsia" w:ascii="仿宋_GB2312" w:hAnsi="仿宋_GB2312" w:eastAsia="仿宋_GB2312" w:cs="仿宋_GB2312"/>
          <w:highlight w:val="none"/>
        </w:rPr>
        <w:t>开展外来入侵物种的调查及监测工作，确定外来物种入侵情况。落实外来物种入侵防控工作，摸清行政区内外来入侵物种基本情况，开展相关防治工作，对危害性较大的入侵物种制定计划、方案，积极开展替代种植或人工灭除等防控措施。</w:t>
      </w:r>
    </w:p>
    <w:p w14:paraId="2DF26134">
      <w:pPr>
        <w:pageBreakBefore w:val="0"/>
        <w:kinsoku/>
        <w:wordWrap/>
        <w:overflowPunct/>
        <w:topLinePunct w:val="0"/>
        <w:autoSpaceDE/>
        <w:autoSpaceDN/>
        <w:bidi w:val="0"/>
        <w:spacing w:line="560" w:lineRule="exact"/>
        <w:ind w:left="0" w:leftChars="0" w:right="0" w:rightChars="0" w:firstLine="640"/>
        <w:rPr>
          <w:highlight w:val="none"/>
        </w:rPr>
      </w:pPr>
      <w:r>
        <w:rPr>
          <w:rFonts w:hint="eastAsia" w:ascii="仿宋_GB2312" w:hAnsi="仿宋_GB2312" w:eastAsia="仿宋_GB2312" w:cs="仿宋_GB2312"/>
          <w:b/>
          <w:bCs/>
          <w:highlight w:val="none"/>
        </w:rPr>
        <w:t>加强矿山地质环境治理修复和管理。</w:t>
      </w:r>
      <w:r>
        <w:rPr>
          <w:rFonts w:hint="eastAsia" w:ascii="仿宋_GB2312" w:hAnsi="仿宋_GB2312" w:eastAsia="仿宋_GB2312" w:cs="仿宋_GB2312"/>
          <w:highlight w:val="none"/>
        </w:rPr>
        <w:t>新建矿山必须严格落实矿山准入制度，矿山投产后加强监管，新建矿山必须达到</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rPr>
        <w:t>边开采、边治理、边绿化</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rPr>
        <w:t>要求。严格按照合理预测、科学预防的要求编制矿山地质环境保护与土地复垦方案。严格矿山准入管理，制订矿山地质环境恢复治理方案。做好矿山地质环境动态巡查工作，建立矿山督查制度，促使矿山督查常态化，对矿山进行实时监管，对辖区内非法矿点进行联合执法。加强对矿山地质环境保护与治理恢复情况的调查监督，查清矿山土地废弃情况以及土地复垦、矿山绿化等情况，加强矿山监管，做好矿山生产风险预防工作。</w:t>
      </w:r>
    </w:p>
    <w:p w14:paraId="25721152">
      <w:pPr>
        <w:pStyle w:val="9"/>
        <w:pageBreakBefore w:val="0"/>
        <w:kinsoku/>
        <w:wordWrap/>
        <w:overflowPunct/>
        <w:topLinePunct w:val="0"/>
        <w:autoSpaceDE/>
        <w:autoSpaceDN/>
        <w:bidi w:val="0"/>
        <w:spacing w:line="560" w:lineRule="exact"/>
        <w:ind w:left="0" w:leftChars="0" w:right="0" w:rightChars="0" w:firstLine="640"/>
        <w:rPr>
          <w:rFonts w:ascii="楷体_GB2312" w:hAnsi="楷体_GB2312" w:eastAsia="楷体_GB2312" w:cs="楷体_GB2312"/>
          <w:b/>
          <w:bCs w:val="0"/>
          <w:highlight w:val="none"/>
        </w:rPr>
      </w:pPr>
      <w:r>
        <w:rPr>
          <w:rFonts w:hint="eastAsia" w:ascii="楷体_GB2312" w:hAnsi="楷体_GB2312" w:eastAsia="楷体_GB2312" w:cs="楷体_GB2312"/>
          <w:b/>
          <w:bCs w:val="0"/>
          <w:highlight w:val="none"/>
        </w:rPr>
        <w:t>（</w:t>
      </w:r>
      <w:r>
        <w:rPr>
          <w:rFonts w:hint="eastAsia" w:ascii="楷体_GB2312" w:hAnsi="楷体_GB2312" w:eastAsia="楷体_GB2312" w:cs="楷体_GB2312"/>
          <w:b/>
          <w:bCs w:val="0"/>
          <w:highlight w:val="none"/>
          <w:lang w:eastAsia="zh-CN"/>
        </w:rPr>
        <w:t>七</w:t>
      </w:r>
      <w:r>
        <w:rPr>
          <w:rFonts w:hint="eastAsia" w:ascii="楷体_GB2312" w:hAnsi="楷体_GB2312" w:eastAsia="楷体_GB2312" w:cs="楷体_GB2312"/>
          <w:b/>
          <w:bCs w:val="0"/>
          <w:highlight w:val="none"/>
        </w:rPr>
        <w:t>）</w:t>
      </w:r>
      <w:r>
        <w:rPr>
          <w:rFonts w:hint="eastAsia" w:ascii="楷体_GB2312" w:hAnsi="楷体_GB2312" w:eastAsia="楷体_GB2312" w:cs="楷体_GB2312"/>
          <w:b/>
          <w:bCs w:val="0"/>
          <w:highlight w:val="none"/>
          <w:lang w:eastAsia="zh-CN"/>
        </w:rPr>
        <w:t>强化生态环境风险防范，保护生态文明建设成果</w:t>
      </w:r>
    </w:p>
    <w:p w14:paraId="4A37D019">
      <w:pPr>
        <w:pageBreakBefore w:val="0"/>
        <w:kinsoku/>
        <w:wordWrap/>
        <w:overflowPunct/>
        <w:topLinePunct w:val="0"/>
        <w:autoSpaceDE/>
        <w:autoSpaceDN/>
        <w:bidi w:val="0"/>
        <w:adjustRightInd w:val="0"/>
        <w:snapToGrid w:val="0"/>
        <w:spacing w:line="560" w:lineRule="exact"/>
        <w:ind w:left="0" w:leftChars="0" w:right="0" w:rightChars="0" w:firstLine="640"/>
        <w:rPr>
          <w:rFonts w:hint="default" w:eastAsia="仿宋_GB2312" w:cs="Times New Roman"/>
          <w:kern w:val="0"/>
          <w:szCs w:val="32"/>
          <w:highlight w:val="none"/>
        </w:rPr>
      </w:pPr>
      <w:bookmarkStart w:id="96" w:name="_Toc44155571"/>
      <w:bookmarkStart w:id="97" w:name="_Toc44157541"/>
      <w:r>
        <w:rPr>
          <w:rFonts w:hint="default" w:eastAsia="仿宋_GB2312" w:cs="Times New Roman"/>
          <w:b/>
          <w:bCs/>
          <w:kern w:val="0"/>
          <w:szCs w:val="32"/>
          <w:highlight w:val="none"/>
        </w:rPr>
        <w:t>加强生态环境风险源管理</w:t>
      </w:r>
      <w:bookmarkEnd w:id="96"/>
      <w:bookmarkEnd w:id="97"/>
      <w:r>
        <w:rPr>
          <w:rFonts w:hint="default" w:eastAsia="仿宋_GB2312" w:cs="Times New Roman"/>
          <w:b/>
          <w:bCs/>
          <w:kern w:val="0"/>
          <w:szCs w:val="32"/>
          <w:highlight w:val="none"/>
        </w:rPr>
        <w:t>。</w:t>
      </w:r>
      <w:r>
        <w:rPr>
          <w:rFonts w:hint="default" w:eastAsia="仿宋_GB2312" w:cs="Times New Roman"/>
          <w:kern w:val="0"/>
          <w:szCs w:val="32"/>
          <w:highlight w:val="none"/>
        </w:rPr>
        <w:t>完善企业突发环境事件风险评估制度，动态更新重点环境风险源管理目录清单，建立信息齐全、数据准确的风险源及敏感保护目标的数据库，准确掌握区域流域重点环境风险分布情况，切实做到环境风险精准防控。加强企业违法排污行为监管和惩处，加强重点环境风险源监管，重点加强较大及以上风险等级风险源的环境风险防范和应急预警管理。加快完善企业及工业园区的突发环境事件应急预案及其备案，加强重点行业企业及工业园区环境风险应急预警管理。</w:t>
      </w:r>
    </w:p>
    <w:p w14:paraId="5C0D5C2D">
      <w:pPr>
        <w:pageBreakBefore w:val="0"/>
        <w:kinsoku/>
        <w:wordWrap/>
        <w:overflowPunct/>
        <w:topLinePunct w:val="0"/>
        <w:autoSpaceDE/>
        <w:autoSpaceDN/>
        <w:bidi w:val="0"/>
        <w:adjustRightInd w:val="0"/>
        <w:snapToGrid w:val="0"/>
        <w:spacing w:line="560" w:lineRule="exact"/>
        <w:ind w:left="0" w:leftChars="0" w:right="0" w:rightChars="0" w:firstLine="640"/>
        <w:rPr>
          <w:rFonts w:hint="default" w:eastAsia="仿宋_GB2312" w:cs="Times New Roman"/>
          <w:kern w:val="0"/>
          <w:szCs w:val="32"/>
          <w:highlight w:val="none"/>
        </w:rPr>
      </w:pPr>
      <w:bookmarkStart w:id="98" w:name="_Toc44155572"/>
      <w:bookmarkStart w:id="99" w:name="_Toc44157542"/>
      <w:r>
        <w:rPr>
          <w:rFonts w:hint="default" w:eastAsia="仿宋_GB2312" w:cs="Times New Roman"/>
          <w:b/>
          <w:bCs/>
          <w:kern w:val="0"/>
          <w:szCs w:val="32"/>
          <w:highlight w:val="none"/>
          <w:lang w:val="zh-CN" w:eastAsia="zh-CN"/>
        </w:rPr>
        <w:t>加强突发生态环境事件的防控</w:t>
      </w:r>
      <w:bookmarkEnd w:id="98"/>
      <w:bookmarkEnd w:id="99"/>
      <w:r>
        <w:rPr>
          <w:rFonts w:hint="default" w:eastAsia="仿宋_GB2312" w:cs="Times New Roman"/>
          <w:b/>
          <w:bCs/>
          <w:kern w:val="0"/>
          <w:szCs w:val="32"/>
          <w:highlight w:val="none"/>
          <w:lang w:val="zh-CN" w:eastAsia="zh-CN"/>
        </w:rPr>
        <w:t>。</w:t>
      </w:r>
      <w:r>
        <w:rPr>
          <w:rFonts w:hint="default" w:eastAsia="仿宋_GB2312" w:cs="Times New Roman"/>
          <w:kern w:val="0"/>
          <w:szCs w:val="32"/>
          <w:highlight w:val="none"/>
          <w:lang w:val="zh-CN" w:eastAsia="zh-CN"/>
        </w:rPr>
        <w:t>完善并按要求修订政府部门、产业园区、工业企业、饮用水源地等环境敏感区环境突发事件应急预案，建立预防、应急响应机制和后评估机制，组建应急救援队伍和专家咨询团队，落实应急措施和物资，有效防范和遏制突发环境污染事件。加强重点污染企业内部环境风险应急预案管理。建立重污染天气预警预测应急体系，及时发布环境监测预警信息。</w:t>
      </w:r>
      <w:r>
        <w:rPr>
          <w:rFonts w:hint="default" w:eastAsia="仿宋_GB2312" w:cs="Times New Roman"/>
          <w:kern w:val="0"/>
          <w:szCs w:val="32"/>
          <w:highlight w:val="none"/>
          <w:lang w:val="en-US" w:eastAsia="zh-CN"/>
        </w:rPr>
        <w:t>切实防范辖区重、特大突发环境事件的发生。</w:t>
      </w:r>
    </w:p>
    <w:p w14:paraId="5DD7010A">
      <w:pPr>
        <w:pageBreakBefore w:val="0"/>
        <w:kinsoku/>
        <w:wordWrap/>
        <w:overflowPunct/>
        <w:topLinePunct w:val="0"/>
        <w:autoSpaceDE/>
        <w:autoSpaceDN/>
        <w:bidi w:val="0"/>
        <w:adjustRightInd w:val="0"/>
        <w:snapToGrid w:val="0"/>
        <w:spacing w:line="560" w:lineRule="exact"/>
        <w:ind w:left="0" w:leftChars="0" w:right="0" w:rightChars="0" w:firstLine="640"/>
        <w:rPr>
          <w:rFonts w:hint="default" w:eastAsia="仿宋_GB2312" w:cs="Times New Roman"/>
          <w:kern w:val="0"/>
          <w:szCs w:val="32"/>
          <w:highlight w:val="none"/>
          <w:lang w:eastAsia="zh-CN"/>
        </w:rPr>
      </w:pPr>
      <w:bookmarkStart w:id="100" w:name="_Toc44157543"/>
      <w:bookmarkStart w:id="101" w:name="_Toc44155573"/>
      <w:r>
        <w:rPr>
          <w:rFonts w:hint="default" w:eastAsia="仿宋_GB2312" w:cs="Times New Roman"/>
          <w:b/>
          <w:bCs/>
          <w:kern w:val="0"/>
          <w:szCs w:val="32"/>
          <w:highlight w:val="none"/>
          <w:lang w:val="zh-CN" w:eastAsia="zh-CN"/>
        </w:rPr>
        <w:t>加强核与辐射环境风险防范</w:t>
      </w:r>
      <w:bookmarkEnd w:id="100"/>
      <w:bookmarkEnd w:id="101"/>
      <w:r>
        <w:rPr>
          <w:rFonts w:hint="default" w:eastAsia="仿宋_GB2312" w:cs="Times New Roman"/>
          <w:b/>
          <w:bCs/>
          <w:kern w:val="0"/>
          <w:szCs w:val="32"/>
          <w:highlight w:val="none"/>
          <w:lang w:val="zh-CN" w:eastAsia="zh-CN"/>
        </w:rPr>
        <w:t>。</w:t>
      </w:r>
      <w:r>
        <w:rPr>
          <w:rFonts w:hint="default" w:eastAsia="仿宋_GB2312" w:cs="Times New Roman"/>
          <w:kern w:val="0"/>
          <w:szCs w:val="32"/>
          <w:highlight w:val="none"/>
        </w:rPr>
        <w:t>开展风险识别、风险源管理，制定分级管理措施，落实安全主体责任。培养监管人员队伍的审评许可、监督执法、辐射监测、事故应急、经验反馈、公众沟通等综合能力。重点加强核与辐射环境应急预警能力建设，加强辐射环境风险管控，加强矿产资源开发利用、伴生放射性矿辐射环境监督管理，定期开展放射源安全专项检查，加强放射性物品运输管理，强化高风险移动放射源辐射的安全监管，确保废旧放射源做到100%安全收贮，不发生较大及以上级别的辐射事故</w:t>
      </w:r>
      <w:r>
        <w:rPr>
          <w:rFonts w:hint="default" w:eastAsia="仿宋_GB2312" w:cs="Times New Roman"/>
          <w:kern w:val="0"/>
          <w:szCs w:val="32"/>
          <w:highlight w:val="none"/>
          <w:lang w:eastAsia="zh-CN"/>
        </w:rPr>
        <w:t>。</w:t>
      </w:r>
    </w:p>
    <w:p w14:paraId="78112F61">
      <w:pPr>
        <w:pageBreakBefore w:val="0"/>
        <w:kinsoku/>
        <w:wordWrap/>
        <w:overflowPunct/>
        <w:topLinePunct w:val="0"/>
        <w:autoSpaceDE/>
        <w:autoSpaceDN/>
        <w:bidi w:val="0"/>
        <w:adjustRightInd w:val="0"/>
        <w:snapToGrid w:val="0"/>
        <w:spacing w:line="560" w:lineRule="exact"/>
        <w:ind w:left="0" w:leftChars="0" w:right="0" w:rightChars="0" w:firstLine="640"/>
        <w:rPr>
          <w:rFonts w:eastAsia="仿宋_GB2312" w:cs="Times New Roman"/>
          <w:kern w:val="0"/>
          <w:szCs w:val="32"/>
          <w:highlight w:val="none"/>
        </w:rPr>
      </w:pPr>
      <w:r>
        <w:rPr>
          <w:rFonts w:hint="default" w:eastAsia="仿宋_GB2312" w:cs="Times New Roman"/>
          <w:b/>
          <w:bCs/>
          <w:kern w:val="0"/>
          <w:szCs w:val="32"/>
          <w:highlight w:val="none"/>
        </w:rPr>
        <w:t>加强危险废物风险防控。</w:t>
      </w:r>
      <w:r>
        <w:rPr>
          <w:rFonts w:hint="default" w:eastAsia="仿宋_GB2312" w:cs="Times New Roman"/>
          <w:kern w:val="0"/>
          <w:szCs w:val="32"/>
          <w:highlight w:val="none"/>
        </w:rPr>
        <w:t>加强固体废物监测能力建设，提升危险废物鉴别能力。开展危险废物集中收集贮存试点。推动产生、收集、贮存、运输、利用、处置危险废物的单位依法制定意外事故的防范措施和应急预案。强化多部门信息共享和协作配合，以医疗废物、废酸、废铅蓄电池、废矿物油等为重点，严厉打击危险废物违法行为</w:t>
      </w:r>
      <w:r>
        <w:rPr>
          <w:rFonts w:eastAsia="仿宋_GB2312" w:cs="Times New Roman"/>
          <w:kern w:val="0"/>
          <w:szCs w:val="32"/>
          <w:highlight w:val="none"/>
        </w:rPr>
        <w:t>。</w:t>
      </w:r>
    </w:p>
    <w:p w14:paraId="447B4877">
      <w:pPr>
        <w:pStyle w:val="8"/>
        <w:pageBreakBefore w:val="0"/>
        <w:kinsoku/>
        <w:wordWrap/>
        <w:overflowPunct/>
        <w:topLinePunct w:val="0"/>
        <w:autoSpaceDE/>
        <w:autoSpaceDN/>
        <w:bidi w:val="0"/>
        <w:spacing w:line="560" w:lineRule="exact"/>
        <w:ind w:left="0" w:leftChars="0" w:right="0" w:rightChars="0" w:firstLine="640"/>
        <w:rPr>
          <w:b w:val="0"/>
          <w:bCs w:val="0"/>
          <w:highlight w:val="none"/>
        </w:rPr>
      </w:pPr>
      <w:bookmarkStart w:id="102" w:name="_Toc31652"/>
      <w:bookmarkStart w:id="103" w:name="_Toc11009"/>
      <w:bookmarkStart w:id="104" w:name="_Toc27725"/>
      <w:bookmarkStart w:id="105" w:name="_Toc19039"/>
      <w:bookmarkStart w:id="106" w:name="_Toc18286"/>
      <w:bookmarkStart w:id="107" w:name="_Toc6453"/>
      <w:bookmarkStart w:id="108" w:name="_Toc26571"/>
      <w:r>
        <w:rPr>
          <w:rFonts w:hint="eastAsia"/>
          <w:b w:val="0"/>
          <w:bCs w:val="0"/>
          <w:highlight w:val="none"/>
        </w:rPr>
        <w:t>三、</w:t>
      </w:r>
      <w:bookmarkStart w:id="109" w:name="_Toc7219"/>
      <w:r>
        <w:rPr>
          <w:rFonts w:hint="eastAsia"/>
          <w:b w:val="0"/>
          <w:bCs w:val="0"/>
          <w:highlight w:val="none"/>
          <w:lang w:eastAsia="zh-CN"/>
        </w:rPr>
        <w:t>生态空间体系建设</w:t>
      </w:r>
      <w:bookmarkEnd w:id="102"/>
      <w:bookmarkEnd w:id="103"/>
      <w:bookmarkEnd w:id="104"/>
      <w:bookmarkEnd w:id="105"/>
      <w:bookmarkEnd w:id="106"/>
      <w:bookmarkEnd w:id="107"/>
      <w:bookmarkEnd w:id="108"/>
      <w:bookmarkEnd w:id="109"/>
    </w:p>
    <w:p w14:paraId="780F7EDD">
      <w:pPr>
        <w:pStyle w:val="9"/>
        <w:pageBreakBefore w:val="0"/>
        <w:kinsoku/>
        <w:wordWrap/>
        <w:overflowPunct/>
        <w:topLinePunct w:val="0"/>
        <w:autoSpaceDE/>
        <w:autoSpaceDN/>
        <w:bidi w:val="0"/>
        <w:spacing w:line="560" w:lineRule="exact"/>
        <w:ind w:left="0" w:leftChars="0" w:right="0" w:rightChars="0" w:firstLine="640"/>
        <w:rPr>
          <w:rFonts w:ascii="楷体_GB2312" w:hAnsi="楷体_GB2312" w:eastAsia="楷体_GB2312" w:cs="楷体_GB2312"/>
          <w:b/>
          <w:bCs w:val="0"/>
          <w:highlight w:val="none"/>
        </w:rPr>
      </w:pPr>
      <w:r>
        <w:rPr>
          <w:rFonts w:hint="eastAsia" w:ascii="楷体_GB2312" w:hAnsi="楷体_GB2312" w:eastAsia="楷体_GB2312" w:cs="楷体_GB2312"/>
          <w:b/>
          <w:bCs w:val="0"/>
          <w:highlight w:val="none"/>
        </w:rPr>
        <w:t>（一）</w:t>
      </w:r>
      <w:r>
        <w:rPr>
          <w:rFonts w:hint="eastAsia" w:ascii="楷体_GB2312" w:hAnsi="楷体_GB2312" w:eastAsia="楷体_GB2312" w:cs="楷体_GB2312"/>
          <w:b/>
          <w:bCs w:val="0"/>
          <w:highlight w:val="none"/>
          <w:lang w:eastAsia="zh-CN"/>
        </w:rPr>
        <w:t>严守生态保护</w:t>
      </w:r>
      <w:r>
        <w:rPr>
          <w:rFonts w:hint="eastAsia" w:ascii="楷体_GB2312" w:hAnsi="楷体_GB2312" w:eastAsia="楷体_GB2312" w:cs="楷体_GB2312"/>
          <w:b/>
          <w:bCs w:val="0"/>
          <w:highlight w:val="none"/>
        </w:rPr>
        <w:t>红线，</w:t>
      </w:r>
      <w:r>
        <w:rPr>
          <w:rFonts w:hint="eastAsia" w:ascii="楷体_GB2312" w:hAnsi="楷体_GB2312" w:eastAsia="楷体_GB2312" w:cs="楷体_GB2312"/>
          <w:b/>
          <w:bCs w:val="0"/>
          <w:highlight w:val="none"/>
          <w:lang w:eastAsia="zh-CN"/>
        </w:rPr>
        <w:t>构建区域生态</w:t>
      </w:r>
      <w:r>
        <w:rPr>
          <w:rFonts w:hint="eastAsia" w:ascii="楷体_GB2312" w:hAnsi="楷体_GB2312" w:eastAsia="楷体_GB2312" w:cs="楷体_GB2312"/>
          <w:b/>
          <w:bCs w:val="0"/>
          <w:highlight w:val="none"/>
        </w:rPr>
        <w:t>安全</w:t>
      </w:r>
      <w:r>
        <w:rPr>
          <w:rFonts w:hint="eastAsia" w:ascii="楷体_GB2312" w:hAnsi="楷体_GB2312" w:eastAsia="楷体_GB2312" w:cs="楷体_GB2312"/>
          <w:b/>
          <w:bCs w:val="0"/>
          <w:highlight w:val="none"/>
          <w:lang w:eastAsia="zh-CN"/>
        </w:rPr>
        <w:t>格局</w:t>
      </w:r>
    </w:p>
    <w:p w14:paraId="6EF46247">
      <w:pPr>
        <w:pageBreakBefore w:val="0"/>
        <w:kinsoku/>
        <w:wordWrap/>
        <w:overflowPunct/>
        <w:topLinePunct w:val="0"/>
        <w:autoSpaceDE/>
        <w:autoSpaceDN/>
        <w:bidi w:val="0"/>
        <w:spacing w:line="560" w:lineRule="exact"/>
        <w:ind w:left="0" w:leftChars="0" w:right="0" w:rightChars="0" w:firstLine="640"/>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eastAsia="zh-CN"/>
        </w:rPr>
        <w:t>结合柳州市“三线一单”划分成果，严格落实管控要求，</w:t>
      </w:r>
      <w:r>
        <w:rPr>
          <w:rFonts w:hint="eastAsia" w:ascii="仿宋_GB2312" w:hAnsi="仿宋_GB2312" w:eastAsia="仿宋_GB2312" w:cs="仿宋_GB2312"/>
          <w:highlight w:val="none"/>
          <w:lang w:val="en-US" w:eastAsia="zh-CN"/>
        </w:rPr>
        <w:t>在划定的红水河流域岩溶山地水土保持生态保护红线、柳江-黔江流域水源涵养生态保护红线、柳江区其他优先保护单元三个有限保护单元内，依法禁止或限制大规模、高强度的工业和城镇开发建设；单元内的开发建设活动须在符合法律法规和相关规划的前提下，按照保护优先的原则，避免损害所在单元的生态服务功能和生态产品质量；涉及生态保护红线的，按照国家和自治区相关规定进行管控；在功能受损的优先保护单元优先开展生态保护修复活动，恢复生态系统服务功能。</w:t>
      </w:r>
    </w:p>
    <w:p w14:paraId="673B7FD2">
      <w:pPr>
        <w:pageBreakBefore w:val="0"/>
        <w:kinsoku/>
        <w:wordWrap/>
        <w:overflowPunct/>
        <w:topLinePunct w:val="0"/>
        <w:autoSpaceDE/>
        <w:autoSpaceDN/>
        <w:bidi w:val="0"/>
        <w:spacing w:line="560" w:lineRule="exact"/>
        <w:ind w:left="0" w:leftChars="0" w:right="0" w:rightChars="0" w:firstLine="640"/>
        <w:rPr>
          <w:rFonts w:ascii="仿宋_GB2312" w:hAnsi="仿宋_GB2312" w:eastAsia="仿宋_GB2312" w:cs="仿宋_GB2312"/>
          <w:highlight w:val="none"/>
        </w:rPr>
      </w:pPr>
      <w:r>
        <w:rPr>
          <w:rFonts w:hint="eastAsia" w:ascii="仿宋_GB2312" w:hAnsi="仿宋_GB2312" w:eastAsia="仿宋_GB2312" w:cs="仿宋_GB2312"/>
          <w:highlight w:val="none"/>
        </w:rPr>
        <w:t>严守生态保护红线的主体责任，将红线作为政府宏观调控、市场空间准入的重要抓手，确保生态红线划得实、守得住</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rPr>
        <w:t>确保生态功能不降低、面积不减少、性质不改变。严格执行</w:t>
      </w:r>
      <w:r>
        <w:rPr>
          <w:rFonts w:hint="eastAsia" w:ascii="仿宋_GB2312" w:hAnsi="仿宋_GB2312" w:eastAsia="仿宋_GB2312" w:cs="仿宋_GB2312"/>
          <w:highlight w:val="none"/>
          <w:lang w:eastAsia="zh-CN"/>
        </w:rPr>
        <w:t>生态环境准入清单</w:t>
      </w:r>
      <w:r>
        <w:rPr>
          <w:rFonts w:hint="eastAsia" w:ascii="仿宋_GB2312" w:hAnsi="仿宋_GB2312" w:eastAsia="仿宋_GB2312" w:cs="仿宋_GB2312"/>
          <w:highlight w:val="none"/>
        </w:rPr>
        <w:t>，建立生态保护红线台账系统，禁止工业化、城镇化开发建设项目落户生态保护红线区域。有关部门要按照职责分工，加强监督管理，共守生态保护红线。</w:t>
      </w:r>
    </w:p>
    <w:p w14:paraId="60E1C548">
      <w:pPr>
        <w:pStyle w:val="9"/>
        <w:pageBreakBefore w:val="0"/>
        <w:kinsoku/>
        <w:wordWrap/>
        <w:overflowPunct/>
        <w:topLinePunct w:val="0"/>
        <w:autoSpaceDE/>
        <w:autoSpaceDN/>
        <w:bidi w:val="0"/>
        <w:spacing w:line="560" w:lineRule="exact"/>
        <w:ind w:left="0" w:leftChars="0" w:right="0" w:rightChars="0" w:firstLine="640"/>
        <w:rPr>
          <w:rFonts w:eastAsia="楷体_GB2312" w:cs="Times New Roman"/>
          <w:b/>
          <w:bCs w:val="0"/>
          <w:highlight w:val="none"/>
        </w:rPr>
      </w:pPr>
      <w:r>
        <w:rPr>
          <w:rFonts w:eastAsia="楷体_GB2312" w:cs="Times New Roman"/>
          <w:b/>
          <w:bCs w:val="0"/>
          <w:highlight w:val="none"/>
        </w:rPr>
        <w:t>（二）</w:t>
      </w:r>
      <w:bookmarkStart w:id="110" w:name="_Toc439600111"/>
      <w:bookmarkStart w:id="111" w:name="_Toc471226245"/>
      <w:bookmarkStart w:id="112" w:name="_Toc469083103"/>
      <w:bookmarkStart w:id="113" w:name="_Toc471226377"/>
      <w:bookmarkStart w:id="114" w:name="_Toc471228229"/>
      <w:r>
        <w:rPr>
          <w:rFonts w:hint="eastAsia" w:eastAsia="楷体_GB2312" w:cs="Times New Roman"/>
          <w:b/>
          <w:bCs w:val="0"/>
          <w:highlight w:val="none"/>
          <w:lang w:eastAsia="zh-CN"/>
        </w:rPr>
        <w:t>加强河湖岸线保护，提高河湖</w:t>
      </w:r>
      <w:bookmarkEnd w:id="110"/>
      <w:bookmarkEnd w:id="111"/>
      <w:bookmarkEnd w:id="112"/>
      <w:bookmarkEnd w:id="113"/>
      <w:bookmarkEnd w:id="114"/>
      <w:r>
        <w:rPr>
          <w:rFonts w:hint="eastAsia" w:eastAsia="楷体_GB2312" w:cs="Times New Roman"/>
          <w:b/>
          <w:bCs w:val="0"/>
          <w:highlight w:val="none"/>
          <w:lang w:eastAsia="zh-CN"/>
        </w:rPr>
        <w:t>管理水平</w:t>
      </w:r>
    </w:p>
    <w:p w14:paraId="31CE04AE">
      <w:pPr>
        <w:pageBreakBefore w:val="0"/>
        <w:kinsoku/>
        <w:wordWrap/>
        <w:overflowPunct/>
        <w:topLinePunct w:val="0"/>
        <w:autoSpaceDE/>
        <w:autoSpaceDN/>
        <w:bidi w:val="0"/>
        <w:spacing w:line="560" w:lineRule="exact"/>
        <w:ind w:left="0" w:leftChars="0" w:right="0" w:rightChars="0" w:firstLine="640"/>
        <w:rPr>
          <w:rFonts w:eastAsia="仿宋_GB2312" w:cs="Times New Roman"/>
          <w:highlight w:val="none"/>
        </w:rPr>
      </w:pPr>
      <w:r>
        <w:rPr>
          <w:rFonts w:hint="eastAsia" w:eastAsia="仿宋_GB2312" w:cs="Times New Roman"/>
          <w:highlight w:val="none"/>
        </w:rPr>
        <w:t>根据岸线利用与保护的总体目标和要求，结合</w:t>
      </w:r>
      <w:r>
        <w:rPr>
          <w:rFonts w:hint="eastAsia" w:eastAsia="仿宋_GB2312" w:cs="Times New Roman"/>
          <w:highlight w:val="none"/>
          <w:lang w:eastAsia="zh-CN"/>
        </w:rPr>
        <w:t>柳江区</w:t>
      </w:r>
      <w:r>
        <w:rPr>
          <w:rFonts w:hint="eastAsia" w:eastAsia="仿宋_GB2312" w:cs="Times New Roman"/>
          <w:highlight w:val="none"/>
        </w:rPr>
        <w:t>内各河段的河势状况、岸线自然特点、岸线资源状况，充分考虑水资源利用与保护的要求，按照合理利用与有效保护相结合的原则，依据《河湖岸线保护与利用规划编制南》开展河湖管理范围划定工作，强化水域岸线规划管理，推动用途管制和集约节约利用，完成上级河湖岸线保护率管控目标。严格水域管理保护，确保水域面积只增不减；加强岸线资源保护，开展分区管理、用途管控，建设生态岸线；依法整治侵占河道、超标排放污水、非法河道采砂等突出问题；规范涉河建设项目管理，强化涉河建设项目监管，开展水生态保护与修复；加强动态监测监控，健全河湖水域岸线监测体系和评价预警机制</w:t>
      </w:r>
      <w:r>
        <w:rPr>
          <w:rFonts w:eastAsia="仿宋_GB2312" w:cs="Times New Roman"/>
          <w:highlight w:val="none"/>
        </w:rPr>
        <w:t>。</w:t>
      </w:r>
    </w:p>
    <w:p w14:paraId="68174F7E">
      <w:pPr>
        <w:pStyle w:val="9"/>
        <w:pageBreakBefore w:val="0"/>
        <w:kinsoku/>
        <w:wordWrap/>
        <w:overflowPunct/>
        <w:topLinePunct w:val="0"/>
        <w:autoSpaceDE/>
        <w:autoSpaceDN/>
        <w:bidi w:val="0"/>
        <w:spacing w:line="560" w:lineRule="exact"/>
        <w:ind w:left="0" w:leftChars="0" w:right="0" w:rightChars="0" w:firstLine="640"/>
        <w:rPr>
          <w:rFonts w:eastAsia="楷体_GB2312" w:cs="Times New Roman"/>
          <w:b/>
          <w:bCs w:val="0"/>
          <w:highlight w:val="none"/>
        </w:rPr>
      </w:pPr>
      <w:r>
        <w:rPr>
          <w:rFonts w:eastAsia="楷体_GB2312" w:cs="Times New Roman"/>
          <w:b/>
          <w:bCs w:val="0"/>
          <w:highlight w:val="none"/>
        </w:rPr>
        <w:t>（三）</w:t>
      </w:r>
      <w:r>
        <w:rPr>
          <w:rFonts w:hint="eastAsia" w:eastAsia="楷体_GB2312" w:cs="Times New Roman"/>
          <w:b/>
          <w:bCs w:val="0"/>
          <w:highlight w:val="none"/>
        </w:rPr>
        <w:t>优化国土空间开发格局，实现“多规合一”</w:t>
      </w:r>
    </w:p>
    <w:p w14:paraId="5F7853AF">
      <w:pPr>
        <w:pStyle w:val="25"/>
        <w:keepNext w:val="0"/>
        <w:keepLines w:val="0"/>
        <w:pageBreakBefore w:val="0"/>
        <w:widowControl/>
        <w:kinsoku/>
        <w:wordWrap/>
        <w:overflowPunct/>
        <w:topLinePunct w:val="0"/>
        <w:autoSpaceDE/>
        <w:autoSpaceDN/>
        <w:bidi w:val="0"/>
        <w:adjustRightInd w:val="0"/>
        <w:snapToGrid w:val="0"/>
        <w:spacing w:after="0" w:line="560" w:lineRule="exact"/>
        <w:ind w:left="0" w:leftChars="0" w:right="0" w:rightChars="0" w:firstLine="640"/>
        <w:textAlignment w:val="auto"/>
        <w:rPr>
          <w:rFonts w:hint="eastAsia" w:eastAsia="仿宋_GB2312"/>
          <w:sz w:val="32"/>
          <w:highlight w:val="none"/>
        </w:rPr>
      </w:pPr>
      <w:r>
        <w:rPr>
          <w:rFonts w:hint="eastAsia" w:eastAsia="仿宋_GB2312"/>
          <w:sz w:val="32"/>
          <w:highlight w:val="none"/>
        </w:rPr>
        <w:t>以国土空间要素融合和格局调控为抓手，优化生态环境空间管控，建立分级分类的生态空间管控体系，制定差别化管控策略和准入要求，指导全要素自然资源要素配置和空间用途管制，促进精细化生态空间治理。科学合理划分城镇发展空间、农业生产空间和生态功能空间，明确各类国土空间区域范围、主体功能和开发方向，为形成</w:t>
      </w:r>
      <w:r>
        <w:rPr>
          <w:rFonts w:hint="eastAsia" w:eastAsia="仿宋_GB2312"/>
          <w:sz w:val="32"/>
          <w:highlight w:val="none"/>
          <w:lang w:eastAsia="zh-CN"/>
        </w:rPr>
        <w:t>柳江区</w:t>
      </w:r>
      <w:r>
        <w:rPr>
          <w:rFonts w:hint="eastAsia" w:eastAsia="仿宋_GB2312"/>
          <w:sz w:val="32"/>
          <w:highlight w:val="none"/>
        </w:rPr>
        <w:t>统一的国土空间开发规划方案、实现“多规合一”奠定基础。</w:t>
      </w:r>
    </w:p>
    <w:p w14:paraId="3D977C64">
      <w:pPr>
        <w:pStyle w:val="25"/>
        <w:keepNext w:val="0"/>
        <w:keepLines w:val="0"/>
        <w:pageBreakBefore w:val="0"/>
        <w:widowControl/>
        <w:kinsoku/>
        <w:wordWrap/>
        <w:overflowPunct/>
        <w:topLinePunct w:val="0"/>
        <w:autoSpaceDE/>
        <w:autoSpaceDN/>
        <w:bidi w:val="0"/>
        <w:adjustRightInd w:val="0"/>
        <w:snapToGrid w:val="0"/>
        <w:spacing w:after="0" w:line="560" w:lineRule="exact"/>
        <w:ind w:left="0" w:leftChars="0" w:right="0" w:rightChars="0" w:firstLine="640"/>
        <w:textAlignment w:val="auto"/>
        <w:rPr>
          <w:rFonts w:eastAsia="方正仿宋_GBK"/>
          <w:sz w:val="32"/>
          <w:szCs w:val="28"/>
          <w:highlight w:val="none"/>
        </w:rPr>
      </w:pPr>
      <w:r>
        <w:rPr>
          <w:rFonts w:hint="eastAsia" w:eastAsia="仿宋_GB2312"/>
          <w:sz w:val="32"/>
          <w:highlight w:val="none"/>
        </w:rPr>
        <w:t>实施“多规合一”空间规划管理机制。通过划定“生态红线”、“永久基本农田保护红线”、“城乡开发边界”三条“底线”，确定城镇、农业、生态三类空间，合理增加</w:t>
      </w:r>
      <w:r>
        <w:rPr>
          <w:rFonts w:hint="eastAsia" w:eastAsia="仿宋_GB2312"/>
          <w:sz w:val="32"/>
          <w:highlight w:val="none"/>
          <w:lang w:eastAsia="zh-CN"/>
        </w:rPr>
        <w:t>柳江区</w:t>
      </w:r>
      <w:r>
        <w:rPr>
          <w:rFonts w:hint="eastAsia" w:eastAsia="仿宋_GB2312"/>
          <w:sz w:val="32"/>
          <w:highlight w:val="none"/>
        </w:rPr>
        <w:t>受保护地区占国土面积的比例，制定差异化空间综合功能管控措施，促进国民经济和社会发展规划、城乡建设规划、土地利用规划、生态环境保护规划等多个规划的相互融合，构建统一的空间信息管理协同平台，实施“一张表”受理等审批制度，形成</w:t>
      </w:r>
      <w:r>
        <w:rPr>
          <w:rFonts w:hint="eastAsia" w:eastAsia="仿宋_GB2312"/>
          <w:sz w:val="32"/>
          <w:highlight w:val="none"/>
          <w:lang w:eastAsia="zh-CN"/>
        </w:rPr>
        <w:t>柳江区</w:t>
      </w:r>
      <w:r>
        <w:rPr>
          <w:rFonts w:hint="eastAsia" w:eastAsia="仿宋_GB2312"/>
          <w:sz w:val="32"/>
          <w:highlight w:val="none"/>
        </w:rPr>
        <w:t>发展与布局、开发与保护为一体的“一本规划、一张蓝图”，促进科学、民主和依法决策的实施</w:t>
      </w:r>
      <w:r>
        <w:rPr>
          <w:rFonts w:eastAsia="仿宋_GB2312"/>
          <w:sz w:val="32"/>
          <w:highlight w:val="none"/>
        </w:rPr>
        <w:t>。</w:t>
      </w:r>
    </w:p>
    <w:p w14:paraId="02842914">
      <w:pPr>
        <w:pStyle w:val="8"/>
        <w:pageBreakBefore w:val="0"/>
        <w:kinsoku/>
        <w:wordWrap/>
        <w:overflowPunct/>
        <w:topLinePunct w:val="0"/>
        <w:autoSpaceDE/>
        <w:autoSpaceDN/>
        <w:bidi w:val="0"/>
        <w:spacing w:line="560" w:lineRule="exact"/>
        <w:ind w:left="0" w:leftChars="0" w:right="0" w:rightChars="0" w:firstLine="640"/>
        <w:rPr>
          <w:b w:val="0"/>
          <w:bCs w:val="0"/>
          <w:highlight w:val="none"/>
        </w:rPr>
      </w:pPr>
      <w:bookmarkStart w:id="115" w:name="_Toc3788"/>
      <w:bookmarkStart w:id="116" w:name="_Toc19573"/>
      <w:bookmarkStart w:id="117" w:name="_Toc23436"/>
      <w:bookmarkStart w:id="118" w:name="_Toc4891"/>
      <w:bookmarkStart w:id="119" w:name="_Toc12046"/>
      <w:bookmarkStart w:id="120" w:name="_Toc2393"/>
      <w:bookmarkStart w:id="121" w:name="_Toc15802"/>
      <w:r>
        <w:rPr>
          <w:rFonts w:hint="eastAsia"/>
          <w:b w:val="0"/>
          <w:bCs w:val="0"/>
          <w:highlight w:val="none"/>
        </w:rPr>
        <w:t>四、</w:t>
      </w:r>
      <w:bookmarkStart w:id="122" w:name="_Toc520208708"/>
      <w:bookmarkStart w:id="123" w:name="_Toc988"/>
      <w:r>
        <w:rPr>
          <w:rFonts w:hint="eastAsia"/>
          <w:b w:val="0"/>
          <w:bCs w:val="0"/>
          <w:highlight w:val="none"/>
          <w:lang w:eastAsia="zh-CN"/>
        </w:rPr>
        <w:t>生态经济体系建设</w:t>
      </w:r>
      <w:bookmarkEnd w:id="115"/>
      <w:bookmarkEnd w:id="116"/>
      <w:bookmarkEnd w:id="117"/>
      <w:bookmarkEnd w:id="118"/>
      <w:bookmarkEnd w:id="119"/>
      <w:bookmarkEnd w:id="120"/>
      <w:bookmarkEnd w:id="121"/>
      <w:bookmarkEnd w:id="122"/>
      <w:bookmarkEnd w:id="123"/>
    </w:p>
    <w:p w14:paraId="4C62E6D1">
      <w:pPr>
        <w:pStyle w:val="9"/>
        <w:pageBreakBefore w:val="0"/>
        <w:kinsoku/>
        <w:wordWrap/>
        <w:overflowPunct/>
        <w:topLinePunct w:val="0"/>
        <w:autoSpaceDE/>
        <w:autoSpaceDN/>
        <w:bidi w:val="0"/>
        <w:spacing w:line="560" w:lineRule="exact"/>
        <w:ind w:left="0" w:leftChars="0" w:right="0" w:rightChars="0" w:firstLine="640"/>
        <w:rPr>
          <w:rFonts w:ascii="楷体_GB2312" w:hAnsi="楷体_GB2312" w:eastAsia="楷体_GB2312" w:cs="楷体_GB2312"/>
          <w:b/>
          <w:bCs w:val="0"/>
          <w:highlight w:val="none"/>
        </w:rPr>
      </w:pPr>
      <w:r>
        <w:rPr>
          <w:rFonts w:hint="eastAsia" w:ascii="楷体_GB2312" w:hAnsi="楷体_GB2312" w:eastAsia="楷体_GB2312" w:cs="楷体_GB2312"/>
          <w:b/>
          <w:bCs w:val="0"/>
          <w:highlight w:val="none"/>
        </w:rPr>
        <w:t>（一）</w:t>
      </w:r>
      <w:bookmarkStart w:id="124" w:name="_Toc471226247"/>
      <w:bookmarkStart w:id="125" w:name="_Toc471226379"/>
      <w:r>
        <w:rPr>
          <w:rFonts w:hint="eastAsia" w:ascii="楷体_GB2312" w:hAnsi="楷体_GB2312" w:eastAsia="楷体_GB2312" w:cs="楷体_GB2312"/>
          <w:b/>
          <w:bCs w:val="0"/>
          <w:highlight w:val="none"/>
          <w:lang w:eastAsia="zh-CN"/>
        </w:rPr>
        <w:t>发展壮大生态产业发展</w:t>
      </w:r>
      <w:bookmarkEnd w:id="124"/>
      <w:bookmarkEnd w:id="125"/>
    </w:p>
    <w:p w14:paraId="6C21D09A">
      <w:pPr>
        <w:pageBreakBefore w:val="0"/>
        <w:kinsoku/>
        <w:wordWrap/>
        <w:overflowPunct/>
        <w:topLinePunct w:val="0"/>
        <w:autoSpaceDE/>
        <w:autoSpaceDN/>
        <w:bidi w:val="0"/>
        <w:spacing w:line="560" w:lineRule="exact"/>
        <w:ind w:left="0" w:leftChars="0" w:right="0" w:rightChars="0" w:firstLine="640"/>
        <w:rPr>
          <w:rFonts w:eastAsia="仿宋_GB2312" w:cs="Times New Roman"/>
          <w:highlight w:val="yellow"/>
        </w:rPr>
      </w:pPr>
      <w:r>
        <w:rPr>
          <w:rFonts w:eastAsia="仿宋_GB2312" w:cs="Times New Roman"/>
          <w:highlight w:val="none"/>
        </w:rPr>
        <w:t>1.</w:t>
      </w:r>
      <w:r>
        <w:rPr>
          <w:rFonts w:hint="default" w:eastAsia="仿宋_GB2312" w:cs="Times New Roman"/>
          <w:highlight w:val="none"/>
        </w:rPr>
        <w:t>大力发展特色现代生态农业</w:t>
      </w:r>
    </w:p>
    <w:p w14:paraId="51DC858F">
      <w:pPr>
        <w:pageBreakBefore w:val="0"/>
        <w:kinsoku/>
        <w:wordWrap/>
        <w:overflowPunct/>
        <w:topLinePunct w:val="0"/>
        <w:autoSpaceDE/>
        <w:autoSpaceDN/>
        <w:bidi w:val="0"/>
        <w:spacing w:line="560" w:lineRule="exact"/>
        <w:ind w:left="0" w:leftChars="0" w:right="0" w:rightChars="0" w:firstLine="640"/>
        <w:rPr>
          <w:rFonts w:hint="default" w:eastAsia="仿宋_GB2312" w:cs="Times New Roman"/>
          <w:highlight w:val="none"/>
        </w:rPr>
      </w:pPr>
      <w:r>
        <w:rPr>
          <w:rFonts w:hint="default" w:eastAsia="仿宋_GB2312" w:cs="Times New Roman"/>
          <w:highlight w:val="none"/>
        </w:rPr>
        <w:t>围绕打造广西现代农业基地的目标，加快转变农业发展方式，大力发展特色农业，全面提升农业质量效益和现代化水平，走产出高效、产品安全、资源节约、环境友好的农业现代化道路；以农业资源市场化配置为依托，以市场需要为导向，以农产品加工、休闲农业、互联网+农业引领，积极推进农村一二三产业融合发展，促进农民增收农业增效。</w:t>
      </w:r>
    </w:p>
    <w:p w14:paraId="239B65A0">
      <w:pPr>
        <w:pageBreakBefore w:val="0"/>
        <w:kinsoku/>
        <w:wordWrap/>
        <w:overflowPunct/>
        <w:topLinePunct w:val="0"/>
        <w:autoSpaceDE/>
        <w:autoSpaceDN/>
        <w:bidi w:val="0"/>
        <w:spacing w:line="560" w:lineRule="exact"/>
        <w:ind w:left="0" w:leftChars="0" w:right="0" w:rightChars="0" w:firstLine="640"/>
        <w:rPr>
          <w:rFonts w:hint="eastAsia" w:eastAsia="仿宋_GB2312" w:cs="Times New Roman"/>
          <w:highlight w:val="none"/>
          <w:lang w:val="en-US" w:eastAsia="zh-CN"/>
        </w:rPr>
      </w:pPr>
      <w:r>
        <w:rPr>
          <w:rFonts w:hint="eastAsia" w:eastAsia="仿宋_GB2312" w:cs="Times New Roman"/>
          <w:b/>
          <w:bCs/>
          <w:highlight w:val="none"/>
          <w:lang w:val="en-US" w:eastAsia="zh-CN"/>
        </w:rPr>
        <w:t>依托农业基础优势，持续发展优质高效农业</w:t>
      </w:r>
      <w:r>
        <w:rPr>
          <w:rFonts w:hint="default" w:eastAsia="仿宋_GB2312" w:cs="Times New Roman"/>
          <w:b/>
          <w:bCs/>
          <w:highlight w:val="none"/>
          <w:lang w:val="en-US"/>
        </w:rPr>
        <w:t>。</w:t>
      </w:r>
      <w:r>
        <w:rPr>
          <w:rFonts w:hint="eastAsia" w:eastAsia="仿宋_GB2312" w:cs="Times New Roman"/>
          <w:highlight w:val="none"/>
          <w:lang w:val="en-US" w:eastAsia="zh-CN"/>
        </w:rPr>
        <w:t>柳江区作为全国蔬菜绿色高产高效创建示范县区、柳州市重要的“南菜北运”基地，通过认定的自治区、市、县、乡级现代农业示范园区有59个，有良好的农业基础优势。大力扶持发展“柳江莲藕”“三都香葱”“鲁比葡萄”等获国家地理标志保护产品的</w:t>
      </w:r>
      <w:r>
        <w:rPr>
          <w:rFonts w:eastAsia="仿宋_GB2312" w:cs="Times New Roman"/>
          <w:highlight w:val="none"/>
        </w:rPr>
        <w:t>特色水果、名优蔬菜、优质畜牧水产、桑蚕、食用菌、林下种养等特色高效农业，探索发展有机农产品生产基地</w:t>
      </w:r>
      <w:r>
        <w:rPr>
          <w:rFonts w:hint="eastAsia" w:eastAsia="仿宋_GB2312" w:cs="Times New Roman"/>
          <w:highlight w:val="none"/>
          <w:lang w:eastAsia="zh-CN"/>
        </w:rPr>
        <w:t>，</w:t>
      </w:r>
      <w:r>
        <w:rPr>
          <w:rFonts w:eastAsia="仿宋_GB2312" w:cs="Times New Roman"/>
          <w:highlight w:val="none"/>
        </w:rPr>
        <w:t>建设一批起点高、规模化、标准化名特优无公害、绿色</w:t>
      </w:r>
      <w:r>
        <w:rPr>
          <w:rFonts w:hint="eastAsia" w:eastAsia="仿宋_GB2312" w:cs="Times New Roman"/>
          <w:highlight w:val="none"/>
          <w:lang w:eastAsia="zh-CN"/>
        </w:rPr>
        <w:t>农业</w:t>
      </w:r>
      <w:r>
        <w:rPr>
          <w:rFonts w:eastAsia="仿宋_GB2312" w:cs="Times New Roman"/>
          <w:highlight w:val="none"/>
        </w:rPr>
        <w:t>生产基地</w:t>
      </w:r>
      <w:r>
        <w:rPr>
          <w:rFonts w:hint="eastAsia" w:eastAsia="仿宋_GB2312" w:cs="Times New Roman"/>
          <w:highlight w:val="none"/>
          <w:lang w:eastAsia="zh-CN"/>
        </w:rPr>
        <w:t>。</w:t>
      </w:r>
      <w:r>
        <w:rPr>
          <w:rFonts w:eastAsia="仿宋_GB2312" w:cs="Times New Roman"/>
          <w:highlight w:val="none"/>
        </w:rPr>
        <w:t>坚持一村一品、一乡一品的品牌发展战略，建立扶持保障体系，</w:t>
      </w:r>
      <w:r>
        <w:rPr>
          <w:rFonts w:hint="eastAsia" w:eastAsia="仿宋_GB2312" w:cs="Times New Roman"/>
          <w:highlight w:val="none"/>
          <w:lang w:eastAsia="zh-CN"/>
        </w:rPr>
        <w:t>研究发展趋势，及时</w:t>
      </w:r>
      <w:r>
        <w:rPr>
          <w:rFonts w:eastAsia="仿宋_GB2312" w:cs="Times New Roman"/>
          <w:highlight w:val="none"/>
        </w:rPr>
        <w:t>调整品种结构，优化产业布局，推进产业化设施化经营，实施标准化生态生产和品牌战略，搭建服务平台和电子商务进农村，突出抓好基地建设。</w:t>
      </w:r>
    </w:p>
    <w:p w14:paraId="3BFD9DDB">
      <w:pPr>
        <w:pageBreakBefore w:val="0"/>
        <w:kinsoku/>
        <w:wordWrap/>
        <w:overflowPunct/>
        <w:topLinePunct w:val="0"/>
        <w:autoSpaceDE/>
        <w:autoSpaceDN/>
        <w:bidi w:val="0"/>
        <w:spacing w:line="560" w:lineRule="exact"/>
        <w:ind w:left="0" w:leftChars="0" w:right="0" w:rightChars="0" w:firstLine="640"/>
        <w:rPr>
          <w:rFonts w:hint="eastAsia" w:eastAsia="仿宋_GB2312" w:cs="Times New Roman"/>
          <w:highlight w:val="none"/>
          <w:lang w:val="en-US" w:eastAsia="zh-CN"/>
        </w:rPr>
      </w:pPr>
      <w:bookmarkStart w:id="126" w:name="_Toc425690485"/>
      <w:r>
        <w:rPr>
          <w:rFonts w:eastAsia="仿宋_GB2312" w:cs="Times New Roman"/>
          <w:b/>
          <w:bCs/>
          <w:highlight w:val="none"/>
        </w:rPr>
        <w:t>大力发展农业生产机械化规模化</w:t>
      </w:r>
      <w:r>
        <w:rPr>
          <w:rFonts w:hint="eastAsia" w:eastAsia="仿宋_GB2312" w:cs="Times New Roman"/>
          <w:b/>
          <w:bCs/>
          <w:highlight w:val="none"/>
          <w:lang w:eastAsia="zh-CN"/>
        </w:rPr>
        <w:t>。</w:t>
      </w:r>
      <w:r>
        <w:rPr>
          <w:rFonts w:eastAsia="仿宋_GB2312" w:cs="Times New Roman"/>
          <w:highlight w:val="none"/>
        </w:rPr>
        <w:t>发挥科技引领作用，用现代科技装备农业，加快推进“小块并大块”、整镇整村项目建设，进一步提高农业机械化水平。大力发展农民专业合作组织，推进农业标准化和信息化，建立健全从农田到餐桌的农产品质量安全全过程监管体系、现代农业科技创新推广体系、农业社会化服务体系。加大农业支持保护力度，提高农业补贴政策针对性、有效性和精准度。引导、扶持和规范土地经营权有序流转，稳步推进农业适度规模经营</w:t>
      </w:r>
    </w:p>
    <w:p w14:paraId="2A851D99">
      <w:pPr>
        <w:pageBreakBefore w:val="0"/>
        <w:kinsoku/>
        <w:wordWrap/>
        <w:overflowPunct/>
        <w:topLinePunct w:val="0"/>
        <w:autoSpaceDE/>
        <w:autoSpaceDN/>
        <w:bidi w:val="0"/>
        <w:spacing w:line="560" w:lineRule="exact"/>
        <w:ind w:left="0" w:leftChars="0" w:right="0" w:rightChars="0" w:firstLine="640"/>
        <w:rPr>
          <w:rFonts w:hint="default" w:eastAsia="仿宋_GB2312" w:cs="Times New Roman"/>
          <w:highlight w:val="none"/>
          <w:lang w:val="en-US"/>
        </w:rPr>
      </w:pPr>
      <w:r>
        <w:rPr>
          <w:rFonts w:hint="default" w:eastAsia="仿宋_GB2312" w:cs="Times New Roman"/>
          <w:b/>
          <w:bCs/>
          <w:highlight w:val="none"/>
          <w:lang w:val="en-US"/>
        </w:rPr>
        <w:t>推行农业绿色生产方式。</w:t>
      </w:r>
      <w:r>
        <w:rPr>
          <w:rFonts w:hint="default" w:eastAsia="仿宋_GB2312" w:cs="Times New Roman"/>
          <w:highlight w:val="none"/>
          <w:lang w:val="en-US"/>
        </w:rPr>
        <w:t>坚持节水优先方针，贯彻落实合同节水、水效领跑、水资源消耗总量和强度双控等政策要求，大力推广保护性耕作、农艺节水保墒、喷灌滴灌等旱作节水技术，建设旱作节水示范区，探索山区旱作节水和高效节水新模式，提高农田灌溉水有效利用系数。提升农产品安全性，严格落实“一控两减三基本”，深入推进化肥农药零增长行动，建立健全化肥农药行业生产监管及产品追溯系统，大力推广“微生物+”生态养殖。普遍实施测土配方施肥，推广种肥同播、水肥一体等科学施肥技术，支持新型农业经营主体和社会化服务组织开展化肥统配统施、病虫害统防统治，以水果、蔬菜和茶叶为重点推行有机肥替代化肥和病虫害绿色防控技术，提升</w:t>
      </w:r>
      <w:r>
        <w:rPr>
          <w:rFonts w:hint="eastAsia" w:eastAsia="仿宋_GB2312" w:cs="Times New Roman"/>
          <w:highlight w:val="none"/>
          <w:lang w:val="en-US" w:eastAsia="zh-CN"/>
        </w:rPr>
        <w:t>柳江区</w:t>
      </w:r>
      <w:r>
        <w:rPr>
          <w:rFonts w:hint="default" w:eastAsia="仿宋_GB2312" w:cs="Times New Roman"/>
          <w:highlight w:val="none"/>
          <w:lang w:val="en-US"/>
        </w:rPr>
        <w:t>主要粮食作物化肥农药利用率。规范使用饲料添加剂，减量使用兽用抗菌药物。建设农业污染监测体系，加强农田林网建设，加强农业生态系统治理，做好污染土壤修复、污染水体生态修复和农业面源污染控制。</w:t>
      </w:r>
    </w:p>
    <w:bookmarkEnd w:id="126"/>
    <w:p w14:paraId="285F19B0">
      <w:pPr>
        <w:pageBreakBefore w:val="0"/>
        <w:kinsoku/>
        <w:wordWrap/>
        <w:overflowPunct/>
        <w:topLinePunct w:val="0"/>
        <w:autoSpaceDE/>
        <w:autoSpaceDN/>
        <w:bidi w:val="0"/>
        <w:spacing w:line="560" w:lineRule="exact"/>
        <w:ind w:left="0" w:leftChars="0" w:right="0" w:rightChars="0" w:firstLine="640"/>
        <w:rPr>
          <w:rFonts w:hint="default" w:eastAsia="仿宋_GB2312" w:cs="Times New Roman"/>
          <w:highlight w:val="none"/>
        </w:rPr>
      </w:pPr>
      <w:r>
        <w:rPr>
          <w:rFonts w:hint="default" w:eastAsia="仿宋_GB2312" w:cs="Times New Roman"/>
          <w:b/>
          <w:bCs/>
          <w:highlight w:val="none"/>
        </w:rPr>
        <w:t>加快生态农产品品牌创建。</w:t>
      </w:r>
      <w:r>
        <w:rPr>
          <w:rFonts w:hint="default" w:eastAsia="仿宋_GB2312" w:cs="Times New Roman"/>
          <w:highlight w:val="none"/>
        </w:rPr>
        <w:t>积极推广高效生态农业种养模式，扩大绿色有机农产品生产基地规模，提供优质安全农产品。着力打造一批质量过硬、市场反响好、品牌竞争力强、消费者欢迎的</w:t>
      </w:r>
      <w:r>
        <w:rPr>
          <w:rFonts w:hint="eastAsia" w:eastAsia="仿宋_GB2312" w:cs="Times New Roman"/>
          <w:highlight w:val="none"/>
          <w:lang w:eastAsia="zh-CN"/>
        </w:rPr>
        <w:t>绿色</w:t>
      </w:r>
      <w:r>
        <w:rPr>
          <w:rFonts w:hint="default" w:eastAsia="仿宋_GB2312" w:cs="Times New Roman"/>
          <w:highlight w:val="none"/>
        </w:rPr>
        <w:t>农产品。大力发展秋冬季农业和休闲农业，推动生态循环农业发展。实施质量兴农战略，加强农产品质量和食品安全标准体系、农业投入品和农产品质量安全追溯体系建设，构建从田间地头到餐桌的全程监管体系。加强农业品牌建设，大力推进</w:t>
      </w:r>
      <w:r>
        <w:rPr>
          <w:rFonts w:hint="eastAsia" w:eastAsia="仿宋_GB2312" w:cs="Times New Roman"/>
          <w:highlight w:val="none"/>
          <w:lang w:eastAsia="zh-CN"/>
        </w:rPr>
        <w:t>“</w:t>
      </w:r>
      <w:r>
        <w:rPr>
          <w:rFonts w:hint="default" w:eastAsia="仿宋_GB2312" w:cs="Times New Roman"/>
          <w:highlight w:val="none"/>
        </w:rPr>
        <w:t>三品一标</w:t>
      </w:r>
      <w:r>
        <w:rPr>
          <w:rFonts w:hint="eastAsia" w:eastAsia="仿宋_GB2312" w:cs="Times New Roman"/>
          <w:highlight w:val="none"/>
          <w:lang w:eastAsia="zh-CN"/>
        </w:rPr>
        <w:t>”</w:t>
      </w:r>
      <w:r>
        <w:rPr>
          <w:rFonts w:hint="default" w:eastAsia="仿宋_GB2312" w:cs="Times New Roman"/>
          <w:highlight w:val="none"/>
        </w:rPr>
        <w:t>认证和农产品食品加工SC认证，建立健全农产品品牌保护机制，大力推动农产品申报国家地理标志产品工作，创建一批农业企业品牌和农产品品牌。进一步扩大国家级地理标志特色产品</w:t>
      </w:r>
      <w:r>
        <w:rPr>
          <w:rFonts w:hint="eastAsia" w:eastAsia="仿宋_GB2312" w:cs="Times New Roman"/>
          <w:highlight w:val="none"/>
          <w:lang w:val="en-US" w:eastAsia="zh-CN"/>
        </w:rPr>
        <w:t>柳江莲藕、三都香葱、鲁比葡萄</w:t>
      </w:r>
      <w:r>
        <w:rPr>
          <w:rFonts w:hint="default" w:eastAsia="仿宋_GB2312" w:cs="Times New Roman"/>
          <w:highlight w:val="none"/>
        </w:rPr>
        <w:t>等公共品牌影响力。</w:t>
      </w:r>
    </w:p>
    <w:p w14:paraId="70CE51AC">
      <w:pPr>
        <w:pageBreakBefore w:val="0"/>
        <w:kinsoku/>
        <w:wordWrap/>
        <w:overflowPunct/>
        <w:topLinePunct w:val="0"/>
        <w:autoSpaceDE/>
        <w:autoSpaceDN/>
        <w:bidi w:val="0"/>
        <w:spacing w:line="560" w:lineRule="exact"/>
        <w:ind w:left="0" w:leftChars="0" w:right="0" w:rightChars="0" w:firstLine="640"/>
        <w:rPr>
          <w:rFonts w:eastAsia="仿宋_GB2312" w:cs="Times New Roman"/>
          <w:highlight w:val="none"/>
        </w:rPr>
      </w:pPr>
      <w:r>
        <w:rPr>
          <w:rFonts w:hint="default" w:eastAsia="仿宋_GB2312" w:cs="Times New Roman"/>
          <w:b/>
          <w:bCs/>
          <w:highlight w:val="none"/>
          <w:lang w:val="en-US"/>
        </w:rPr>
        <w:t>加强农业废弃物资源化利用。</w:t>
      </w:r>
      <w:r>
        <w:rPr>
          <w:rFonts w:hint="default" w:eastAsia="仿宋_GB2312" w:cs="Times New Roman"/>
          <w:highlight w:val="none"/>
          <w:lang w:val="en-US"/>
        </w:rPr>
        <w:t>开展粪污专业化治理，支持规模养殖场建设粪污处理设施，鼓励养殖密集区建设粪污集中处理设施，建立科学规范、权责清晰、约束有力的畜禽养殖废弃物资源化利用制度。多途径、多层次探索秸秆综合利用方式，扶持引导企业、合作社、个人开展农作物秸杆回收利用，推进农作物秸秆肥料化、饲料化、基料化、原料化、能源化等</w:t>
      </w:r>
      <w:r>
        <w:rPr>
          <w:rFonts w:hint="eastAsia" w:eastAsia="仿宋_GB2312" w:cs="Times New Roman"/>
          <w:highlight w:val="none"/>
          <w:lang w:val="en-US" w:eastAsia="zh-CN"/>
        </w:rPr>
        <w:t>“</w:t>
      </w:r>
      <w:r>
        <w:rPr>
          <w:rFonts w:hint="default" w:eastAsia="仿宋_GB2312" w:cs="Times New Roman"/>
          <w:highlight w:val="none"/>
          <w:lang w:val="en-US"/>
        </w:rPr>
        <w:t>五化</w:t>
      </w:r>
      <w:r>
        <w:rPr>
          <w:rFonts w:hint="eastAsia" w:eastAsia="仿宋_GB2312" w:cs="Times New Roman"/>
          <w:highlight w:val="none"/>
          <w:lang w:val="en-US" w:eastAsia="zh-CN"/>
        </w:rPr>
        <w:t>”</w:t>
      </w:r>
      <w:r>
        <w:rPr>
          <w:rFonts w:hint="default" w:eastAsia="仿宋_GB2312" w:cs="Times New Roman"/>
          <w:highlight w:val="none"/>
          <w:lang w:val="en-US"/>
        </w:rPr>
        <w:t>项目，从源头上解决秸秆焚烧带来的污染问题。积极探索、发展</w:t>
      </w:r>
      <w:r>
        <w:rPr>
          <w:rFonts w:hint="eastAsia" w:eastAsia="仿宋_GB2312" w:cs="Times New Roman"/>
          <w:highlight w:val="none"/>
          <w:lang w:val="en-US" w:eastAsia="zh-CN"/>
        </w:rPr>
        <w:t>“</w:t>
      </w:r>
      <w:r>
        <w:rPr>
          <w:rFonts w:hint="default" w:eastAsia="仿宋_GB2312" w:cs="Times New Roman"/>
          <w:highlight w:val="none"/>
          <w:lang w:val="en-US"/>
        </w:rPr>
        <w:t>畜-沼-果菜</w:t>
      </w:r>
      <w:r>
        <w:rPr>
          <w:rFonts w:hint="eastAsia" w:eastAsia="仿宋_GB2312" w:cs="Times New Roman"/>
          <w:highlight w:val="none"/>
          <w:lang w:val="en-US" w:eastAsia="zh-CN"/>
        </w:rPr>
        <w:t>”</w:t>
      </w:r>
      <w:r>
        <w:rPr>
          <w:rFonts w:hint="default" w:eastAsia="仿宋_GB2312" w:cs="Times New Roman"/>
          <w:highlight w:val="none"/>
          <w:lang w:val="en-US"/>
        </w:rPr>
        <w:t>、</w:t>
      </w:r>
      <w:r>
        <w:rPr>
          <w:rFonts w:hint="eastAsia" w:eastAsia="仿宋_GB2312" w:cs="Times New Roman"/>
          <w:highlight w:val="none"/>
          <w:lang w:val="en-US" w:eastAsia="zh-CN"/>
        </w:rPr>
        <w:t>“</w:t>
      </w:r>
      <w:r>
        <w:rPr>
          <w:rFonts w:hint="default" w:eastAsia="仿宋_GB2312" w:cs="Times New Roman"/>
          <w:highlight w:val="none"/>
          <w:lang w:val="en-US"/>
        </w:rPr>
        <w:t>粮-畜-肥-田</w:t>
      </w:r>
      <w:r>
        <w:rPr>
          <w:rFonts w:hint="eastAsia" w:eastAsia="仿宋_GB2312" w:cs="Times New Roman"/>
          <w:highlight w:val="none"/>
          <w:lang w:val="en-US" w:eastAsia="zh-CN"/>
        </w:rPr>
        <w:t>”</w:t>
      </w:r>
      <w:r>
        <w:rPr>
          <w:rFonts w:hint="default" w:eastAsia="仿宋_GB2312" w:cs="Times New Roman"/>
          <w:highlight w:val="none"/>
          <w:lang w:val="en-US"/>
        </w:rPr>
        <w:t>等生态循环生产模式，开展农业可持续发展试验示范区、种养结合循环示范点创建活动</w:t>
      </w:r>
      <w:r>
        <w:rPr>
          <w:rFonts w:eastAsia="仿宋_GB2312" w:cs="Times New Roman"/>
          <w:highlight w:val="none"/>
        </w:rPr>
        <w:t>。</w:t>
      </w:r>
    </w:p>
    <w:p w14:paraId="030E5ACD">
      <w:pPr>
        <w:pageBreakBefore w:val="0"/>
        <w:kinsoku/>
        <w:wordWrap/>
        <w:overflowPunct/>
        <w:topLinePunct w:val="0"/>
        <w:autoSpaceDE/>
        <w:autoSpaceDN/>
        <w:bidi w:val="0"/>
        <w:spacing w:line="560" w:lineRule="exact"/>
        <w:ind w:left="0" w:leftChars="0" w:right="0" w:rightChars="0" w:firstLine="640"/>
        <w:rPr>
          <w:rFonts w:eastAsia="仿宋_GB2312" w:cs="Times New Roman"/>
          <w:highlight w:val="none"/>
        </w:rPr>
      </w:pPr>
      <w:r>
        <w:rPr>
          <w:rFonts w:eastAsia="仿宋_GB2312" w:cs="Times New Roman"/>
          <w:highlight w:val="none"/>
        </w:rPr>
        <w:t>2.</w:t>
      </w:r>
      <w:r>
        <w:rPr>
          <w:rFonts w:hint="default" w:eastAsia="仿宋_GB2312" w:cs="Times New Roman"/>
          <w:highlight w:val="none"/>
        </w:rPr>
        <w:t>加快推进生态工业发展</w:t>
      </w:r>
    </w:p>
    <w:p w14:paraId="47EA62EC">
      <w:pPr>
        <w:pageBreakBefore w:val="0"/>
        <w:kinsoku/>
        <w:wordWrap/>
        <w:overflowPunct/>
        <w:topLinePunct w:val="0"/>
        <w:autoSpaceDE/>
        <w:autoSpaceDN/>
        <w:bidi w:val="0"/>
        <w:adjustRightInd w:val="0"/>
        <w:snapToGrid w:val="0"/>
        <w:spacing w:line="560" w:lineRule="exact"/>
        <w:ind w:left="0" w:leftChars="0" w:right="0" w:rightChars="0" w:firstLine="640"/>
        <w:rPr>
          <w:rFonts w:hint="default" w:eastAsia="仿宋_GB2312" w:cs="Times New Roman"/>
          <w:highlight w:val="none"/>
        </w:rPr>
      </w:pPr>
      <w:r>
        <w:rPr>
          <w:rFonts w:hint="default" w:eastAsia="仿宋_GB2312" w:cs="Times New Roman"/>
          <w:b/>
          <w:bCs/>
          <w:highlight w:val="none"/>
        </w:rPr>
        <w:t>构建生态工业发展模式。</w:t>
      </w:r>
      <w:r>
        <w:rPr>
          <w:rFonts w:hint="default" w:eastAsia="仿宋_GB2312" w:cs="Times New Roman"/>
          <w:highlight w:val="none"/>
        </w:rPr>
        <w:t>积极培育战略性新兴产业，挖掘培育工业新增长点，将生态理念融入到全产业链中，构建生态工业体系，推进工业集聚和绿色发展。以构建上下游完善的产业链为抓手，追求经济效益和环境效益相统一，加强不同产业间的协作，实现资源在产业内自上而下的流动和在产业间的转移，重点提高</w:t>
      </w:r>
      <w:r>
        <w:rPr>
          <w:rFonts w:hint="eastAsia" w:eastAsia="仿宋_GB2312" w:cs="Times New Roman"/>
          <w:highlight w:val="none"/>
          <w:lang w:eastAsia="zh-CN"/>
        </w:rPr>
        <w:t>工业</w:t>
      </w:r>
      <w:r>
        <w:rPr>
          <w:rFonts w:hint="default" w:eastAsia="仿宋_GB2312" w:cs="Times New Roman"/>
          <w:highlight w:val="none"/>
        </w:rPr>
        <w:t>废弃物产出量大的重点行业资源循环利用水平，有效提升废气、废水、固体废弃物的综合利用率，构建以产业协作消除污染物的生态工业发展模式。</w:t>
      </w:r>
    </w:p>
    <w:p w14:paraId="28D44EEA">
      <w:pPr>
        <w:pageBreakBefore w:val="0"/>
        <w:kinsoku/>
        <w:wordWrap/>
        <w:overflowPunct/>
        <w:topLinePunct w:val="0"/>
        <w:autoSpaceDE/>
        <w:autoSpaceDN/>
        <w:bidi w:val="0"/>
        <w:adjustRightInd w:val="0"/>
        <w:snapToGrid w:val="0"/>
        <w:spacing w:line="560" w:lineRule="exact"/>
        <w:ind w:left="0" w:leftChars="0" w:right="0" w:rightChars="0" w:firstLine="640"/>
        <w:rPr>
          <w:rFonts w:cs="Times New Roman"/>
          <w:kern w:val="0"/>
          <w:szCs w:val="32"/>
          <w:highlight w:val="none"/>
        </w:rPr>
      </w:pPr>
      <w:r>
        <w:rPr>
          <w:rFonts w:hint="default" w:eastAsia="仿宋_GB2312" w:cs="Times New Roman"/>
          <w:b/>
          <w:bCs/>
          <w:highlight w:val="none"/>
        </w:rPr>
        <w:t>推动</w:t>
      </w:r>
      <w:r>
        <w:rPr>
          <w:rFonts w:hint="eastAsia" w:eastAsia="仿宋_GB2312" w:cs="Times New Roman"/>
          <w:b/>
          <w:bCs/>
          <w:highlight w:val="none"/>
          <w:lang w:eastAsia="zh-CN"/>
        </w:rPr>
        <w:t>园区产业链延伸</w:t>
      </w:r>
      <w:r>
        <w:rPr>
          <w:rFonts w:hint="default" w:eastAsia="仿宋_GB2312" w:cs="Times New Roman"/>
          <w:b/>
          <w:bCs/>
          <w:highlight w:val="none"/>
        </w:rPr>
        <w:t>发展。</w:t>
      </w:r>
      <w:r>
        <w:rPr>
          <w:rFonts w:hint="default" w:eastAsia="仿宋_GB2312" w:cs="Times New Roman"/>
          <w:highlight w:val="none"/>
        </w:rPr>
        <w:t>立足</w:t>
      </w:r>
      <w:r>
        <w:rPr>
          <w:rFonts w:hint="eastAsia" w:eastAsia="仿宋_GB2312" w:cs="Times New Roman"/>
          <w:highlight w:val="none"/>
          <w:lang w:eastAsia="zh-CN"/>
        </w:rPr>
        <w:t>柳江区内工业</w:t>
      </w:r>
      <w:r>
        <w:rPr>
          <w:rFonts w:hint="default" w:eastAsia="仿宋_GB2312" w:cs="Times New Roman"/>
          <w:highlight w:val="none"/>
        </w:rPr>
        <w:t>资源优势，以市场为导向，以项目建设为抓手，以</w:t>
      </w:r>
      <w:r>
        <w:rPr>
          <w:rFonts w:hint="eastAsia" w:eastAsia="仿宋_GB2312" w:cs="Times New Roman"/>
          <w:highlight w:val="none"/>
          <w:lang w:eastAsia="zh-CN"/>
        </w:rPr>
        <w:t>新兴工业园</w:t>
      </w:r>
      <w:r>
        <w:rPr>
          <w:rFonts w:hint="default" w:eastAsia="仿宋_GB2312" w:cs="Times New Roman"/>
          <w:highlight w:val="none"/>
        </w:rPr>
        <w:t>平台建设、龙头企业培育引进、产业循环生态化改造、知名品牌打造、市场体系建设为突破口，整合</w:t>
      </w:r>
      <w:r>
        <w:rPr>
          <w:rFonts w:hint="eastAsia" w:eastAsia="仿宋_GB2312" w:cs="Times New Roman"/>
          <w:highlight w:val="none"/>
          <w:lang w:eastAsia="zh-CN"/>
        </w:rPr>
        <w:t>区内</w:t>
      </w:r>
      <w:r>
        <w:rPr>
          <w:rFonts w:hint="default" w:eastAsia="仿宋_GB2312" w:cs="Times New Roman"/>
          <w:highlight w:val="none"/>
        </w:rPr>
        <w:t>及周边资源，着力发展</w:t>
      </w:r>
      <w:r>
        <w:rPr>
          <w:rFonts w:hint="eastAsia" w:eastAsia="仿宋_GB2312" w:cs="Times New Roman"/>
          <w:highlight w:val="none"/>
          <w:lang w:eastAsia="zh-CN"/>
        </w:rPr>
        <w:t>园区主导产业及</w:t>
      </w:r>
      <w:r>
        <w:rPr>
          <w:rFonts w:hint="default" w:eastAsia="仿宋_GB2312" w:cs="Times New Roman"/>
          <w:highlight w:val="none"/>
        </w:rPr>
        <w:t>相关产业，延伸产业链条，推动产业集群发展</w:t>
      </w:r>
      <w:r>
        <w:rPr>
          <w:rFonts w:eastAsia="仿宋_GB2312" w:cs="Times New Roman"/>
          <w:highlight w:val="none"/>
        </w:rPr>
        <w:t>。</w:t>
      </w:r>
    </w:p>
    <w:p w14:paraId="6675C3BD">
      <w:pPr>
        <w:pageBreakBefore w:val="0"/>
        <w:kinsoku/>
        <w:wordWrap/>
        <w:overflowPunct/>
        <w:topLinePunct w:val="0"/>
        <w:autoSpaceDE/>
        <w:autoSpaceDN/>
        <w:bidi w:val="0"/>
        <w:spacing w:line="560" w:lineRule="exact"/>
        <w:ind w:left="0" w:leftChars="0" w:right="0" w:rightChars="0" w:firstLine="640"/>
        <w:rPr>
          <w:rFonts w:eastAsia="仿宋_GB2312" w:cs="Times New Roman"/>
          <w:highlight w:val="none"/>
        </w:rPr>
      </w:pPr>
      <w:r>
        <w:rPr>
          <w:rFonts w:eastAsia="仿宋_GB2312" w:cs="Times New Roman"/>
          <w:highlight w:val="none"/>
        </w:rPr>
        <w:t>3.</w:t>
      </w:r>
      <w:r>
        <w:rPr>
          <w:rFonts w:hint="default" w:eastAsia="仿宋_GB2312" w:cs="Times New Roman"/>
          <w:highlight w:val="none"/>
        </w:rPr>
        <w:t>着力发展特色生态旅游业</w:t>
      </w:r>
    </w:p>
    <w:p w14:paraId="44ADEF1E">
      <w:pPr>
        <w:pageBreakBefore w:val="0"/>
        <w:kinsoku/>
        <w:wordWrap/>
        <w:overflowPunct/>
        <w:topLinePunct w:val="0"/>
        <w:autoSpaceDE/>
        <w:autoSpaceDN/>
        <w:bidi w:val="0"/>
        <w:spacing w:line="560" w:lineRule="exact"/>
        <w:ind w:left="0" w:leftChars="0" w:right="0" w:rightChars="0" w:firstLine="640"/>
        <w:rPr>
          <w:rFonts w:hint="default" w:eastAsia="仿宋_GB2312" w:cs="Times New Roman"/>
          <w:highlight w:val="none"/>
        </w:rPr>
      </w:pPr>
      <w:r>
        <w:rPr>
          <w:rFonts w:hint="default" w:eastAsia="仿宋_GB2312" w:cs="Times New Roman"/>
          <w:b/>
          <w:bCs/>
          <w:highlight w:val="none"/>
        </w:rPr>
        <w:t>深化部门体制机制改革。</w:t>
      </w:r>
      <w:r>
        <w:rPr>
          <w:rFonts w:hint="default" w:eastAsia="仿宋_GB2312" w:cs="Times New Roman"/>
          <w:highlight w:val="none"/>
        </w:rPr>
        <w:t>优化旅游市场机制，将旅游工作纳入政府年度考核体系，依托人大和政协加大督察力度，推动规划和政策落地实施，实践</w:t>
      </w:r>
      <w:r>
        <w:rPr>
          <w:rFonts w:hint="eastAsia" w:eastAsia="仿宋_GB2312" w:cs="Times New Roman"/>
          <w:highlight w:val="none"/>
          <w:lang w:eastAsia="zh-CN"/>
        </w:rPr>
        <w:t>“</w:t>
      </w:r>
      <w:r>
        <w:rPr>
          <w:rFonts w:hint="default" w:eastAsia="仿宋_GB2312" w:cs="Times New Roman"/>
          <w:highlight w:val="none"/>
        </w:rPr>
        <w:t>全民共建、共享、共管、共治</w:t>
      </w:r>
      <w:r>
        <w:rPr>
          <w:rFonts w:hint="eastAsia" w:eastAsia="仿宋_GB2312" w:cs="Times New Roman"/>
          <w:highlight w:val="none"/>
          <w:lang w:eastAsia="zh-CN"/>
        </w:rPr>
        <w:t>”</w:t>
      </w:r>
      <w:r>
        <w:rPr>
          <w:rFonts w:hint="default" w:eastAsia="仿宋_GB2312" w:cs="Times New Roman"/>
          <w:highlight w:val="none"/>
        </w:rPr>
        <w:t>的旅游综合发展机制。继续加大在旅游项目、旅游资金、旅游用地、旅游招商等方面的创新，保障</w:t>
      </w:r>
      <w:r>
        <w:rPr>
          <w:rFonts w:hint="eastAsia" w:eastAsia="仿宋_GB2312" w:cs="Times New Roman"/>
          <w:highlight w:val="none"/>
          <w:lang w:eastAsia="zh-CN"/>
        </w:rPr>
        <w:t>柳江区</w:t>
      </w:r>
      <w:r>
        <w:rPr>
          <w:rFonts w:hint="default" w:eastAsia="仿宋_GB2312" w:cs="Times New Roman"/>
          <w:highlight w:val="none"/>
        </w:rPr>
        <w:t>文旅持续健康发展。</w:t>
      </w:r>
    </w:p>
    <w:p w14:paraId="5BA9CBFA">
      <w:pPr>
        <w:pageBreakBefore w:val="0"/>
        <w:kinsoku/>
        <w:wordWrap/>
        <w:overflowPunct/>
        <w:topLinePunct w:val="0"/>
        <w:autoSpaceDE/>
        <w:autoSpaceDN/>
        <w:bidi w:val="0"/>
        <w:spacing w:line="560" w:lineRule="exact"/>
        <w:ind w:left="0" w:leftChars="0" w:right="0" w:rightChars="0" w:firstLine="640"/>
        <w:rPr>
          <w:rFonts w:hint="default" w:eastAsia="仿宋_GB2312" w:cs="Times New Roman"/>
          <w:highlight w:val="none"/>
        </w:rPr>
      </w:pPr>
      <w:r>
        <w:rPr>
          <w:rFonts w:hint="default" w:eastAsia="仿宋_GB2312" w:cs="Times New Roman"/>
          <w:b/>
          <w:bCs/>
          <w:highlight w:val="none"/>
        </w:rPr>
        <w:t>促进文旅产业深度融合。</w:t>
      </w:r>
      <w:r>
        <w:rPr>
          <w:rFonts w:hint="default" w:eastAsia="仿宋_GB2312" w:cs="Times New Roman"/>
          <w:highlight w:val="none"/>
        </w:rPr>
        <w:t>坚持以文塑旅、以旅彰文，依托柳州工业名城和文化旅游名城的优势，因地制宜探索全域旅游绿色发展之路，打造出一批特色旅游品牌，推动文化和旅游融合高质量发展。</w:t>
      </w:r>
      <w:r>
        <w:rPr>
          <w:rFonts w:eastAsia="仿宋_GB2312" w:cs="Times New Roman"/>
          <w:highlight w:val="none"/>
        </w:rPr>
        <w:t>促进旅游与文化的有机结合，开发“柳江人”遗址、客家围屋等文化遗存，推动文化繁荣发展，发展文化创意产业，推进“一乡一节”文化旅游节的建设，打造“文化柳江”的支撑产业，以文化提升旅游的内涵品位，打造休闲、体验、教育、运动等多形式、多层次的文化旅游产品，全面彰显文化底蕴和本土特色，打造属于柳江自己的旅游核心竞争优势。</w:t>
      </w:r>
      <w:r>
        <w:rPr>
          <w:rFonts w:hint="default" w:eastAsia="仿宋_GB2312" w:cs="Times New Roman"/>
          <w:highlight w:val="none"/>
        </w:rPr>
        <w:t>进一步完善景区的旅游基础设施，加快建设旅游公共服务设施项目建设，加快推进智慧旅游建设，实现智能化旅游管理。</w:t>
      </w:r>
    </w:p>
    <w:p w14:paraId="59B0225D">
      <w:pPr>
        <w:pageBreakBefore w:val="0"/>
        <w:kinsoku/>
        <w:wordWrap/>
        <w:overflowPunct/>
        <w:topLinePunct w:val="0"/>
        <w:autoSpaceDE/>
        <w:autoSpaceDN/>
        <w:bidi w:val="0"/>
        <w:spacing w:line="560" w:lineRule="exact"/>
        <w:ind w:left="0" w:leftChars="0" w:right="0" w:rightChars="0" w:firstLine="640"/>
        <w:rPr>
          <w:rFonts w:hint="default" w:eastAsia="仿宋_GB2312" w:cs="Times New Roman"/>
          <w:highlight w:val="none"/>
        </w:rPr>
      </w:pPr>
      <w:r>
        <w:rPr>
          <w:rFonts w:hint="default" w:eastAsia="仿宋_GB2312" w:cs="Times New Roman"/>
          <w:b/>
          <w:bCs/>
          <w:highlight w:val="none"/>
        </w:rPr>
        <w:t>打造特色精品旅游品牌。</w:t>
      </w:r>
      <w:r>
        <w:rPr>
          <w:rFonts w:hint="default" w:eastAsia="仿宋_GB2312" w:cs="Times New Roman"/>
          <w:highlight w:val="none"/>
        </w:rPr>
        <w:t>深入挖掘柳江区旅游资源，提炼生态资源优势，以魅力田园·休闲柳江为主题，打造</w:t>
      </w:r>
      <w:r>
        <w:rPr>
          <w:rFonts w:hint="eastAsia" w:eastAsia="仿宋_GB2312" w:cs="Times New Roman"/>
          <w:highlight w:val="none"/>
          <w:lang w:eastAsia="zh-CN"/>
        </w:rPr>
        <w:t>“</w:t>
      </w:r>
      <w:r>
        <w:rPr>
          <w:rFonts w:hint="default" w:eastAsia="仿宋_GB2312" w:cs="Times New Roman"/>
          <w:highlight w:val="none"/>
        </w:rPr>
        <w:t>风情柳州，休闲柳江</w:t>
      </w:r>
      <w:r>
        <w:rPr>
          <w:rFonts w:hint="eastAsia" w:eastAsia="仿宋_GB2312" w:cs="Times New Roman"/>
          <w:highlight w:val="none"/>
          <w:lang w:eastAsia="zh-CN"/>
        </w:rPr>
        <w:t>”</w:t>
      </w:r>
      <w:r>
        <w:rPr>
          <w:rFonts w:hint="default" w:eastAsia="仿宋_GB2312" w:cs="Times New Roman"/>
          <w:highlight w:val="none"/>
        </w:rPr>
        <w:t>的特色旅游品牌，提升旅游发展品质。</w:t>
      </w:r>
      <w:r>
        <w:rPr>
          <w:rFonts w:eastAsia="仿宋_GB2312" w:cs="Times New Roman"/>
          <w:highlight w:val="none"/>
        </w:rPr>
        <w:t>大力发展农业观光、生态休闲、民俗旅游、体验农业等多种类型的乡村旅游业，推进现代农业与旅游业融合发展，打造“一镇一景”精品线路，重点实施乡村旅游项目建设，加快环都市乡村休闲旅游带建设，包括农耕活动体验产品、农业科普旅游产品、乡村美食旅游产品。</w:t>
      </w:r>
      <w:r>
        <w:rPr>
          <w:rFonts w:hint="eastAsia" w:eastAsia="仿宋_GB2312" w:cs="Times New Roman"/>
          <w:highlight w:val="none"/>
          <w:lang w:eastAsia="zh-CN"/>
        </w:rPr>
        <w:t>利用区位优势，打造休闲养生度假区、生态观光、娱乐体验类等旅游产品，保持优质创新理念办好“广西柳江荷花文化旅游节”，</w:t>
      </w:r>
      <w:r>
        <w:rPr>
          <w:rFonts w:hint="default" w:eastAsia="仿宋_GB2312" w:cs="Times New Roman"/>
          <w:highlight w:val="none"/>
        </w:rPr>
        <w:t>结合乡村振兴战略，完善景区服务配套设施，提高旅游服务水平，形成</w:t>
      </w:r>
      <w:r>
        <w:rPr>
          <w:rFonts w:hint="eastAsia" w:eastAsia="仿宋_GB2312" w:cs="Times New Roman"/>
          <w:highlight w:val="none"/>
          <w:lang w:eastAsia="zh-CN"/>
        </w:rPr>
        <w:t>柳江区</w:t>
      </w:r>
      <w:r>
        <w:rPr>
          <w:rFonts w:hint="default" w:eastAsia="仿宋_GB2312" w:cs="Times New Roman"/>
          <w:highlight w:val="none"/>
        </w:rPr>
        <w:t>特色精品旅游品牌。</w:t>
      </w:r>
    </w:p>
    <w:p w14:paraId="292893AF">
      <w:pPr>
        <w:pageBreakBefore w:val="0"/>
        <w:kinsoku/>
        <w:wordWrap/>
        <w:overflowPunct/>
        <w:topLinePunct w:val="0"/>
        <w:autoSpaceDE/>
        <w:autoSpaceDN/>
        <w:bidi w:val="0"/>
        <w:spacing w:line="560" w:lineRule="exact"/>
        <w:ind w:left="0" w:leftChars="0" w:right="0" w:rightChars="0" w:firstLine="640"/>
        <w:rPr>
          <w:rFonts w:eastAsia="仿宋_GB2312" w:cs="Times New Roman"/>
          <w:highlight w:val="none"/>
        </w:rPr>
      </w:pPr>
      <w:r>
        <w:rPr>
          <w:rFonts w:hint="default" w:eastAsia="仿宋_GB2312" w:cs="Times New Roman"/>
          <w:b/>
          <w:bCs/>
          <w:highlight w:val="none"/>
        </w:rPr>
        <w:t>构建健康有序生态旅游市场环境。</w:t>
      </w:r>
      <w:r>
        <w:rPr>
          <w:rFonts w:hint="default" w:eastAsia="仿宋_GB2312" w:cs="Times New Roman"/>
          <w:highlight w:val="none"/>
        </w:rPr>
        <w:t>积极扩大同东盟地区、粤港澳大湾区以及云南、贵州、湖南等邻近省份的交流合作，扩大市场容量。积极融入自治区</w:t>
      </w:r>
      <w:r>
        <w:rPr>
          <w:rFonts w:hint="eastAsia" w:eastAsia="仿宋_GB2312" w:cs="Times New Roman"/>
          <w:highlight w:val="none"/>
          <w:lang w:eastAsia="zh-CN"/>
        </w:rPr>
        <w:t>“</w:t>
      </w:r>
      <w:r>
        <w:rPr>
          <w:rFonts w:hint="default" w:eastAsia="仿宋_GB2312" w:cs="Times New Roman"/>
          <w:highlight w:val="none"/>
        </w:rPr>
        <w:t>南向北联东融西合</w:t>
      </w:r>
      <w:r>
        <w:rPr>
          <w:rFonts w:hint="eastAsia" w:eastAsia="仿宋_GB2312" w:cs="Times New Roman"/>
          <w:highlight w:val="none"/>
          <w:lang w:eastAsia="zh-CN"/>
        </w:rPr>
        <w:t>”</w:t>
      </w:r>
      <w:r>
        <w:rPr>
          <w:rFonts w:hint="default" w:eastAsia="仿宋_GB2312" w:cs="Times New Roman"/>
          <w:highlight w:val="none"/>
        </w:rPr>
        <w:t>全方位开放发展新格局，主动融入桂林国际旅游胜地。壮大市场主体，优化营商环境，加强市场监管，加大营销推广，推进提振消费。积极创新宣传手段，采取</w:t>
      </w:r>
      <w:r>
        <w:rPr>
          <w:rFonts w:hint="eastAsia" w:eastAsia="仿宋_GB2312" w:cs="Times New Roman"/>
          <w:highlight w:val="none"/>
          <w:lang w:eastAsia="zh-CN"/>
        </w:rPr>
        <w:t>“</w:t>
      </w:r>
      <w:r>
        <w:rPr>
          <w:rFonts w:hint="default" w:eastAsia="仿宋_GB2312" w:cs="Times New Roman"/>
          <w:highlight w:val="none"/>
        </w:rPr>
        <w:t>请进来</w:t>
      </w:r>
      <w:r>
        <w:rPr>
          <w:rFonts w:hint="eastAsia" w:eastAsia="仿宋_GB2312" w:cs="Times New Roman"/>
          <w:highlight w:val="none"/>
          <w:lang w:eastAsia="zh-CN"/>
        </w:rPr>
        <w:t>”</w:t>
      </w:r>
      <w:r>
        <w:rPr>
          <w:rFonts w:hint="default" w:eastAsia="仿宋_GB2312" w:cs="Times New Roman"/>
          <w:highlight w:val="none"/>
        </w:rPr>
        <w:t>和</w:t>
      </w:r>
      <w:r>
        <w:rPr>
          <w:rFonts w:hint="eastAsia" w:eastAsia="仿宋_GB2312" w:cs="Times New Roman"/>
          <w:highlight w:val="none"/>
          <w:lang w:eastAsia="zh-CN"/>
        </w:rPr>
        <w:t>“</w:t>
      </w:r>
      <w:r>
        <w:rPr>
          <w:rFonts w:hint="default" w:eastAsia="仿宋_GB2312" w:cs="Times New Roman"/>
          <w:highlight w:val="none"/>
        </w:rPr>
        <w:t>走出去</w:t>
      </w:r>
      <w:r>
        <w:rPr>
          <w:rFonts w:hint="eastAsia" w:eastAsia="仿宋_GB2312" w:cs="Times New Roman"/>
          <w:highlight w:val="none"/>
          <w:lang w:eastAsia="zh-CN"/>
        </w:rPr>
        <w:t>”</w:t>
      </w:r>
      <w:r>
        <w:rPr>
          <w:rFonts w:hint="default" w:eastAsia="仿宋_GB2312" w:cs="Times New Roman"/>
          <w:highlight w:val="none"/>
        </w:rPr>
        <w:t>的方式，开展旅游宣传推介活动，同时，充分利用各种媒体，重点做好生态、民俗、山水风光等几大文章，加强包装宣传推介力度，全方位宣传促销，不断扩大</w:t>
      </w:r>
      <w:r>
        <w:rPr>
          <w:rFonts w:hint="eastAsia" w:eastAsia="仿宋_GB2312" w:cs="Times New Roman"/>
          <w:highlight w:val="none"/>
          <w:lang w:eastAsia="zh-CN"/>
        </w:rPr>
        <w:t>柳江区</w:t>
      </w:r>
      <w:r>
        <w:rPr>
          <w:rFonts w:hint="default" w:eastAsia="仿宋_GB2312" w:cs="Times New Roman"/>
          <w:highlight w:val="none"/>
        </w:rPr>
        <w:t>生态旅游的影响力和知名度</w:t>
      </w:r>
      <w:r>
        <w:rPr>
          <w:rFonts w:eastAsia="仿宋_GB2312" w:cs="Times New Roman"/>
          <w:highlight w:val="none"/>
        </w:rPr>
        <w:t>。</w:t>
      </w:r>
    </w:p>
    <w:p w14:paraId="5646CD4D">
      <w:pPr>
        <w:pStyle w:val="9"/>
        <w:pageBreakBefore w:val="0"/>
        <w:kinsoku/>
        <w:wordWrap/>
        <w:overflowPunct/>
        <w:topLinePunct w:val="0"/>
        <w:autoSpaceDE/>
        <w:autoSpaceDN/>
        <w:bidi w:val="0"/>
        <w:spacing w:line="560" w:lineRule="exact"/>
        <w:ind w:left="0" w:leftChars="0" w:right="0" w:rightChars="0" w:firstLine="640"/>
        <w:rPr>
          <w:rFonts w:eastAsia="楷体_GB2312" w:cs="Times New Roman"/>
          <w:b/>
          <w:bCs w:val="0"/>
          <w:highlight w:val="none"/>
        </w:rPr>
      </w:pPr>
      <w:r>
        <w:rPr>
          <w:rFonts w:eastAsia="楷体_GB2312" w:cs="Times New Roman"/>
          <w:b/>
          <w:bCs w:val="0"/>
          <w:highlight w:val="none"/>
        </w:rPr>
        <w:t>（二）</w:t>
      </w:r>
      <w:bookmarkStart w:id="127" w:name="_Toc471226380"/>
      <w:bookmarkStart w:id="128" w:name="_Toc471226253"/>
      <w:r>
        <w:rPr>
          <w:rFonts w:hint="eastAsia" w:eastAsia="楷体_GB2312" w:cs="Times New Roman"/>
          <w:b/>
          <w:bCs w:val="0"/>
          <w:highlight w:val="none"/>
          <w:lang w:eastAsia="zh-CN"/>
        </w:rPr>
        <w:t>加快产业结构调整</w:t>
      </w:r>
      <w:bookmarkEnd w:id="127"/>
      <w:bookmarkEnd w:id="128"/>
    </w:p>
    <w:p w14:paraId="0D37F9A3">
      <w:pPr>
        <w:pageBreakBefore w:val="0"/>
        <w:kinsoku/>
        <w:wordWrap/>
        <w:overflowPunct/>
        <w:topLinePunct w:val="0"/>
        <w:autoSpaceDE/>
        <w:autoSpaceDN/>
        <w:bidi w:val="0"/>
        <w:spacing w:line="560" w:lineRule="exact"/>
        <w:ind w:left="0" w:leftChars="0" w:right="0" w:rightChars="0" w:firstLine="640"/>
        <w:rPr>
          <w:rFonts w:eastAsia="仿宋_GB2312" w:cs="Times New Roman"/>
          <w:highlight w:val="none"/>
        </w:rPr>
      </w:pPr>
      <w:r>
        <w:rPr>
          <w:rFonts w:eastAsia="仿宋_GB2312" w:cs="Times New Roman"/>
          <w:highlight w:val="none"/>
        </w:rPr>
        <w:t>1.</w:t>
      </w:r>
      <w:r>
        <w:rPr>
          <w:rFonts w:hint="eastAsia" w:eastAsia="仿宋_GB2312" w:cs="Times New Roman"/>
          <w:highlight w:val="none"/>
          <w:lang w:eastAsia="zh-CN"/>
        </w:rPr>
        <w:t>严格落实产业政策和行业准入</w:t>
      </w:r>
    </w:p>
    <w:p w14:paraId="720A8A26">
      <w:pPr>
        <w:pageBreakBefore w:val="0"/>
        <w:kinsoku/>
        <w:wordWrap/>
        <w:overflowPunct/>
        <w:topLinePunct w:val="0"/>
        <w:autoSpaceDE/>
        <w:autoSpaceDN/>
        <w:bidi w:val="0"/>
        <w:spacing w:line="560" w:lineRule="exact"/>
        <w:ind w:left="0" w:leftChars="0" w:right="0" w:rightChars="0" w:firstLine="640"/>
        <w:rPr>
          <w:rFonts w:cs="Times New Roman"/>
          <w:highlight w:val="none"/>
        </w:rPr>
      </w:pPr>
      <w:r>
        <w:rPr>
          <w:rFonts w:hint="eastAsia" w:eastAsia="仿宋_GB2312" w:cs="Times New Roman"/>
          <w:highlight w:val="none"/>
          <w:lang w:eastAsia="zh-CN"/>
        </w:rPr>
        <w:t>严格执行环境保护、能源资源节约、清洁生产、安全生产、产品质量、职业健康、工业用水等方面法律法规、技术标准，依法淘汰落后生产装备和产能。严格执行固定资产投资项目节能评估审查制度，防止高耗能、高排放行业重复建设和过度投资。禁止新上不符合产业政策的项目，对区域实行能耗总量控制，新建项目主要产品能耗不得超过省定额指标，重点建设项目能耗须达到国内同行业先进水平。强化安全、环保、能耗、质量约束作用，鼓励发展低消耗、低污染的先进产能。切实加强规划环评和项目环评，做到“三个不批”：属于落后生产工艺、技术和设备的不批，企业排污超过总量控制指标要求的不批，超过排污控制指标的地区新增排污量的项目不批</w:t>
      </w:r>
      <w:r>
        <w:rPr>
          <w:rFonts w:eastAsia="仿宋_GB2312" w:cs="Times New Roman"/>
          <w:highlight w:val="none"/>
        </w:rPr>
        <w:t>。</w:t>
      </w:r>
    </w:p>
    <w:p w14:paraId="22398016">
      <w:pPr>
        <w:pageBreakBefore w:val="0"/>
        <w:kinsoku/>
        <w:wordWrap/>
        <w:overflowPunct/>
        <w:topLinePunct w:val="0"/>
        <w:autoSpaceDE/>
        <w:autoSpaceDN/>
        <w:bidi w:val="0"/>
        <w:spacing w:line="560" w:lineRule="exact"/>
        <w:ind w:left="0" w:leftChars="0" w:right="0" w:rightChars="0" w:firstLine="640"/>
        <w:rPr>
          <w:rFonts w:eastAsia="仿宋_GB2312" w:cs="Times New Roman"/>
          <w:highlight w:val="none"/>
        </w:rPr>
      </w:pPr>
      <w:r>
        <w:rPr>
          <w:rFonts w:eastAsia="仿宋_GB2312" w:cs="Times New Roman"/>
          <w:highlight w:val="none"/>
        </w:rPr>
        <w:t>2.</w:t>
      </w:r>
      <w:r>
        <w:rPr>
          <w:rFonts w:hint="default" w:eastAsia="仿宋_GB2312" w:cs="Times New Roman"/>
          <w:highlight w:val="none"/>
          <w:lang w:eastAsia="zh-CN"/>
        </w:rPr>
        <w:t>推进传统工业</w:t>
      </w:r>
      <w:r>
        <w:rPr>
          <w:rFonts w:hint="eastAsia" w:eastAsia="仿宋_GB2312" w:cs="Times New Roman"/>
          <w:highlight w:val="none"/>
          <w:lang w:eastAsia="zh-CN"/>
        </w:rPr>
        <w:t>转型升级</w:t>
      </w:r>
    </w:p>
    <w:p w14:paraId="6405108F">
      <w:pPr>
        <w:pageBreakBefore w:val="0"/>
        <w:kinsoku/>
        <w:wordWrap/>
        <w:overflowPunct/>
        <w:topLinePunct w:val="0"/>
        <w:autoSpaceDE/>
        <w:autoSpaceDN/>
        <w:bidi w:val="0"/>
        <w:spacing w:line="560" w:lineRule="exact"/>
        <w:ind w:left="0" w:leftChars="0" w:right="0" w:rightChars="0" w:firstLine="640"/>
        <w:rPr>
          <w:rFonts w:hint="eastAsia" w:eastAsia="仿宋_GB2312" w:cs="Times New Roman"/>
          <w:highlight w:val="none"/>
        </w:rPr>
      </w:pPr>
      <w:r>
        <w:rPr>
          <w:rFonts w:hint="eastAsia" w:eastAsia="仿宋_GB2312" w:cs="Times New Roman"/>
          <w:b/>
          <w:bCs/>
          <w:highlight w:val="none"/>
        </w:rPr>
        <w:t>构建先进制造业基地。</w:t>
      </w:r>
      <w:r>
        <w:rPr>
          <w:rFonts w:hint="eastAsia" w:eastAsia="仿宋_GB2312" w:cs="Times New Roman"/>
          <w:highlight w:val="none"/>
          <w:lang w:eastAsia="zh-CN"/>
        </w:rPr>
        <w:t>依托柳州市柳江区新兴工业园产业发展规划，围绕“强龙头、补链条、聚集群”，深入实施工业发展“三次创业”战略，全面加快四方片区、柳石路以东片区开发建设，科学规划布局，着力拓展工业发展空间。</w:t>
      </w:r>
    </w:p>
    <w:p w14:paraId="17E4C358">
      <w:pPr>
        <w:pageBreakBefore w:val="0"/>
        <w:kinsoku/>
        <w:wordWrap/>
        <w:overflowPunct/>
        <w:topLinePunct w:val="0"/>
        <w:autoSpaceDE/>
        <w:autoSpaceDN/>
        <w:bidi w:val="0"/>
        <w:spacing w:line="560" w:lineRule="exact"/>
        <w:ind w:left="0" w:leftChars="0" w:right="0" w:rightChars="0" w:firstLine="640"/>
        <w:rPr>
          <w:rFonts w:hint="eastAsia" w:eastAsia="仿宋_GB2312" w:cs="Times New Roman"/>
          <w:highlight w:val="none"/>
        </w:rPr>
      </w:pPr>
      <w:r>
        <w:rPr>
          <w:rFonts w:hint="eastAsia" w:eastAsia="仿宋_GB2312" w:cs="Times New Roman"/>
          <w:b/>
          <w:bCs/>
          <w:highlight w:val="none"/>
        </w:rPr>
        <w:t>发展特色</w:t>
      </w:r>
      <w:r>
        <w:rPr>
          <w:rFonts w:hint="eastAsia" w:eastAsia="仿宋_GB2312" w:cs="Times New Roman"/>
          <w:b/>
          <w:bCs/>
          <w:highlight w:val="none"/>
          <w:lang w:eastAsia="zh-CN"/>
        </w:rPr>
        <w:t>农产品工业</w:t>
      </w:r>
      <w:r>
        <w:rPr>
          <w:rFonts w:hint="eastAsia" w:eastAsia="仿宋_GB2312" w:cs="Times New Roman"/>
          <w:b/>
          <w:bCs/>
          <w:highlight w:val="none"/>
        </w:rPr>
        <w:t>，巩固全国“糖网中心”地位。</w:t>
      </w:r>
      <w:r>
        <w:rPr>
          <w:rFonts w:hint="eastAsia" w:eastAsia="仿宋_GB2312" w:cs="Times New Roman"/>
          <w:highlight w:val="none"/>
        </w:rPr>
        <w:t>大力发展超级稻、桑蚕、水果、蔬菜、畜禽、水产等产业，打造华南地区重要的茧丝绸生产基地和贸易中心</w:t>
      </w:r>
      <w:r>
        <w:rPr>
          <w:rFonts w:hint="eastAsia" w:eastAsia="仿宋_GB2312" w:cs="Times New Roman"/>
          <w:highlight w:val="none"/>
          <w:lang w:eastAsia="zh-CN"/>
        </w:rPr>
        <w:t>，</w:t>
      </w:r>
      <w:r>
        <w:rPr>
          <w:rFonts w:hint="eastAsia" w:eastAsia="仿宋_GB2312" w:cs="Times New Roman"/>
          <w:highlight w:val="none"/>
        </w:rPr>
        <w:t>提高农业产业化经营水平。</w:t>
      </w:r>
    </w:p>
    <w:p w14:paraId="6D7C569B">
      <w:pPr>
        <w:pageBreakBefore w:val="0"/>
        <w:kinsoku/>
        <w:wordWrap/>
        <w:overflowPunct/>
        <w:topLinePunct w:val="0"/>
        <w:autoSpaceDE/>
        <w:autoSpaceDN/>
        <w:bidi w:val="0"/>
        <w:spacing w:line="560" w:lineRule="exact"/>
        <w:ind w:left="0" w:leftChars="0" w:right="0" w:rightChars="0" w:firstLine="640"/>
        <w:rPr>
          <w:rFonts w:eastAsia="仿宋_GB2312" w:cs="Times New Roman"/>
          <w:highlight w:val="none"/>
        </w:rPr>
      </w:pPr>
      <w:r>
        <w:rPr>
          <w:rFonts w:hint="eastAsia" w:eastAsia="仿宋_GB2312" w:cs="Times New Roman"/>
          <w:b/>
          <w:bCs/>
          <w:highlight w:val="none"/>
          <w:lang w:eastAsia="zh-CN"/>
        </w:rPr>
        <w:t>调整工业园区产业结构。</w:t>
      </w:r>
      <w:r>
        <w:rPr>
          <w:rFonts w:hint="eastAsia" w:eastAsia="仿宋_GB2312" w:cs="Times New Roman"/>
          <w:highlight w:val="none"/>
          <w:lang w:eastAsia="zh-CN"/>
        </w:rPr>
        <w:t>以技术改造、工业化信息化融合、绿色发展推动产业转型升级，着力把存量转化为新的增量；加快工业产业结构调整，构建新“332” 园区产业体系；加强园区“双创”平台体系建设，推进工业与服务业深度融合。提升现代化生产性服务业层次。发展工业大数据，引进一批信息化企业落户园区。发展工业物流，实施顺丰创新产业园、新兴合力综合物流园（二期）等一批物流项目，打造生产性物流配套基地，推动生产性服务业向专业化和价值链高端延伸。积极推进空铁联运，着力打造空港物流园，依托白莲机场、为园区提供全方位和综合性的物流服务</w:t>
      </w:r>
      <w:r>
        <w:rPr>
          <w:rFonts w:eastAsia="仿宋_GB2312" w:cs="Times New Roman"/>
          <w:highlight w:val="none"/>
        </w:rPr>
        <w:t>。</w:t>
      </w:r>
    </w:p>
    <w:p w14:paraId="5573D838">
      <w:pPr>
        <w:pageBreakBefore w:val="0"/>
        <w:kinsoku/>
        <w:wordWrap/>
        <w:overflowPunct/>
        <w:topLinePunct w:val="0"/>
        <w:autoSpaceDE/>
        <w:autoSpaceDN/>
        <w:bidi w:val="0"/>
        <w:spacing w:line="560" w:lineRule="exact"/>
        <w:ind w:left="0" w:leftChars="0" w:right="0" w:rightChars="0" w:firstLine="640"/>
        <w:rPr>
          <w:rFonts w:eastAsia="仿宋_GB2312" w:cs="Times New Roman"/>
          <w:highlight w:val="none"/>
        </w:rPr>
      </w:pPr>
      <w:r>
        <w:rPr>
          <w:rFonts w:eastAsia="仿宋_GB2312" w:cs="Times New Roman"/>
          <w:highlight w:val="none"/>
        </w:rPr>
        <w:t>3.</w:t>
      </w:r>
      <w:r>
        <w:rPr>
          <w:rFonts w:hint="eastAsia" w:eastAsia="仿宋_GB2312" w:cs="Times New Roman"/>
          <w:highlight w:val="none"/>
          <w:lang w:eastAsia="zh-CN"/>
        </w:rPr>
        <w:t>加快农业转型升级</w:t>
      </w:r>
    </w:p>
    <w:p w14:paraId="153C7854">
      <w:pPr>
        <w:pageBreakBefore w:val="0"/>
        <w:kinsoku/>
        <w:wordWrap/>
        <w:overflowPunct/>
        <w:topLinePunct w:val="0"/>
        <w:autoSpaceDE/>
        <w:autoSpaceDN/>
        <w:bidi w:val="0"/>
        <w:spacing w:line="560" w:lineRule="exact"/>
        <w:ind w:left="0" w:leftChars="0" w:right="0" w:rightChars="0" w:firstLine="640"/>
        <w:rPr>
          <w:rFonts w:hint="eastAsia" w:eastAsia="仿宋_GB2312" w:cs="Times New Roman"/>
          <w:highlight w:val="none"/>
          <w:lang w:eastAsia="zh-CN"/>
        </w:rPr>
      </w:pPr>
      <w:r>
        <w:rPr>
          <w:rFonts w:hint="default" w:eastAsia="仿宋_GB2312" w:cs="Times New Roman"/>
          <w:b/>
          <w:bCs/>
          <w:highlight w:val="none"/>
        </w:rPr>
        <w:t>壮大特色优势产业</w:t>
      </w:r>
      <w:r>
        <w:rPr>
          <w:rFonts w:hint="eastAsia" w:eastAsia="仿宋_GB2312" w:cs="Times New Roman"/>
          <w:b/>
          <w:bCs/>
          <w:highlight w:val="none"/>
          <w:lang w:eastAsia="zh-CN"/>
        </w:rPr>
        <w:t>，推动建设优势特色产业集群化</w:t>
      </w:r>
      <w:r>
        <w:rPr>
          <w:rFonts w:hint="default" w:eastAsia="仿宋_GB2312" w:cs="Times New Roman"/>
          <w:b/>
          <w:bCs/>
          <w:highlight w:val="none"/>
        </w:rPr>
        <w:t>。</w:t>
      </w:r>
      <w:r>
        <w:rPr>
          <w:rFonts w:hint="default" w:eastAsia="仿宋_GB2312" w:cs="Times New Roman"/>
          <w:highlight w:val="none"/>
        </w:rPr>
        <w:t>立足资源优势，因地制宜扎实推进</w:t>
      </w:r>
      <w:r>
        <w:rPr>
          <w:rFonts w:hint="eastAsia" w:eastAsia="仿宋_GB2312" w:cs="Times New Roman"/>
          <w:highlight w:val="none"/>
          <w:lang w:eastAsia="zh-CN"/>
        </w:rPr>
        <w:t>“</w:t>
      </w:r>
      <w:r>
        <w:rPr>
          <w:rFonts w:hint="default" w:eastAsia="仿宋_GB2312" w:cs="Times New Roman"/>
          <w:highlight w:val="none"/>
        </w:rPr>
        <w:t>一镇一品、一村一特色</w:t>
      </w:r>
      <w:r>
        <w:rPr>
          <w:rFonts w:hint="eastAsia" w:eastAsia="仿宋_GB2312" w:cs="Times New Roman"/>
          <w:highlight w:val="none"/>
          <w:lang w:eastAsia="zh-CN"/>
        </w:rPr>
        <w:t>”</w:t>
      </w:r>
      <w:r>
        <w:rPr>
          <w:rFonts w:hint="default" w:eastAsia="仿宋_GB2312" w:cs="Times New Roman"/>
          <w:highlight w:val="none"/>
        </w:rPr>
        <w:t>，不断优化农业产业结构</w:t>
      </w:r>
      <w:r>
        <w:rPr>
          <w:rFonts w:hint="eastAsia" w:eastAsia="仿宋_GB2312" w:cs="Times New Roman"/>
          <w:highlight w:val="none"/>
          <w:lang w:eastAsia="zh-CN"/>
        </w:rPr>
        <w:t>，积极发展现代农业特色产业，推动精品农业优质化、特色化、品牌化，推动建设优势特色产业集群化。</w:t>
      </w:r>
    </w:p>
    <w:p w14:paraId="576A6796">
      <w:pPr>
        <w:pageBreakBefore w:val="0"/>
        <w:kinsoku/>
        <w:wordWrap/>
        <w:overflowPunct/>
        <w:topLinePunct w:val="0"/>
        <w:autoSpaceDE/>
        <w:autoSpaceDN/>
        <w:bidi w:val="0"/>
        <w:spacing w:line="560" w:lineRule="exact"/>
        <w:ind w:left="0" w:leftChars="0" w:right="0" w:rightChars="0" w:firstLine="640"/>
        <w:rPr>
          <w:rFonts w:hint="default" w:eastAsia="仿宋_GB2312" w:cs="Times New Roman"/>
          <w:highlight w:val="none"/>
        </w:rPr>
      </w:pPr>
      <w:r>
        <w:rPr>
          <w:rFonts w:hint="default" w:eastAsia="仿宋_GB2312" w:cs="Times New Roman"/>
          <w:b/>
          <w:bCs/>
          <w:highlight w:val="none"/>
        </w:rPr>
        <w:t>改善农业基础设施条件，推进适度规模经营。</w:t>
      </w:r>
      <w:r>
        <w:rPr>
          <w:rFonts w:hint="default" w:eastAsia="仿宋_GB2312" w:cs="Times New Roman"/>
          <w:highlight w:val="none"/>
        </w:rPr>
        <w:t>大力抓好农业基础设施建设。鼓励和支持新型农业经营主体发展适度规模经营。加快构建农业生产社会化服务体系，鼓励种植大户、合作社、企业等经营主体为小农户提供粮食生产全程机械化和代耕、代种、代管、代营等社会化服务。</w:t>
      </w:r>
    </w:p>
    <w:p w14:paraId="3AAF5349">
      <w:pPr>
        <w:pageBreakBefore w:val="0"/>
        <w:kinsoku/>
        <w:wordWrap/>
        <w:overflowPunct/>
        <w:topLinePunct w:val="0"/>
        <w:autoSpaceDE/>
        <w:autoSpaceDN/>
        <w:bidi w:val="0"/>
        <w:spacing w:line="560" w:lineRule="exact"/>
        <w:ind w:left="0" w:leftChars="0" w:right="0" w:rightChars="0" w:firstLine="640"/>
        <w:rPr>
          <w:rFonts w:hint="default" w:eastAsia="仿宋_GB2312" w:cs="Times New Roman"/>
          <w:highlight w:val="none"/>
        </w:rPr>
      </w:pPr>
      <w:r>
        <w:rPr>
          <w:rFonts w:hint="default" w:eastAsia="仿宋_GB2312" w:cs="Times New Roman"/>
          <w:b/>
          <w:bCs/>
          <w:highlight w:val="none"/>
        </w:rPr>
        <w:t>培育培强现代种业，强化农业科技和装备支撑。</w:t>
      </w:r>
      <w:r>
        <w:rPr>
          <w:rFonts w:hint="default" w:eastAsia="仿宋_GB2312" w:cs="Times New Roman"/>
          <w:highlight w:val="none"/>
        </w:rPr>
        <w:t>加大科研投入，搭建院校与农业龙头企业联合开展产学研活动的研发合作平台。提升企业自主创新水平，促进科技成果转化。加强优质稻、糖料蔗、柑橘等柳州特色品种的良种繁育基地（供种基地）建设。以柳州特色优势农业为重点，推进农业生产宜机化改造，加快补齐重点环节机械化短板。推进数字技术与农业生产融合发展，加快智能化、自动化成套装备技术的集成应用。</w:t>
      </w:r>
    </w:p>
    <w:p w14:paraId="56302841">
      <w:pPr>
        <w:pageBreakBefore w:val="0"/>
        <w:kinsoku/>
        <w:wordWrap/>
        <w:overflowPunct/>
        <w:topLinePunct w:val="0"/>
        <w:autoSpaceDE/>
        <w:autoSpaceDN/>
        <w:bidi w:val="0"/>
        <w:spacing w:line="560" w:lineRule="exact"/>
        <w:ind w:left="0" w:leftChars="0" w:right="0" w:rightChars="0" w:firstLine="640"/>
        <w:rPr>
          <w:rFonts w:cs="Times New Roman"/>
          <w:highlight w:val="none"/>
        </w:rPr>
      </w:pPr>
      <w:r>
        <w:rPr>
          <w:rFonts w:hint="default" w:eastAsia="仿宋_GB2312" w:cs="Times New Roman"/>
          <w:b/>
          <w:bCs/>
          <w:highlight w:val="none"/>
        </w:rPr>
        <w:t>推进农产品冷链物流体系建设，构建高效农产品市场化流通体系。</w:t>
      </w:r>
      <w:r>
        <w:rPr>
          <w:rFonts w:hint="default" w:eastAsia="仿宋_GB2312" w:cs="Times New Roman"/>
          <w:highlight w:val="none"/>
        </w:rPr>
        <w:t>健全冷链物流标准体系，加快重大农产品流通平台建设，统筹规划农产品冷藏保鲜设施建设。引导农产品批发市场、大型连锁企业等各类市场主体与产地进行对接，建设中转冷藏保鲜设施和果蔬配送中心。加快农村电子商务发展，推动特色农产品信息服务和网上交易，鼓励和引导大型电商企业开展农产品电子商务</w:t>
      </w:r>
      <w:r>
        <w:rPr>
          <w:rFonts w:eastAsia="仿宋_GB2312" w:cs="Times New Roman"/>
          <w:highlight w:val="none"/>
        </w:rPr>
        <w:t>。</w:t>
      </w:r>
    </w:p>
    <w:p w14:paraId="4C24EAB2">
      <w:pPr>
        <w:pStyle w:val="9"/>
        <w:pageBreakBefore w:val="0"/>
        <w:kinsoku/>
        <w:wordWrap/>
        <w:overflowPunct/>
        <w:topLinePunct w:val="0"/>
        <w:autoSpaceDE/>
        <w:autoSpaceDN/>
        <w:bidi w:val="0"/>
        <w:spacing w:line="560" w:lineRule="exact"/>
        <w:ind w:left="0" w:leftChars="0" w:right="0" w:rightChars="0" w:firstLine="640"/>
        <w:rPr>
          <w:rFonts w:eastAsia="楷体_GB2312" w:cs="Times New Roman"/>
          <w:b/>
          <w:bCs w:val="0"/>
          <w:highlight w:val="none"/>
        </w:rPr>
      </w:pPr>
      <w:r>
        <w:rPr>
          <w:rFonts w:eastAsia="楷体_GB2312" w:cs="Times New Roman"/>
          <w:b/>
          <w:bCs w:val="0"/>
          <w:highlight w:val="none"/>
        </w:rPr>
        <w:t>（</w:t>
      </w:r>
      <w:r>
        <w:rPr>
          <w:rFonts w:hint="eastAsia" w:eastAsia="楷体_GB2312" w:cs="Times New Roman"/>
          <w:b/>
          <w:bCs w:val="0"/>
          <w:highlight w:val="none"/>
          <w:lang w:eastAsia="zh-CN"/>
        </w:rPr>
        <w:t>三</w:t>
      </w:r>
      <w:r>
        <w:rPr>
          <w:rFonts w:eastAsia="楷体_GB2312" w:cs="Times New Roman"/>
          <w:b/>
          <w:bCs w:val="0"/>
          <w:highlight w:val="none"/>
        </w:rPr>
        <w:t>）</w:t>
      </w:r>
      <w:r>
        <w:rPr>
          <w:rFonts w:hint="eastAsia" w:eastAsia="楷体_GB2312" w:cs="Times New Roman"/>
          <w:b/>
          <w:bCs w:val="0"/>
          <w:highlight w:val="none"/>
          <w:lang w:eastAsia="zh-CN"/>
        </w:rPr>
        <w:t>加快能源结构调整</w:t>
      </w:r>
    </w:p>
    <w:p w14:paraId="273DE059">
      <w:pPr>
        <w:pageBreakBefore w:val="0"/>
        <w:kinsoku/>
        <w:wordWrap/>
        <w:overflowPunct/>
        <w:topLinePunct w:val="0"/>
        <w:autoSpaceDE/>
        <w:autoSpaceDN/>
        <w:bidi w:val="0"/>
        <w:spacing w:line="560" w:lineRule="exact"/>
        <w:ind w:left="0" w:leftChars="0" w:right="0" w:rightChars="0" w:firstLine="640"/>
        <w:rPr>
          <w:rFonts w:hint="eastAsia" w:ascii="仿宋_GB2312" w:hAnsi="仿宋_GB2312" w:eastAsia="仿宋_GB2312" w:cs="仿宋_GB2312"/>
          <w:highlight w:val="none"/>
          <w:lang w:eastAsia="zh-CN"/>
        </w:rPr>
      </w:pPr>
      <w:bookmarkStart w:id="129" w:name="_Toc22579"/>
      <w:r>
        <w:rPr>
          <w:rFonts w:hint="eastAsia" w:ascii="仿宋_GB2312" w:hAnsi="仿宋_GB2312" w:eastAsia="仿宋_GB2312" w:cs="仿宋_GB2312"/>
          <w:b/>
          <w:bCs/>
          <w:highlight w:val="none"/>
          <w:lang w:eastAsia="zh-CN"/>
        </w:rPr>
        <w:t>持续严把新项目准入关。</w:t>
      </w:r>
      <w:r>
        <w:rPr>
          <w:rFonts w:hint="eastAsia" w:ascii="仿宋_GB2312" w:hAnsi="仿宋_GB2312" w:eastAsia="仿宋_GB2312" w:cs="仿宋_GB2312"/>
          <w:highlight w:val="none"/>
        </w:rPr>
        <w:t>严格控制新建高耗能、高污染和资源消耗型项目，新建项目严格执行国家节能标准，严格执行单位产品能耗限额标准。把好项目环评、能评、安评、土地的审批关，认真执行固定资产投资项目节能评估和审查相关规定。</w:t>
      </w:r>
      <w:r>
        <w:rPr>
          <w:rFonts w:hint="eastAsia" w:ascii="仿宋_GB2312" w:hAnsi="仿宋_GB2312" w:eastAsia="仿宋_GB2312" w:cs="仿宋_GB2312"/>
          <w:highlight w:val="none"/>
          <w:lang w:eastAsia="zh-CN"/>
        </w:rPr>
        <w:t>按照优先安排经济效益好、产业拉动大、能耗投入产出比高的重大产业项目原则，全额保障战略性新兴产业项目以及单位工业增加值能耗低于全市单位工业增加值能耗目标的项目，重点支持已通过节能审查的自治区层面统筹推进重大项目、“双百双新”产业项目。</w:t>
      </w:r>
    </w:p>
    <w:p w14:paraId="5E240854">
      <w:pPr>
        <w:pageBreakBefore w:val="0"/>
        <w:kinsoku/>
        <w:wordWrap/>
        <w:overflowPunct/>
        <w:topLinePunct w:val="0"/>
        <w:autoSpaceDE/>
        <w:autoSpaceDN/>
        <w:bidi w:val="0"/>
        <w:spacing w:line="560" w:lineRule="exact"/>
        <w:ind w:left="0" w:leftChars="0" w:right="0" w:rightChars="0" w:firstLine="640"/>
        <w:rPr>
          <w:rFonts w:hint="eastAsia" w:ascii="仿宋_GB2312" w:hAnsi="仿宋_GB2312" w:eastAsia="仿宋_GB2312" w:cs="仿宋_GB2312"/>
          <w:highlight w:val="none"/>
        </w:rPr>
      </w:pPr>
      <w:r>
        <w:rPr>
          <w:rFonts w:hint="eastAsia" w:ascii="仿宋_GB2312" w:hAnsi="仿宋_GB2312" w:eastAsia="仿宋_GB2312" w:cs="仿宋_GB2312"/>
          <w:b/>
          <w:bCs/>
          <w:highlight w:val="none"/>
        </w:rPr>
        <w:t>持续加强节能管理推进节能技改。</w:t>
      </w:r>
      <w:r>
        <w:rPr>
          <w:rFonts w:hint="eastAsia" w:ascii="仿宋_GB2312" w:hAnsi="仿宋_GB2312" w:eastAsia="仿宋_GB2312" w:cs="仿宋_GB2312"/>
          <w:highlight w:val="none"/>
        </w:rPr>
        <w:t>坚持节约并举、节约优先的方针，加强节能管理。积极推进结构节能、技术节能和管理节能，降低万元生产总值综合能耗。加快普及企业、建筑节能技术，以技改方式提升企业能源利用率，创建节能型建筑行业。扶持一批资源节约和综合利用的技术开发和改造项目，达到高质量发展的目的。</w:t>
      </w:r>
    </w:p>
    <w:p w14:paraId="68AC768A">
      <w:pPr>
        <w:pageBreakBefore w:val="0"/>
        <w:kinsoku/>
        <w:wordWrap/>
        <w:overflowPunct/>
        <w:topLinePunct w:val="0"/>
        <w:autoSpaceDE/>
        <w:autoSpaceDN/>
        <w:bidi w:val="0"/>
        <w:spacing w:line="560" w:lineRule="exact"/>
        <w:ind w:left="0" w:leftChars="0" w:right="0" w:rightChars="0" w:firstLine="640"/>
        <w:rPr>
          <w:rFonts w:hint="eastAsia" w:ascii="仿宋_GB2312" w:hAnsi="仿宋_GB2312" w:eastAsia="仿宋_GB2312" w:cs="仿宋_GB2312"/>
          <w:highlight w:val="none"/>
        </w:rPr>
      </w:pPr>
      <w:r>
        <w:rPr>
          <w:rFonts w:hint="eastAsia" w:ascii="仿宋_GB2312" w:hAnsi="仿宋_GB2312" w:eastAsia="仿宋_GB2312" w:cs="仿宋_GB2312"/>
          <w:b/>
          <w:bCs/>
          <w:highlight w:val="none"/>
        </w:rPr>
        <w:t>持续推进能源网建设。</w:t>
      </w:r>
      <w:r>
        <w:rPr>
          <w:rFonts w:hint="eastAsia" w:ascii="仿宋_GB2312" w:hAnsi="仿宋_GB2312" w:eastAsia="仿宋_GB2312" w:cs="仿宋_GB2312"/>
          <w:highlight w:val="none"/>
        </w:rPr>
        <w:t>围绕</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rPr>
        <w:t>能源网</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rPr>
        <w:t>基础设施补短板建设要求，以电网、风电、光伏、LNG接收站、天然气管网等建设为重点，统筹推进电源、输配电、油气管道、充电设施、其他能源设施等五大类重大项目建设。推进乡村充电设施示范点建设，将新能源汽车推广应用惠及广大乡村百姓。加快能源结构绿色低碳转型。加快发展风电、太阳能发电，因地制宜开发其他可再生能源，增强清洁能源供给能力。推动构建新型电力系统，促进新能源占比逐渐提高。</w:t>
      </w:r>
    </w:p>
    <w:bookmarkEnd w:id="129"/>
    <w:p w14:paraId="23DC1F79">
      <w:pPr>
        <w:pageBreakBefore w:val="0"/>
        <w:kinsoku/>
        <w:wordWrap/>
        <w:overflowPunct/>
        <w:topLinePunct w:val="0"/>
        <w:autoSpaceDE/>
        <w:autoSpaceDN/>
        <w:bidi w:val="0"/>
        <w:spacing w:line="560" w:lineRule="exact"/>
        <w:ind w:left="0" w:leftChars="0" w:right="0" w:rightChars="0" w:firstLine="640"/>
        <w:rPr>
          <w:rFonts w:hint="eastAsia" w:ascii="仿宋_GB2312" w:hAnsi="仿宋_GB2312" w:eastAsia="仿宋_GB2312" w:cs="仿宋_GB2312"/>
          <w:highlight w:val="none"/>
        </w:rPr>
      </w:pPr>
      <w:bookmarkStart w:id="130" w:name="_Toc14752"/>
      <w:r>
        <w:rPr>
          <w:rFonts w:hint="eastAsia" w:ascii="仿宋_GB2312" w:hAnsi="仿宋_GB2312" w:eastAsia="仿宋_GB2312" w:cs="仿宋_GB2312"/>
          <w:b/>
          <w:bCs/>
          <w:highlight w:val="none"/>
        </w:rPr>
        <w:t>积极推广高效节能产品</w:t>
      </w:r>
      <w:bookmarkEnd w:id="130"/>
      <w:r>
        <w:rPr>
          <w:rFonts w:hint="eastAsia" w:ascii="仿宋_GB2312" w:hAnsi="仿宋_GB2312" w:eastAsia="仿宋_GB2312" w:cs="仿宋_GB2312"/>
          <w:b/>
          <w:bCs/>
          <w:highlight w:val="none"/>
          <w:lang w:eastAsia="zh-CN"/>
        </w:rPr>
        <w:t>。</w:t>
      </w:r>
      <w:r>
        <w:rPr>
          <w:rFonts w:hint="eastAsia" w:ascii="仿宋_GB2312" w:hAnsi="仿宋_GB2312" w:eastAsia="仿宋_GB2312" w:cs="仿宋_GB2312"/>
          <w:highlight w:val="none"/>
        </w:rPr>
        <w:t>积极推广高效节能、节水、节材产品，组织适销对路的产品，积极做好供应工作。机关、事业单位等新建项目、改造工程，优先使用国家推广的高效节能产品，实行政府强制性采购。</w:t>
      </w:r>
    </w:p>
    <w:p w14:paraId="26372525">
      <w:pPr>
        <w:pageBreakBefore w:val="0"/>
        <w:kinsoku/>
        <w:wordWrap/>
        <w:overflowPunct/>
        <w:topLinePunct w:val="0"/>
        <w:autoSpaceDE/>
        <w:autoSpaceDN/>
        <w:bidi w:val="0"/>
        <w:spacing w:line="560" w:lineRule="exact"/>
        <w:ind w:left="0" w:leftChars="0" w:right="0" w:rightChars="0" w:firstLine="640"/>
        <w:rPr>
          <w:rFonts w:ascii="仿宋_GB2312" w:hAnsi="仿宋_GB2312" w:eastAsia="仿宋_GB2312" w:cs="仿宋_GB2312"/>
          <w:highlight w:val="yellow"/>
        </w:rPr>
      </w:pPr>
      <w:bookmarkStart w:id="131" w:name="_Toc18212"/>
      <w:r>
        <w:rPr>
          <w:rFonts w:hint="eastAsia" w:ascii="仿宋_GB2312" w:hAnsi="仿宋_GB2312" w:eastAsia="仿宋_GB2312" w:cs="仿宋_GB2312"/>
          <w:b/>
          <w:bCs/>
          <w:highlight w:val="none"/>
        </w:rPr>
        <w:t>加强节能基础能力建设</w:t>
      </w:r>
      <w:bookmarkEnd w:id="131"/>
      <w:r>
        <w:rPr>
          <w:rFonts w:hint="eastAsia" w:ascii="仿宋_GB2312" w:hAnsi="仿宋_GB2312" w:eastAsia="仿宋_GB2312" w:cs="仿宋_GB2312"/>
          <w:b/>
          <w:bCs/>
          <w:highlight w:val="none"/>
          <w:lang w:eastAsia="zh-CN"/>
        </w:rPr>
        <w:t>。</w:t>
      </w:r>
      <w:r>
        <w:rPr>
          <w:rFonts w:hint="eastAsia" w:ascii="仿宋_GB2312" w:hAnsi="仿宋_GB2312" w:eastAsia="仿宋_GB2312" w:cs="仿宋_GB2312"/>
          <w:highlight w:val="none"/>
        </w:rPr>
        <w:t>建立健全节能监察体制，强化执法监督作用，完善节能降耗考核体系。做好节能技术咨询、项目节能评估、能源合同管理等工作，组织节能技术培训，指导企业开展节能活动。 加强对重点耗能企业能源计量工作的指导，督促企业进一步完善能源计量管理制度，加强对重点用能企业的监督管理和服务工作，督促、帮助和引导企业加强能源计量工作，提高能源计量管理水平。</w:t>
      </w:r>
    </w:p>
    <w:p w14:paraId="54EFB802">
      <w:pPr>
        <w:pStyle w:val="9"/>
        <w:pageBreakBefore w:val="0"/>
        <w:kinsoku/>
        <w:wordWrap/>
        <w:overflowPunct/>
        <w:topLinePunct w:val="0"/>
        <w:autoSpaceDE/>
        <w:autoSpaceDN/>
        <w:bidi w:val="0"/>
        <w:spacing w:line="560" w:lineRule="exact"/>
        <w:ind w:left="0" w:leftChars="0" w:right="0" w:rightChars="0" w:firstLine="640"/>
        <w:rPr>
          <w:rFonts w:eastAsia="楷体_GB2312" w:cs="Times New Roman"/>
          <w:b/>
          <w:bCs w:val="0"/>
          <w:highlight w:val="none"/>
        </w:rPr>
      </w:pPr>
      <w:r>
        <w:rPr>
          <w:rFonts w:eastAsia="楷体_GB2312" w:cs="Times New Roman"/>
          <w:b/>
          <w:bCs w:val="0"/>
          <w:highlight w:val="none"/>
        </w:rPr>
        <w:t>（</w:t>
      </w:r>
      <w:r>
        <w:rPr>
          <w:rFonts w:hint="eastAsia" w:eastAsia="楷体_GB2312" w:cs="Times New Roman"/>
          <w:b/>
          <w:bCs w:val="0"/>
          <w:highlight w:val="none"/>
          <w:lang w:eastAsia="zh-CN"/>
        </w:rPr>
        <w:t>四</w:t>
      </w:r>
      <w:r>
        <w:rPr>
          <w:rFonts w:eastAsia="楷体_GB2312" w:cs="Times New Roman"/>
          <w:b/>
          <w:bCs w:val="0"/>
          <w:highlight w:val="none"/>
        </w:rPr>
        <w:t>）</w:t>
      </w:r>
      <w:r>
        <w:rPr>
          <w:rFonts w:hint="eastAsia" w:eastAsia="楷体_GB2312" w:cs="Times New Roman"/>
          <w:b/>
          <w:bCs w:val="0"/>
          <w:highlight w:val="none"/>
          <w:lang w:eastAsia="zh-CN"/>
        </w:rPr>
        <w:t>行业清洁化生产</w:t>
      </w:r>
    </w:p>
    <w:p w14:paraId="0A26CCCA">
      <w:pPr>
        <w:pageBreakBefore w:val="0"/>
        <w:kinsoku/>
        <w:wordWrap/>
        <w:overflowPunct/>
        <w:topLinePunct w:val="0"/>
        <w:autoSpaceDE/>
        <w:autoSpaceDN/>
        <w:bidi w:val="0"/>
        <w:spacing w:line="560" w:lineRule="exact"/>
        <w:ind w:left="0" w:leftChars="0" w:right="0" w:rightChars="0" w:firstLine="640"/>
        <w:rPr>
          <w:rFonts w:hint="default" w:eastAsia="仿宋_GB2312" w:cs="Times New Roman"/>
          <w:highlight w:val="none"/>
        </w:rPr>
      </w:pPr>
      <w:r>
        <w:rPr>
          <w:rFonts w:hint="default" w:eastAsia="仿宋_GB2312" w:cs="Times New Roman"/>
          <w:b/>
          <w:bCs/>
          <w:highlight w:val="none"/>
        </w:rPr>
        <w:t>突出抓好工业清洁生产</w:t>
      </w:r>
      <w:r>
        <w:rPr>
          <w:rFonts w:hint="default" w:eastAsia="仿宋_GB2312" w:cs="Times New Roman"/>
          <w:b/>
          <w:bCs/>
          <w:highlight w:val="none"/>
          <w:lang w:eastAsia="zh-CN"/>
        </w:rPr>
        <w:t>。</w:t>
      </w:r>
      <w:r>
        <w:rPr>
          <w:rFonts w:hint="default" w:eastAsia="仿宋_GB2312" w:cs="Times New Roman"/>
          <w:highlight w:val="none"/>
        </w:rPr>
        <w:t>对标节能减排和碳达峰、碳中和目标，严格</w:t>
      </w:r>
      <w:r>
        <w:rPr>
          <w:rFonts w:hint="eastAsia" w:eastAsia="仿宋_GB2312" w:cs="Times New Roman"/>
          <w:highlight w:val="none"/>
          <w:lang w:eastAsia="zh-CN"/>
        </w:rPr>
        <w:t>柳江区</w:t>
      </w:r>
      <w:r>
        <w:rPr>
          <w:rFonts w:hint="default" w:eastAsia="仿宋_GB2312" w:cs="Times New Roman"/>
          <w:highlight w:val="none"/>
        </w:rPr>
        <w:t>高耗能高排放项目准入，新建、改建、扩建项目应采取先进适用的工艺技术和装备，单位产品能耗、物耗和水耗等达到清洁生产先进水平。对不符合所在地区能耗强度和总量控制相关要求、不符合煤炭消费减量替代或污染物排放区域削减等要求的高耗能高排放项目予以停批、停建，坚决遏制高耗能高排放项目盲目发展。引导企业改进和优化产品和包装物的设计方案，减少产品和包装物在整个生命周期对环境的影响。</w:t>
      </w:r>
    </w:p>
    <w:p w14:paraId="5E5A0F2F">
      <w:pPr>
        <w:pageBreakBefore w:val="0"/>
        <w:kinsoku/>
        <w:wordWrap/>
        <w:overflowPunct/>
        <w:topLinePunct w:val="0"/>
        <w:autoSpaceDE/>
        <w:autoSpaceDN/>
        <w:bidi w:val="0"/>
        <w:spacing w:line="560" w:lineRule="exact"/>
        <w:ind w:left="0" w:leftChars="0" w:right="0" w:rightChars="0" w:firstLine="640"/>
        <w:rPr>
          <w:rFonts w:hint="default" w:eastAsia="仿宋_GB2312" w:cs="Times New Roman"/>
          <w:highlight w:val="none"/>
          <w:lang w:eastAsia="zh-CN"/>
        </w:rPr>
      </w:pPr>
      <w:r>
        <w:rPr>
          <w:rFonts w:hint="default" w:eastAsia="仿宋_GB2312" w:cs="Times New Roman"/>
          <w:b/>
          <w:bCs/>
          <w:highlight w:val="none"/>
        </w:rPr>
        <w:t>加快推行农业清洁生产</w:t>
      </w:r>
      <w:r>
        <w:rPr>
          <w:rFonts w:hint="default" w:eastAsia="仿宋_GB2312" w:cs="Times New Roman"/>
          <w:b/>
          <w:bCs/>
          <w:highlight w:val="none"/>
          <w:lang w:eastAsia="zh-CN"/>
        </w:rPr>
        <w:t>。</w:t>
      </w:r>
      <w:r>
        <w:rPr>
          <w:rFonts w:hint="default" w:eastAsia="仿宋_GB2312" w:cs="Times New Roman"/>
          <w:highlight w:val="none"/>
        </w:rPr>
        <w:t>推行标准化规模化养殖，配套建设粪便污水贮存、处理、利用设施，改进设施养殖工艺。推广配方肥、专用肥、生物肥料、缓控释肥等新型肥料，开展测土配方施肥技术，推广精准施肥技术和机具，精准施肥，提高肥料利用率。推广有机肥、沼肥，鼓励秸秆还田、发展绿肥，减少化肥实施量。推广病虫害绿色防治，应用农业防治、生物防治、物理防治，或与化学防治相结合的绿色防治技术。强化控塑行动，治理好白色污染，鼓励研发和使用可降解地膜</w:t>
      </w:r>
      <w:r>
        <w:rPr>
          <w:rFonts w:hint="default" w:eastAsia="仿宋_GB2312" w:cs="Times New Roman"/>
          <w:highlight w:val="none"/>
          <w:lang w:eastAsia="zh-CN"/>
        </w:rPr>
        <w:t>。</w:t>
      </w:r>
    </w:p>
    <w:p w14:paraId="18E9E5FE">
      <w:pPr>
        <w:pageBreakBefore w:val="0"/>
        <w:kinsoku/>
        <w:wordWrap/>
        <w:overflowPunct/>
        <w:topLinePunct w:val="0"/>
        <w:autoSpaceDE/>
        <w:autoSpaceDN/>
        <w:bidi w:val="0"/>
        <w:spacing w:line="560" w:lineRule="exact"/>
        <w:ind w:left="0" w:leftChars="0" w:right="0" w:rightChars="0" w:firstLine="640"/>
        <w:rPr>
          <w:rFonts w:hint="eastAsia" w:eastAsia="仿宋_GB2312" w:cs="Times New Roman"/>
          <w:highlight w:val="none"/>
          <w:lang w:eastAsia="zh-CN"/>
        </w:rPr>
      </w:pPr>
      <w:r>
        <w:rPr>
          <w:rFonts w:hint="default" w:eastAsia="仿宋_GB2312" w:cs="Times New Roman"/>
          <w:b/>
          <w:bCs/>
          <w:highlight w:val="none"/>
        </w:rPr>
        <w:t>持续发展可再生清洁能源。</w:t>
      </w:r>
      <w:r>
        <w:rPr>
          <w:rFonts w:hint="default" w:eastAsia="仿宋_GB2312" w:cs="Times New Roman"/>
          <w:highlight w:val="none"/>
        </w:rPr>
        <w:t>优化能源结构，构建清洁能源体系，推进</w:t>
      </w:r>
      <w:r>
        <w:rPr>
          <w:rFonts w:hint="eastAsia" w:eastAsia="仿宋_GB2312" w:cs="Times New Roman"/>
          <w:highlight w:val="none"/>
          <w:lang w:eastAsia="zh-CN"/>
        </w:rPr>
        <w:t>“</w:t>
      </w:r>
      <w:r>
        <w:rPr>
          <w:rFonts w:hint="default" w:eastAsia="仿宋_GB2312" w:cs="Times New Roman"/>
          <w:highlight w:val="none"/>
        </w:rPr>
        <w:t>煤改气</w:t>
      </w:r>
      <w:r>
        <w:rPr>
          <w:rFonts w:hint="eastAsia" w:eastAsia="仿宋_GB2312" w:cs="Times New Roman"/>
          <w:highlight w:val="none"/>
          <w:lang w:eastAsia="zh-CN"/>
        </w:rPr>
        <w:t>”</w:t>
      </w:r>
      <w:r>
        <w:rPr>
          <w:rFonts w:hint="default" w:eastAsia="仿宋_GB2312" w:cs="Times New Roman"/>
          <w:highlight w:val="none"/>
        </w:rPr>
        <w:t>、</w:t>
      </w:r>
      <w:r>
        <w:rPr>
          <w:rFonts w:hint="eastAsia" w:eastAsia="仿宋_GB2312" w:cs="Times New Roman"/>
          <w:highlight w:val="none"/>
          <w:lang w:eastAsia="zh-CN"/>
        </w:rPr>
        <w:t>“</w:t>
      </w:r>
      <w:r>
        <w:rPr>
          <w:rFonts w:hint="default" w:eastAsia="仿宋_GB2312" w:cs="Times New Roman"/>
          <w:highlight w:val="none"/>
        </w:rPr>
        <w:t>油改气</w:t>
      </w:r>
      <w:r>
        <w:rPr>
          <w:rFonts w:hint="eastAsia" w:eastAsia="仿宋_GB2312" w:cs="Times New Roman"/>
          <w:highlight w:val="none"/>
          <w:lang w:eastAsia="zh-CN"/>
        </w:rPr>
        <w:t>”</w:t>
      </w:r>
      <w:r>
        <w:rPr>
          <w:rFonts w:hint="default" w:eastAsia="仿宋_GB2312" w:cs="Times New Roman"/>
          <w:highlight w:val="none"/>
        </w:rPr>
        <w:t>及</w:t>
      </w:r>
      <w:r>
        <w:rPr>
          <w:rFonts w:hint="eastAsia" w:eastAsia="仿宋_GB2312" w:cs="Times New Roman"/>
          <w:highlight w:val="none"/>
          <w:lang w:eastAsia="zh-CN"/>
        </w:rPr>
        <w:t>“</w:t>
      </w:r>
      <w:r>
        <w:rPr>
          <w:rFonts w:hint="default" w:eastAsia="仿宋_GB2312" w:cs="Times New Roman"/>
          <w:highlight w:val="none"/>
        </w:rPr>
        <w:t>电能替代</w:t>
      </w:r>
      <w:r>
        <w:rPr>
          <w:rFonts w:hint="eastAsia" w:eastAsia="仿宋_GB2312" w:cs="Times New Roman"/>
          <w:highlight w:val="none"/>
          <w:lang w:eastAsia="zh-CN"/>
        </w:rPr>
        <w:t>”</w:t>
      </w:r>
      <w:r>
        <w:rPr>
          <w:rFonts w:hint="default" w:eastAsia="仿宋_GB2312" w:cs="Times New Roman"/>
          <w:highlight w:val="none"/>
        </w:rPr>
        <w:t>相关工作，风力发电、光伏发电和生物质能发电等可再生能源开发利用</w:t>
      </w:r>
      <w:r>
        <w:rPr>
          <w:rFonts w:hint="eastAsia" w:eastAsia="仿宋_GB2312" w:cs="Times New Roman"/>
          <w:highlight w:val="none"/>
          <w:lang w:eastAsia="zh-CN"/>
        </w:rPr>
        <w:t>。持续推进柳江区土博风电场项目、天润柳江区三都镇渔-风-光互补发电项目等</w:t>
      </w:r>
      <w:r>
        <w:rPr>
          <w:rFonts w:hint="default" w:eastAsia="仿宋_GB2312" w:cs="Times New Roman"/>
          <w:highlight w:val="none"/>
        </w:rPr>
        <w:t>清洁能源项目建设，同时调整优化变电站布局及城乡电网建设改造，建立适应新能源接入需要的现代化电网</w:t>
      </w:r>
      <w:r>
        <w:rPr>
          <w:rFonts w:hint="eastAsia" w:eastAsia="仿宋_GB2312" w:cs="Times New Roman"/>
          <w:highlight w:val="none"/>
          <w:lang w:eastAsia="zh-CN"/>
        </w:rPr>
        <w:t>。</w:t>
      </w:r>
    </w:p>
    <w:p w14:paraId="783241A7">
      <w:pPr>
        <w:pStyle w:val="9"/>
        <w:pageBreakBefore w:val="0"/>
        <w:kinsoku/>
        <w:wordWrap/>
        <w:overflowPunct/>
        <w:topLinePunct w:val="0"/>
        <w:autoSpaceDE/>
        <w:autoSpaceDN/>
        <w:bidi w:val="0"/>
        <w:spacing w:line="560" w:lineRule="exact"/>
        <w:ind w:left="0" w:leftChars="0" w:right="0" w:rightChars="0" w:firstLine="640"/>
        <w:rPr>
          <w:rFonts w:eastAsia="楷体_GB2312" w:cs="Times New Roman"/>
          <w:b/>
          <w:bCs w:val="0"/>
          <w:highlight w:val="none"/>
        </w:rPr>
      </w:pPr>
      <w:r>
        <w:rPr>
          <w:rFonts w:eastAsia="楷体_GB2312" w:cs="Times New Roman"/>
          <w:b/>
          <w:bCs w:val="0"/>
          <w:highlight w:val="none"/>
        </w:rPr>
        <w:t>（</w:t>
      </w:r>
      <w:r>
        <w:rPr>
          <w:rFonts w:hint="eastAsia" w:eastAsia="楷体_GB2312" w:cs="Times New Roman"/>
          <w:b/>
          <w:bCs w:val="0"/>
          <w:highlight w:val="none"/>
          <w:lang w:eastAsia="zh-CN"/>
        </w:rPr>
        <w:t>五</w:t>
      </w:r>
      <w:r>
        <w:rPr>
          <w:rFonts w:eastAsia="楷体_GB2312" w:cs="Times New Roman"/>
          <w:b/>
          <w:bCs w:val="0"/>
          <w:highlight w:val="none"/>
        </w:rPr>
        <w:t>）</w:t>
      </w:r>
      <w:r>
        <w:rPr>
          <w:rFonts w:hint="eastAsia" w:eastAsia="楷体_GB2312" w:cs="Times New Roman"/>
          <w:b/>
          <w:bCs w:val="0"/>
          <w:highlight w:val="none"/>
          <w:lang w:eastAsia="zh-CN"/>
        </w:rPr>
        <w:t>探索园区循环化改造</w:t>
      </w:r>
    </w:p>
    <w:p w14:paraId="1045F489">
      <w:pPr>
        <w:pageBreakBefore w:val="0"/>
        <w:kinsoku/>
        <w:wordWrap/>
        <w:overflowPunct/>
        <w:topLinePunct w:val="0"/>
        <w:autoSpaceDE/>
        <w:autoSpaceDN/>
        <w:bidi w:val="0"/>
        <w:spacing w:line="560" w:lineRule="exact"/>
        <w:ind w:left="0" w:leftChars="0" w:right="0" w:rightChars="0" w:firstLine="640"/>
        <w:rPr>
          <w:rFonts w:cs="Times New Roman"/>
          <w:highlight w:val="yellow"/>
        </w:rPr>
      </w:pPr>
      <w:r>
        <w:rPr>
          <w:rFonts w:hint="default" w:eastAsia="仿宋_GB2312" w:cs="Times New Roman"/>
          <w:highlight w:val="none"/>
        </w:rPr>
        <w:t>以</w:t>
      </w:r>
      <w:r>
        <w:rPr>
          <w:rFonts w:hint="default" w:eastAsia="仿宋_GB2312" w:cs="Times New Roman"/>
          <w:highlight w:val="none"/>
          <w:lang w:eastAsia="zh-CN"/>
        </w:rPr>
        <w:t>新兴工业园</w:t>
      </w:r>
      <w:r>
        <w:rPr>
          <w:rFonts w:hint="default" w:eastAsia="仿宋_GB2312" w:cs="Times New Roman"/>
          <w:highlight w:val="none"/>
        </w:rPr>
        <w:t>为试点，着力推进产业园区进行循环化改造，把循环化改造作为园区加快转变经济发展方式、调整经济结构的有效实现形式，提高资源产出率，按照</w:t>
      </w:r>
      <w:r>
        <w:rPr>
          <w:rFonts w:hint="eastAsia" w:eastAsia="仿宋_GB2312" w:cs="Times New Roman"/>
          <w:highlight w:val="none"/>
          <w:lang w:eastAsia="zh-CN"/>
        </w:rPr>
        <w:t>“</w:t>
      </w:r>
      <w:r>
        <w:rPr>
          <w:rFonts w:hint="default" w:eastAsia="仿宋_GB2312" w:cs="Times New Roman"/>
          <w:highlight w:val="none"/>
        </w:rPr>
        <w:t>布局优化、产业成链、企业集群、物质循环、创新管理</w:t>
      </w:r>
      <w:r>
        <w:rPr>
          <w:rFonts w:hint="eastAsia" w:eastAsia="仿宋_GB2312" w:cs="Times New Roman"/>
          <w:highlight w:val="none"/>
          <w:lang w:eastAsia="zh-CN"/>
        </w:rPr>
        <w:t>”</w:t>
      </w:r>
      <w:r>
        <w:rPr>
          <w:rFonts w:hint="default" w:eastAsia="仿宋_GB2312" w:cs="Times New Roman"/>
          <w:highlight w:val="none"/>
        </w:rPr>
        <w:t>的要求，统筹规划园区空间布局、调整产业结构，优化资源配置，推行清洁生产，推进园区企业间废物交换利用、能量梯级利用，共享资源，共同使用基础设施，形成低消耗、低排放、高效率、能循环的现代产业体系，把园区改造成为</w:t>
      </w:r>
      <w:r>
        <w:rPr>
          <w:rFonts w:hint="eastAsia" w:eastAsia="仿宋_GB2312" w:cs="Times New Roman"/>
          <w:highlight w:val="none"/>
          <w:lang w:eastAsia="zh-CN"/>
        </w:rPr>
        <w:t>“</w:t>
      </w:r>
      <w:r>
        <w:rPr>
          <w:rFonts w:hint="default" w:eastAsia="仿宋_GB2312" w:cs="Times New Roman"/>
          <w:highlight w:val="none"/>
        </w:rPr>
        <w:t>经济快速发展、资源高效利用、环境优美清洁、生态良性循环</w:t>
      </w:r>
      <w:r>
        <w:rPr>
          <w:rFonts w:hint="eastAsia" w:eastAsia="仿宋_GB2312" w:cs="Times New Roman"/>
          <w:highlight w:val="none"/>
          <w:lang w:eastAsia="zh-CN"/>
        </w:rPr>
        <w:t>”</w:t>
      </w:r>
      <w:r>
        <w:rPr>
          <w:rFonts w:hint="default" w:eastAsia="仿宋_GB2312" w:cs="Times New Roman"/>
          <w:highlight w:val="none"/>
        </w:rPr>
        <w:t>的循环经济示范园区。同时，加快建设完善工业集中区基础及环保配套设施，提升园区平台承载力，着力打造循环生态型工业园区，促进工业集聚和绿色发展</w:t>
      </w:r>
      <w:r>
        <w:rPr>
          <w:rFonts w:eastAsia="仿宋_GB2312" w:cs="Times New Roman"/>
          <w:highlight w:val="none"/>
        </w:rPr>
        <w:t>。</w:t>
      </w:r>
    </w:p>
    <w:p w14:paraId="7B05896C">
      <w:pPr>
        <w:pStyle w:val="8"/>
        <w:pageBreakBefore w:val="0"/>
        <w:kinsoku/>
        <w:wordWrap/>
        <w:overflowPunct/>
        <w:topLinePunct w:val="0"/>
        <w:autoSpaceDE/>
        <w:autoSpaceDN/>
        <w:bidi w:val="0"/>
        <w:spacing w:line="560" w:lineRule="exact"/>
        <w:ind w:left="0" w:leftChars="0" w:right="0" w:rightChars="0" w:firstLine="640"/>
        <w:rPr>
          <w:rFonts w:ascii="Times New Roman" w:hAnsi="Times New Roman" w:cs="Times New Roman"/>
          <w:b w:val="0"/>
          <w:bCs w:val="0"/>
          <w:highlight w:val="none"/>
        </w:rPr>
      </w:pPr>
      <w:bookmarkStart w:id="132" w:name="_Toc21301"/>
      <w:bookmarkStart w:id="133" w:name="_Toc15614"/>
      <w:bookmarkStart w:id="134" w:name="_Toc11295"/>
      <w:bookmarkStart w:id="135" w:name="_Toc9694"/>
      <w:bookmarkStart w:id="136" w:name="_Toc13602"/>
      <w:bookmarkStart w:id="137" w:name="_Toc28939"/>
      <w:bookmarkStart w:id="138" w:name="_Toc23386"/>
      <w:r>
        <w:rPr>
          <w:rFonts w:ascii="Times New Roman" w:hAnsi="Times New Roman" w:cs="Times New Roman"/>
          <w:b w:val="0"/>
          <w:bCs w:val="0"/>
          <w:highlight w:val="none"/>
        </w:rPr>
        <w:t>五、</w:t>
      </w:r>
      <w:bookmarkStart w:id="139" w:name="_Toc27641"/>
      <w:r>
        <w:rPr>
          <w:rFonts w:hint="eastAsia" w:ascii="Times New Roman" w:hAnsi="Times New Roman" w:cs="Times New Roman"/>
          <w:b w:val="0"/>
          <w:bCs w:val="0"/>
          <w:highlight w:val="none"/>
          <w:lang w:eastAsia="zh-CN"/>
        </w:rPr>
        <w:t>生态</w:t>
      </w:r>
      <w:r>
        <w:rPr>
          <w:rFonts w:hint="eastAsia" w:ascii="Times New Roman" w:hAnsi="Times New Roman" w:cs="Times New Roman"/>
          <w:b w:val="0"/>
          <w:bCs w:val="0"/>
          <w:highlight w:val="none"/>
        </w:rPr>
        <w:t>生活</w:t>
      </w:r>
      <w:r>
        <w:rPr>
          <w:rFonts w:hint="eastAsia" w:ascii="Times New Roman" w:hAnsi="Times New Roman" w:cs="Times New Roman"/>
          <w:b w:val="0"/>
          <w:bCs w:val="0"/>
          <w:highlight w:val="none"/>
          <w:lang w:eastAsia="zh-CN"/>
        </w:rPr>
        <w:t>体系建设</w:t>
      </w:r>
      <w:bookmarkEnd w:id="132"/>
      <w:bookmarkEnd w:id="133"/>
      <w:bookmarkEnd w:id="134"/>
      <w:bookmarkEnd w:id="135"/>
      <w:bookmarkEnd w:id="136"/>
      <w:bookmarkEnd w:id="137"/>
      <w:bookmarkEnd w:id="138"/>
      <w:bookmarkEnd w:id="139"/>
    </w:p>
    <w:p w14:paraId="57CB44AD">
      <w:pPr>
        <w:pStyle w:val="9"/>
        <w:pageBreakBefore w:val="0"/>
        <w:kinsoku/>
        <w:wordWrap/>
        <w:overflowPunct/>
        <w:topLinePunct w:val="0"/>
        <w:autoSpaceDE/>
        <w:autoSpaceDN/>
        <w:bidi w:val="0"/>
        <w:spacing w:line="560" w:lineRule="exact"/>
        <w:ind w:left="0" w:leftChars="0" w:right="0" w:rightChars="0" w:firstLine="640"/>
        <w:rPr>
          <w:rFonts w:eastAsia="楷体_GB2312" w:cs="Times New Roman"/>
          <w:b/>
          <w:bCs w:val="0"/>
          <w:highlight w:val="none"/>
        </w:rPr>
      </w:pPr>
      <w:r>
        <w:rPr>
          <w:rFonts w:eastAsia="楷体_GB2312" w:cs="Times New Roman"/>
          <w:b/>
          <w:bCs w:val="0"/>
          <w:highlight w:val="none"/>
        </w:rPr>
        <w:t>（一）</w:t>
      </w:r>
      <w:r>
        <w:rPr>
          <w:rFonts w:hint="eastAsia" w:eastAsia="楷体_GB2312" w:cs="Times New Roman"/>
          <w:b/>
          <w:bCs w:val="0"/>
          <w:highlight w:val="none"/>
          <w:lang w:eastAsia="zh-CN"/>
        </w:rPr>
        <w:t>推进城乡环境一体化建设</w:t>
      </w:r>
    </w:p>
    <w:p w14:paraId="6FC7830C">
      <w:pPr>
        <w:pageBreakBefore w:val="0"/>
        <w:kinsoku/>
        <w:wordWrap/>
        <w:overflowPunct/>
        <w:topLinePunct w:val="0"/>
        <w:autoSpaceDE/>
        <w:autoSpaceDN/>
        <w:bidi w:val="0"/>
        <w:spacing w:line="560" w:lineRule="exact"/>
        <w:ind w:left="0" w:leftChars="0" w:right="0" w:rightChars="0" w:firstLine="640"/>
        <w:rPr>
          <w:rFonts w:hint="eastAsia" w:eastAsia="仿宋_GB2312" w:cs="Times New Roman"/>
          <w:highlight w:val="none"/>
        </w:rPr>
      </w:pPr>
      <w:r>
        <w:rPr>
          <w:rFonts w:hint="eastAsia" w:eastAsia="仿宋_GB2312" w:cs="Times New Roman"/>
          <w:b/>
          <w:bCs/>
          <w:highlight w:val="none"/>
        </w:rPr>
        <w:t>保障饮用水安全</w:t>
      </w:r>
      <w:r>
        <w:rPr>
          <w:rFonts w:hint="eastAsia" w:eastAsia="仿宋_GB2312" w:cs="Times New Roman"/>
          <w:b/>
          <w:bCs/>
          <w:highlight w:val="none"/>
          <w:lang w:eastAsia="zh-CN"/>
        </w:rPr>
        <w:t>。</w:t>
      </w:r>
      <w:r>
        <w:rPr>
          <w:rFonts w:hint="eastAsia" w:eastAsia="仿宋_GB2312" w:cs="Times New Roman"/>
          <w:highlight w:val="none"/>
        </w:rPr>
        <w:t>加强从水源到水龙头水质全过程监管，推进集中式饮用水水源环境保护规范化建设，全面排查饮用水水源保护区内的违法违规行为</w:t>
      </w:r>
      <w:r>
        <w:rPr>
          <w:rFonts w:hint="eastAsia" w:eastAsia="仿宋_GB2312" w:cs="Times New Roman"/>
          <w:highlight w:val="none"/>
          <w:lang w:eastAsia="zh-CN"/>
        </w:rPr>
        <w:t>；</w:t>
      </w:r>
      <w:r>
        <w:rPr>
          <w:rFonts w:hint="eastAsia" w:eastAsia="仿宋_GB2312" w:cs="Times New Roman"/>
          <w:highlight w:val="none"/>
        </w:rPr>
        <w:t>建立健全饮用水水源保护长效管理机制，定期开展集中式饮用水源地环境状况调查评估，深入实施饮用水源地专项整治；加强农村饮用水源地规范化建设，加快保护区标志和防护隔离设施的设置，重点治理影响饮用水安全的农村小河和小沟的恶臭水体，保障农村饮水安全。加强饮用水源地环境监测、监控能力和应急能力建设，加强日常执法监管，严厉打击破坏饮用水水源地的环境违法行为。</w:t>
      </w:r>
      <w:r>
        <w:rPr>
          <w:rFonts w:hint="eastAsia" w:eastAsia="仿宋_GB2312" w:cs="Times New Roman"/>
          <w:highlight w:val="none"/>
          <w:lang w:eastAsia="zh-CN"/>
        </w:rPr>
        <w:t>加快推进柳江区城乡供水一体化项目，</w:t>
      </w:r>
      <w:r>
        <w:rPr>
          <w:rFonts w:hint="eastAsia" w:eastAsia="仿宋_GB2312" w:cs="Times New Roman"/>
          <w:highlight w:val="none"/>
        </w:rPr>
        <w:t>形成安全可靠的城</w:t>
      </w:r>
      <w:r>
        <w:rPr>
          <w:rFonts w:hint="eastAsia" w:eastAsia="仿宋_GB2312" w:cs="Times New Roman"/>
          <w:highlight w:val="none"/>
          <w:lang w:eastAsia="zh-CN"/>
        </w:rPr>
        <w:t>乡</w:t>
      </w:r>
      <w:r>
        <w:rPr>
          <w:rFonts w:hint="eastAsia" w:eastAsia="仿宋_GB2312" w:cs="Times New Roman"/>
          <w:highlight w:val="none"/>
        </w:rPr>
        <w:t>供水体系，</w:t>
      </w:r>
      <w:r>
        <w:rPr>
          <w:rFonts w:hint="eastAsia" w:eastAsia="仿宋_GB2312" w:cs="Times New Roman"/>
          <w:highlight w:val="none"/>
          <w:lang w:eastAsia="zh-CN"/>
        </w:rPr>
        <w:t>保障</w:t>
      </w:r>
      <w:r>
        <w:rPr>
          <w:rFonts w:hint="eastAsia" w:eastAsia="仿宋_GB2312" w:cs="Times New Roman"/>
          <w:highlight w:val="none"/>
        </w:rPr>
        <w:t>集中式饮用水水源地水质优良比例稳定达100%。</w:t>
      </w:r>
    </w:p>
    <w:p w14:paraId="7EFF634E">
      <w:pPr>
        <w:pageBreakBefore w:val="0"/>
        <w:kinsoku/>
        <w:wordWrap/>
        <w:overflowPunct/>
        <w:topLinePunct w:val="0"/>
        <w:autoSpaceDE/>
        <w:autoSpaceDN/>
        <w:bidi w:val="0"/>
        <w:spacing w:line="560" w:lineRule="exact"/>
        <w:ind w:left="0" w:leftChars="0" w:right="0" w:rightChars="0" w:firstLine="640"/>
        <w:rPr>
          <w:rFonts w:hint="eastAsia" w:eastAsia="仿宋_GB2312" w:cs="Times New Roman"/>
          <w:highlight w:val="none"/>
        </w:rPr>
      </w:pPr>
      <w:r>
        <w:rPr>
          <w:rFonts w:hint="eastAsia" w:eastAsia="仿宋_GB2312" w:cs="Times New Roman"/>
          <w:b/>
          <w:bCs/>
          <w:highlight w:val="none"/>
        </w:rPr>
        <w:t>积极创建海绵城市</w:t>
      </w:r>
      <w:r>
        <w:rPr>
          <w:rFonts w:hint="eastAsia" w:eastAsia="仿宋_GB2312" w:cs="Times New Roman"/>
          <w:b/>
          <w:bCs/>
          <w:highlight w:val="none"/>
          <w:lang w:eastAsia="zh-CN"/>
        </w:rPr>
        <w:t>。</w:t>
      </w:r>
      <w:r>
        <w:rPr>
          <w:rFonts w:hint="eastAsia" w:eastAsia="仿宋_GB2312" w:cs="Times New Roman"/>
          <w:highlight w:val="none"/>
        </w:rPr>
        <w:t>统筹发挥自然生态功能和人工干预功能，控制雨水径流，实现自然积存、自然渗透、自然净化的城市发展方式。加快防洪排涝系统建设，开展中小河流治理、中小水库除险治理。加强城市排水管理，保障城市排水畅通，对容易造成内涝的路段和支、干渠进行清淤疏通及改造。按照地形地貌、降雨量、污水量和水环境等要求合理并适当超前设计新建道路排水系统。</w:t>
      </w:r>
    </w:p>
    <w:p w14:paraId="4D5D9500">
      <w:pPr>
        <w:pageBreakBefore w:val="0"/>
        <w:kinsoku/>
        <w:wordWrap/>
        <w:overflowPunct/>
        <w:topLinePunct w:val="0"/>
        <w:autoSpaceDE/>
        <w:autoSpaceDN/>
        <w:bidi w:val="0"/>
        <w:spacing w:line="560" w:lineRule="exact"/>
        <w:ind w:left="0" w:leftChars="0" w:right="0" w:rightChars="0" w:firstLine="640"/>
        <w:rPr>
          <w:rFonts w:cs="Times New Roman"/>
          <w:highlight w:val="none"/>
        </w:rPr>
      </w:pPr>
      <w:r>
        <w:rPr>
          <w:rFonts w:hint="eastAsia" w:eastAsia="仿宋_GB2312" w:cs="Times New Roman"/>
          <w:b/>
          <w:bCs/>
          <w:highlight w:val="none"/>
          <w:lang w:eastAsia="zh-CN"/>
        </w:rPr>
        <w:t>完善城镇污水处理设施建设，加强污水处理设施运行。</w:t>
      </w:r>
      <w:r>
        <w:rPr>
          <w:rFonts w:hint="eastAsia" w:eastAsia="仿宋_GB2312" w:cs="Times New Roman"/>
          <w:highlight w:val="none"/>
          <w:lang w:eastAsia="zh-CN"/>
        </w:rPr>
        <w:t>持续推进城镇污水处理设施建设并完善配套污水收集管网，</w:t>
      </w:r>
      <w:r>
        <w:rPr>
          <w:rFonts w:eastAsia="仿宋_GB2312" w:cs="Times New Roman"/>
          <w:highlight w:val="none"/>
        </w:rPr>
        <w:t>建立健全生活污水接入市政管网报装制度，实现应接尽接、应收尽收</w:t>
      </w:r>
      <w:r>
        <w:rPr>
          <w:rFonts w:hint="eastAsia" w:eastAsia="仿宋_GB2312" w:cs="Times New Roman"/>
          <w:highlight w:val="none"/>
          <w:lang w:eastAsia="zh-CN"/>
        </w:rPr>
        <w:t>，</w:t>
      </w:r>
      <w:r>
        <w:rPr>
          <w:rFonts w:hint="default" w:eastAsia="仿宋_GB2312" w:cs="Times New Roman"/>
          <w:highlight w:val="none"/>
        </w:rPr>
        <w:t>保污水处理设施进水浓度和负荷率稳步提升。</w:t>
      </w:r>
      <w:r>
        <w:rPr>
          <w:rFonts w:eastAsia="仿宋_GB2312" w:cs="Times New Roman"/>
          <w:highlight w:val="none"/>
        </w:rPr>
        <w:t>建立健全污水收集管网运营维护管理机制，明确运营维护主体，强化提升运营维护水平。</w:t>
      </w:r>
      <w:r>
        <w:rPr>
          <w:rFonts w:hint="default" w:eastAsia="仿宋_GB2312" w:cs="Times New Roman"/>
          <w:highlight w:val="none"/>
        </w:rPr>
        <w:t>鼓励通过政府和社会资本合作（PPP）模式解决城镇生活污水处理设施及污水管网的建设、运营等问题，实现城镇生活污水处理设施运营管理可持续发展</w:t>
      </w:r>
      <w:r>
        <w:rPr>
          <w:rFonts w:eastAsia="仿宋_GB2312" w:cs="Times New Roman"/>
          <w:highlight w:val="none"/>
        </w:rPr>
        <w:t>。</w:t>
      </w:r>
    </w:p>
    <w:p w14:paraId="36A96903">
      <w:pPr>
        <w:pStyle w:val="9"/>
        <w:pageBreakBefore w:val="0"/>
        <w:kinsoku/>
        <w:wordWrap/>
        <w:overflowPunct/>
        <w:topLinePunct w:val="0"/>
        <w:autoSpaceDE/>
        <w:autoSpaceDN/>
        <w:bidi w:val="0"/>
        <w:spacing w:line="560" w:lineRule="exact"/>
        <w:ind w:left="0" w:leftChars="0" w:right="0" w:rightChars="0" w:firstLine="640"/>
        <w:rPr>
          <w:rFonts w:hint="eastAsia" w:eastAsia="楷体_GB2312" w:cs="Times New Roman"/>
          <w:b/>
          <w:bCs w:val="0"/>
          <w:highlight w:val="none"/>
        </w:rPr>
      </w:pPr>
      <w:r>
        <w:rPr>
          <w:rFonts w:eastAsia="楷体_GB2312" w:cs="Times New Roman"/>
          <w:b/>
          <w:bCs w:val="0"/>
          <w:highlight w:val="none"/>
        </w:rPr>
        <w:t>（二）</w:t>
      </w:r>
      <w:r>
        <w:rPr>
          <w:rFonts w:hint="eastAsia" w:eastAsia="楷体_GB2312" w:cs="Times New Roman"/>
          <w:b/>
          <w:bCs w:val="0"/>
          <w:highlight w:val="none"/>
          <w:lang w:eastAsia="zh-CN"/>
        </w:rPr>
        <w:t>推进生态城区与美丽乡村建设</w:t>
      </w:r>
    </w:p>
    <w:p w14:paraId="2388068C">
      <w:pPr>
        <w:pageBreakBefore w:val="0"/>
        <w:kinsoku/>
        <w:wordWrap/>
        <w:overflowPunct/>
        <w:topLinePunct w:val="0"/>
        <w:autoSpaceDE/>
        <w:autoSpaceDN/>
        <w:bidi w:val="0"/>
        <w:spacing w:line="560" w:lineRule="exact"/>
        <w:ind w:left="0" w:leftChars="0" w:right="0" w:rightChars="0" w:firstLine="640"/>
        <w:rPr>
          <w:rFonts w:eastAsia="仿宋_GB2312" w:cs="Times New Roman"/>
          <w:highlight w:val="none"/>
        </w:rPr>
      </w:pPr>
      <w:r>
        <w:rPr>
          <w:rFonts w:eastAsia="仿宋_GB2312" w:cs="Times New Roman"/>
          <w:highlight w:val="none"/>
        </w:rPr>
        <w:t>1.</w:t>
      </w:r>
      <w:r>
        <w:rPr>
          <w:rFonts w:hint="eastAsia" w:eastAsia="仿宋_GB2312" w:cs="Times New Roman"/>
          <w:highlight w:val="none"/>
          <w:lang w:eastAsia="zh-CN"/>
        </w:rPr>
        <w:t>推进生态城区</w:t>
      </w:r>
      <w:r>
        <w:rPr>
          <w:rFonts w:hint="eastAsia" w:eastAsia="仿宋_GB2312" w:cs="Times New Roman"/>
          <w:highlight w:val="none"/>
        </w:rPr>
        <w:t>建设</w:t>
      </w:r>
    </w:p>
    <w:p w14:paraId="2D100603">
      <w:pPr>
        <w:pageBreakBefore w:val="0"/>
        <w:kinsoku/>
        <w:wordWrap/>
        <w:overflowPunct/>
        <w:topLinePunct w:val="0"/>
        <w:autoSpaceDE/>
        <w:autoSpaceDN/>
        <w:bidi w:val="0"/>
        <w:spacing w:line="560" w:lineRule="exact"/>
        <w:ind w:left="0" w:leftChars="0" w:right="0" w:rightChars="0" w:firstLine="640"/>
        <w:rPr>
          <w:rFonts w:hint="eastAsia" w:eastAsia="仿宋_GB2312" w:cs="Times New Roman"/>
          <w:highlight w:val="none"/>
        </w:rPr>
      </w:pPr>
      <w:r>
        <w:rPr>
          <w:rFonts w:hint="eastAsia" w:eastAsia="仿宋_GB2312" w:cs="Times New Roman"/>
          <w:b/>
          <w:bCs/>
          <w:highlight w:val="none"/>
          <w:lang w:eastAsia="zh-CN"/>
        </w:rPr>
        <w:t>加强城区</w:t>
      </w:r>
      <w:r>
        <w:rPr>
          <w:rFonts w:hint="eastAsia" w:eastAsia="仿宋_GB2312" w:cs="Times New Roman"/>
          <w:b/>
          <w:bCs/>
          <w:highlight w:val="none"/>
        </w:rPr>
        <w:t>绿化工程。</w:t>
      </w:r>
      <w:r>
        <w:rPr>
          <w:rFonts w:hint="eastAsia" w:eastAsia="仿宋_GB2312" w:cs="Times New Roman"/>
          <w:highlight w:val="none"/>
        </w:rPr>
        <w:t>加强重点区域的城市设计，显山露水，开窗见绿，建设“天蓝、地绿、山清、水秀、气爽、路畅、城洁、人和”的宜居型山水园林城市。开展全民绿化美化家园活动，实施社区绿化、庭院美化工程；加强城区园林建设与改造，深入开展创建园林式单位和优美校园活动，实施街路两侧绿化</w:t>
      </w:r>
      <w:r>
        <w:rPr>
          <w:rFonts w:hint="eastAsia" w:eastAsia="仿宋_GB2312" w:cs="Times New Roman"/>
          <w:highlight w:val="none"/>
          <w:lang w:eastAsia="zh-CN"/>
        </w:rPr>
        <w:t>；</w:t>
      </w:r>
      <w:r>
        <w:rPr>
          <w:rFonts w:hint="eastAsia" w:eastAsia="仿宋_GB2312" w:cs="Times New Roman"/>
          <w:highlight w:val="none"/>
        </w:rPr>
        <w:t>加强公园绿地建设力度，开展公园建设及道路绿化工程，增加公园绿化面积。</w:t>
      </w:r>
    </w:p>
    <w:p w14:paraId="3F62DAE4">
      <w:pPr>
        <w:pageBreakBefore w:val="0"/>
        <w:kinsoku/>
        <w:wordWrap/>
        <w:overflowPunct/>
        <w:topLinePunct w:val="0"/>
        <w:autoSpaceDE/>
        <w:autoSpaceDN/>
        <w:bidi w:val="0"/>
        <w:spacing w:line="560" w:lineRule="exact"/>
        <w:ind w:left="0" w:leftChars="0" w:right="0" w:rightChars="0" w:firstLine="640"/>
        <w:rPr>
          <w:rFonts w:eastAsia="仿宋_GB2312" w:cs="Times New Roman"/>
          <w:highlight w:val="none"/>
        </w:rPr>
      </w:pPr>
      <w:r>
        <w:rPr>
          <w:rFonts w:hint="eastAsia" w:eastAsia="仿宋_GB2312" w:cs="Times New Roman"/>
          <w:b/>
          <w:bCs/>
          <w:highlight w:val="none"/>
          <w:lang w:eastAsia="zh-CN"/>
        </w:rPr>
        <w:t>完善城市规划及基础设施建设。</w:t>
      </w:r>
      <w:r>
        <w:rPr>
          <w:rFonts w:hint="eastAsia" w:eastAsia="仿宋_GB2312" w:cs="Times New Roman"/>
          <w:highlight w:val="none"/>
          <w:lang w:eastAsia="zh-CN"/>
        </w:rPr>
        <w:t>完善城区道路、供水、雨水、污水、垃圾等市政设施，进一步完善城区各项建设规划，严格规划管控，坚决清理违法违规建设行为；同步推进医疗、教育、政务服务等配套服务设施建设以及岜公塘湿地公园、九曲河生态景观带等生态节点建设，将柳江区建设成生态宜居城区</w:t>
      </w:r>
      <w:r>
        <w:rPr>
          <w:rFonts w:eastAsia="仿宋_GB2312" w:cs="Times New Roman"/>
          <w:highlight w:val="none"/>
        </w:rPr>
        <w:t>。</w:t>
      </w:r>
    </w:p>
    <w:p w14:paraId="0B85D82D">
      <w:pPr>
        <w:pageBreakBefore w:val="0"/>
        <w:kinsoku/>
        <w:wordWrap/>
        <w:overflowPunct/>
        <w:topLinePunct w:val="0"/>
        <w:autoSpaceDE/>
        <w:autoSpaceDN/>
        <w:bidi w:val="0"/>
        <w:spacing w:line="560" w:lineRule="exact"/>
        <w:ind w:left="0" w:leftChars="0" w:right="0" w:rightChars="0" w:firstLine="640"/>
        <w:rPr>
          <w:rFonts w:eastAsia="仿宋_GB2312" w:cs="Times New Roman"/>
          <w:highlight w:val="none"/>
        </w:rPr>
      </w:pPr>
      <w:r>
        <w:rPr>
          <w:rFonts w:eastAsia="仿宋_GB2312" w:cs="Times New Roman"/>
          <w:highlight w:val="none"/>
        </w:rPr>
        <w:t>2.</w:t>
      </w:r>
      <w:r>
        <w:rPr>
          <w:rFonts w:hint="eastAsia" w:eastAsia="仿宋_GB2312" w:cs="Times New Roman"/>
          <w:highlight w:val="none"/>
          <w:lang w:eastAsia="zh-CN"/>
        </w:rPr>
        <w:t>持续推进美丽乡村建设</w:t>
      </w:r>
    </w:p>
    <w:p w14:paraId="218696CF">
      <w:pPr>
        <w:pageBreakBefore w:val="0"/>
        <w:kinsoku/>
        <w:wordWrap/>
        <w:overflowPunct/>
        <w:topLinePunct w:val="0"/>
        <w:autoSpaceDE/>
        <w:autoSpaceDN/>
        <w:bidi w:val="0"/>
        <w:spacing w:line="560" w:lineRule="exact"/>
        <w:ind w:left="0" w:leftChars="0" w:right="0" w:rightChars="0" w:firstLine="640"/>
        <w:rPr>
          <w:rFonts w:hint="eastAsia" w:eastAsia="仿宋_GB2312" w:cs="Times New Roman"/>
          <w:highlight w:val="none"/>
          <w:lang w:eastAsia="zh-CN"/>
        </w:rPr>
      </w:pPr>
      <w:r>
        <w:rPr>
          <w:rFonts w:hint="eastAsia" w:eastAsia="仿宋_GB2312" w:cs="Times New Roman"/>
          <w:b/>
          <w:bCs/>
          <w:highlight w:val="none"/>
          <w:lang w:eastAsia="zh-CN"/>
        </w:rPr>
        <w:t>强化</w:t>
      </w:r>
      <w:r>
        <w:rPr>
          <w:rFonts w:hint="eastAsia" w:eastAsia="仿宋_GB2312" w:cs="Times New Roman"/>
          <w:b/>
          <w:bCs/>
          <w:highlight w:val="none"/>
        </w:rPr>
        <w:t>农村环境综合</w:t>
      </w:r>
      <w:r>
        <w:rPr>
          <w:rFonts w:hint="eastAsia" w:eastAsia="仿宋_GB2312" w:cs="Times New Roman"/>
          <w:b/>
          <w:bCs/>
          <w:highlight w:val="none"/>
          <w:lang w:eastAsia="zh-CN"/>
        </w:rPr>
        <w:t>整治。</w:t>
      </w:r>
      <w:r>
        <w:rPr>
          <w:rFonts w:hint="default" w:eastAsia="仿宋_GB2312" w:cs="Times New Roman"/>
          <w:highlight w:val="none"/>
        </w:rPr>
        <w:t>开展农村生活污水、垃圾治理和改厨改厕，对河道沟渠清淤疏浚，创新管护方式，推进农村环境连片整治。结合乡村振兴战略，加快村屯内道路硬化，持续推进开展农村人居环境整治示范创建，实现乡村公共空间的硬化、净化、绿化、亮化、美化。提升基础设施建设，保障</w:t>
      </w:r>
      <w:r>
        <w:rPr>
          <w:rFonts w:hint="eastAsia" w:eastAsia="仿宋_GB2312" w:cs="Times New Roman"/>
          <w:highlight w:val="none"/>
          <w:lang w:eastAsia="zh-CN"/>
        </w:rPr>
        <w:t>农村</w:t>
      </w:r>
      <w:r>
        <w:rPr>
          <w:rFonts w:hint="default" w:eastAsia="仿宋_GB2312" w:cs="Times New Roman"/>
          <w:highlight w:val="none"/>
        </w:rPr>
        <w:t>饮水安全，改善乡村环境风貌，加快推进农业农村现代化</w:t>
      </w:r>
      <w:r>
        <w:rPr>
          <w:rFonts w:hint="eastAsia" w:eastAsia="仿宋_GB2312" w:cs="Times New Roman"/>
          <w:highlight w:val="none"/>
          <w:lang w:eastAsia="zh-CN"/>
        </w:rPr>
        <w:t>。</w:t>
      </w:r>
    </w:p>
    <w:p w14:paraId="1A337762">
      <w:pPr>
        <w:pageBreakBefore w:val="0"/>
        <w:kinsoku/>
        <w:wordWrap/>
        <w:overflowPunct/>
        <w:topLinePunct w:val="0"/>
        <w:autoSpaceDE/>
        <w:autoSpaceDN/>
        <w:bidi w:val="0"/>
        <w:spacing w:line="560" w:lineRule="exact"/>
        <w:ind w:left="0" w:leftChars="0" w:right="0" w:rightChars="0" w:firstLine="640"/>
        <w:rPr>
          <w:rFonts w:cs="Times New Roman"/>
          <w:highlight w:val="none"/>
        </w:rPr>
      </w:pPr>
      <w:r>
        <w:rPr>
          <w:rFonts w:hint="eastAsia" w:eastAsia="仿宋_GB2312" w:cs="Times New Roman"/>
          <w:b/>
          <w:bCs/>
          <w:highlight w:val="none"/>
          <w:lang w:eastAsia="zh-CN"/>
        </w:rPr>
        <w:t>持续推进美丽乡村建设。</w:t>
      </w:r>
      <w:r>
        <w:rPr>
          <w:rFonts w:hint="default" w:eastAsia="仿宋_GB2312" w:cs="Times New Roman"/>
          <w:highlight w:val="none"/>
        </w:rPr>
        <w:t>在巩固</w:t>
      </w:r>
      <w:r>
        <w:rPr>
          <w:rFonts w:hint="eastAsia" w:eastAsia="仿宋_GB2312" w:cs="Times New Roman"/>
          <w:highlight w:val="none"/>
          <w:lang w:eastAsia="zh-CN"/>
        </w:rPr>
        <w:t>“</w:t>
      </w:r>
      <w:r>
        <w:rPr>
          <w:rFonts w:hint="default" w:eastAsia="仿宋_GB2312" w:cs="Times New Roman"/>
          <w:highlight w:val="none"/>
        </w:rPr>
        <w:t>清洁乡村</w:t>
      </w:r>
      <w:r>
        <w:rPr>
          <w:rFonts w:hint="eastAsia" w:eastAsia="仿宋_GB2312" w:cs="Times New Roman"/>
          <w:highlight w:val="none"/>
          <w:lang w:eastAsia="zh-CN"/>
        </w:rPr>
        <w:t>”</w:t>
      </w:r>
      <w:r>
        <w:rPr>
          <w:rFonts w:hint="default" w:eastAsia="仿宋_GB2312" w:cs="Times New Roman"/>
          <w:highlight w:val="none"/>
        </w:rPr>
        <w:t>、</w:t>
      </w:r>
      <w:r>
        <w:rPr>
          <w:rFonts w:hint="eastAsia" w:eastAsia="仿宋_GB2312" w:cs="Times New Roman"/>
          <w:highlight w:val="none"/>
          <w:lang w:eastAsia="zh-CN"/>
        </w:rPr>
        <w:t>“</w:t>
      </w:r>
      <w:r>
        <w:rPr>
          <w:rFonts w:hint="default" w:eastAsia="仿宋_GB2312" w:cs="Times New Roman"/>
          <w:highlight w:val="none"/>
        </w:rPr>
        <w:t>生态乡村</w:t>
      </w:r>
      <w:r>
        <w:rPr>
          <w:rFonts w:hint="eastAsia" w:eastAsia="仿宋_GB2312" w:cs="Times New Roman"/>
          <w:highlight w:val="none"/>
          <w:lang w:eastAsia="zh-CN"/>
        </w:rPr>
        <w:t>”</w:t>
      </w:r>
      <w:r>
        <w:rPr>
          <w:rFonts w:hint="default" w:eastAsia="仿宋_GB2312" w:cs="Times New Roman"/>
          <w:highlight w:val="none"/>
        </w:rPr>
        <w:t>、</w:t>
      </w:r>
      <w:r>
        <w:rPr>
          <w:rFonts w:hint="eastAsia" w:eastAsia="仿宋_GB2312" w:cs="Times New Roman"/>
          <w:highlight w:val="none"/>
          <w:lang w:eastAsia="zh-CN"/>
        </w:rPr>
        <w:t>“</w:t>
      </w:r>
      <w:r>
        <w:rPr>
          <w:rFonts w:hint="default" w:eastAsia="仿宋_GB2312" w:cs="Times New Roman"/>
          <w:highlight w:val="none"/>
        </w:rPr>
        <w:t>宜居乡村</w:t>
      </w:r>
      <w:r>
        <w:rPr>
          <w:rFonts w:hint="eastAsia" w:eastAsia="仿宋_GB2312" w:cs="Times New Roman"/>
          <w:highlight w:val="none"/>
          <w:lang w:eastAsia="zh-CN"/>
        </w:rPr>
        <w:t>”</w:t>
      </w:r>
      <w:r>
        <w:rPr>
          <w:rFonts w:hint="default" w:eastAsia="仿宋_GB2312" w:cs="Times New Roman"/>
          <w:highlight w:val="none"/>
        </w:rPr>
        <w:t>建设成果的基础上，建设村容整洁、环境优美、民风和谐、生态宜居秀美乡村，促进农业全面升级、农村全面进步、农民全面发展。着重抓好示范</w:t>
      </w:r>
      <w:r>
        <w:rPr>
          <w:rFonts w:hint="eastAsia" w:eastAsia="仿宋_GB2312" w:cs="Times New Roman"/>
          <w:highlight w:val="none"/>
          <w:lang w:eastAsia="zh-CN"/>
        </w:rPr>
        <w:t>村屯</w:t>
      </w:r>
      <w:r>
        <w:rPr>
          <w:rFonts w:hint="default" w:eastAsia="仿宋_GB2312" w:cs="Times New Roman"/>
          <w:highlight w:val="none"/>
        </w:rPr>
        <w:t>建设，实现连点成线、连线成片、连片成面的目标。大力发展休闲采摘、观光旅游等新产业新业态，提供观光农业、游憩休闲、生态教育等服务，打造特色突出、主题鲜明的休闲农业和乡村旅游精品，将农村生态优势转化为经济优势，助力乡村振兴建设</w:t>
      </w:r>
      <w:r>
        <w:rPr>
          <w:rFonts w:eastAsia="仿宋_GB2312" w:cs="Times New Roman"/>
          <w:highlight w:val="none"/>
        </w:rPr>
        <w:t>。</w:t>
      </w:r>
    </w:p>
    <w:p w14:paraId="4A2D460F">
      <w:pPr>
        <w:pStyle w:val="9"/>
        <w:pageBreakBefore w:val="0"/>
        <w:kinsoku/>
        <w:wordWrap/>
        <w:overflowPunct/>
        <w:topLinePunct w:val="0"/>
        <w:autoSpaceDE/>
        <w:autoSpaceDN/>
        <w:bidi w:val="0"/>
        <w:spacing w:line="560" w:lineRule="exact"/>
        <w:ind w:left="0" w:leftChars="0" w:right="0" w:rightChars="0" w:firstLine="640"/>
        <w:rPr>
          <w:rFonts w:eastAsia="楷体_GB2312" w:cs="Times New Roman"/>
          <w:highlight w:val="none"/>
        </w:rPr>
      </w:pPr>
      <w:r>
        <w:rPr>
          <w:rFonts w:eastAsia="楷体_GB2312" w:cs="Times New Roman"/>
          <w:b/>
          <w:bCs w:val="0"/>
          <w:highlight w:val="none"/>
        </w:rPr>
        <w:t>（三）</w:t>
      </w:r>
      <w:r>
        <w:rPr>
          <w:rFonts w:hint="eastAsia" w:eastAsia="楷体_GB2312" w:cs="Times New Roman"/>
          <w:b/>
          <w:bCs w:val="0"/>
          <w:highlight w:val="none"/>
          <w:lang w:eastAsia="zh-CN"/>
        </w:rPr>
        <w:t>培养绿色生活方式</w:t>
      </w:r>
    </w:p>
    <w:p w14:paraId="05B9FDF2">
      <w:pPr>
        <w:pageBreakBefore w:val="0"/>
        <w:kinsoku/>
        <w:wordWrap/>
        <w:overflowPunct/>
        <w:topLinePunct w:val="0"/>
        <w:autoSpaceDE/>
        <w:autoSpaceDN/>
        <w:bidi w:val="0"/>
        <w:spacing w:line="560" w:lineRule="exact"/>
        <w:ind w:left="0" w:leftChars="0" w:right="0" w:rightChars="0" w:firstLine="640"/>
        <w:rPr>
          <w:rFonts w:eastAsia="仿宋_GB2312" w:cs="Times New Roman"/>
          <w:highlight w:val="none"/>
        </w:rPr>
      </w:pPr>
      <w:r>
        <w:rPr>
          <w:rFonts w:eastAsia="仿宋_GB2312" w:cs="Times New Roman"/>
          <w:highlight w:val="none"/>
        </w:rPr>
        <w:t>1.</w:t>
      </w:r>
      <w:r>
        <w:rPr>
          <w:rFonts w:hint="default" w:eastAsia="仿宋_GB2312" w:cs="Times New Roman"/>
          <w:highlight w:val="none"/>
        </w:rPr>
        <w:t>倡导绿色生活方式</w:t>
      </w:r>
    </w:p>
    <w:p w14:paraId="468220E1">
      <w:pPr>
        <w:pageBreakBefore w:val="0"/>
        <w:kinsoku/>
        <w:wordWrap/>
        <w:overflowPunct/>
        <w:topLinePunct w:val="0"/>
        <w:autoSpaceDE/>
        <w:autoSpaceDN/>
        <w:bidi w:val="0"/>
        <w:spacing w:line="560" w:lineRule="exact"/>
        <w:ind w:left="0" w:leftChars="0" w:right="0" w:rightChars="0" w:firstLine="640"/>
        <w:rPr>
          <w:rFonts w:hint="default" w:eastAsia="仿宋_GB2312" w:cs="Times New Roman"/>
          <w:highlight w:val="none"/>
        </w:rPr>
      </w:pPr>
      <w:r>
        <w:rPr>
          <w:rFonts w:hint="default" w:eastAsia="仿宋_GB2312" w:cs="Times New Roman"/>
          <w:b/>
          <w:bCs/>
          <w:highlight w:val="none"/>
        </w:rPr>
        <w:t>积极推进城镇绿色建筑发展。</w:t>
      </w:r>
      <w:r>
        <w:rPr>
          <w:rFonts w:hint="default" w:eastAsia="仿宋_GB2312" w:cs="Times New Roman"/>
          <w:highlight w:val="none"/>
        </w:rPr>
        <w:t>鼓励新建建筑物采用新能源和绿色能源，新建房屋选择节能环保型建材，采用绿色建造工艺工程。对适宜改造的老旧建筑，特别是公共服务设施建筑科学评估，开展绿色建筑改造工程。鼓励具备条件的地区应安排一定比例的保障性住房按照绿色建筑标准进行设计建造。鼓励各地在政府办公建筑、学校、医院、博物馆等政府投资的公益性建筑建设中，率先执行绿色建筑标准。</w:t>
      </w:r>
    </w:p>
    <w:p w14:paraId="76372BEE">
      <w:pPr>
        <w:pageBreakBefore w:val="0"/>
        <w:kinsoku/>
        <w:wordWrap/>
        <w:overflowPunct/>
        <w:topLinePunct w:val="0"/>
        <w:autoSpaceDE/>
        <w:autoSpaceDN/>
        <w:bidi w:val="0"/>
        <w:spacing w:line="560" w:lineRule="exact"/>
        <w:ind w:left="0" w:leftChars="0" w:right="0" w:rightChars="0" w:firstLine="640"/>
        <w:rPr>
          <w:rFonts w:hint="default" w:eastAsia="仿宋_GB2312" w:cs="Times New Roman"/>
          <w:highlight w:val="none"/>
        </w:rPr>
      </w:pPr>
      <w:r>
        <w:rPr>
          <w:rFonts w:hint="default" w:eastAsia="仿宋_GB2312" w:cs="Times New Roman"/>
          <w:b/>
          <w:bCs/>
          <w:highlight w:val="none"/>
        </w:rPr>
        <w:t>提高节能节水器具普及率。</w:t>
      </w:r>
      <w:r>
        <w:rPr>
          <w:rFonts w:hint="default" w:eastAsia="仿宋_GB2312" w:cs="Times New Roman"/>
          <w:highlight w:val="none"/>
        </w:rPr>
        <w:t>推行绿色照明规划设计理念，提高LED灯等高效光源在公共场所使用率；推广使用太阳能热水系统、空气源热泵、太阳灶、管道煤气等清洁能源利用设备。尽量采用透水材料铺地以吸收部分降雨，补充地下水量；在建筑水系统设计时，避免重复建设独立式污水处理回用系统；对景观用水、绿化用水、道路冲洗以及消费用水等非饮用水，尽量采用再生水、雨水等非传统水源。</w:t>
      </w:r>
    </w:p>
    <w:p w14:paraId="2CEC8813">
      <w:pPr>
        <w:pageBreakBefore w:val="0"/>
        <w:kinsoku/>
        <w:wordWrap/>
        <w:overflowPunct/>
        <w:topLinePunct w:val="0"/>
        <w:autoSpaceDE/>
        <w:autoSpaceDN/>
        <w:bidi w:val="0"/>
        <w:spacing w:line="560" w:lineRule="exact"/>
        <w:ind w:left="0" w:leftChars="0" w:right="0" w:rightChars="0" w:firstLine="640"/>
        <w:rPr>
          <w:rFonts w:hint="default" w:eastAsia="仿宋_GB2312" w:cs="Times New Roman"/>
          <w:highlight w:val="none"/>
        </w:rPr>
      </w:pPr>
      <w:r>
        <w:rPr>
          <w:rFonts w:hint="default" w:eastAsia="仿宋_GB2312" w:cs="Times New Roman"/>
          <w:b/>
          <w:bCs/>
          <w:highlight w:val="none"/>
        </w:rPr>
        <w:t>鼓励公众绿色出行。</w:t>
      </w:r>
      <w:r>
        <w:rPr>
          <w:rFonts w:hint="default" w:eastAsia="仿宋_GB2312" w:cs="Times New Roman"/>
          <w:highlight w:val="none"/>
        </w:rPr>
        <w:t>建立健全公共交通便民化计划，构建新能源公交、公共自行车、出租车、电力三轮车一体的大公交系统，提高城乡公交覆盖面和出行比例。构建城区慢行系统，建设自驾车营地、自行车风景道等</w:t>
      </w:r>
      <w:r>
        <w:rPr>
          <w:rFonts w:hint="eastAsia" w:eastAsia="仿宋_GB2312" w:cs="Times New Roman"/>
          <w:highlight w:val="none"/>
          <w:lang w:eastAsia="zh-CN"/>
        </w:rPr>
        <w:t>“</w:t>
      </w:r>
      <w:r>
        <w:rPr>
          <w:rFonts w:hint="default" w:eastAsia="仿宋_GB2312" w:cs="Times New Roman"/>
          <w:highlight w:val="none"/>
        </w:rPr>
        <w:t>休闲型</w:t>
      </w:r>
      <w:r>
        <w:rPr>
          <w:rFonts w:hint="eastAsia" w:eastAsia="仿宋_GB2312" w:cs="Times New Roman"/>
          <w:highlight w:val="none"/>
          <w:lang w:eastAsia="zh-CN"/>
        </w:rPr>
        <w:t>”</w:t>
      </w:r>
      <w:r>
        <w:rPr>
          <w:rFonts w:hint="default" w:eastAsia="仿宋_GB2312" w:cs="Times New Roman"/>
          <w:highlight w:val="none"/>
        </w:rPr>
        <w:t>交通配套设施及服务，倡导绿色出行。</w:t>
      </w:r>
    </w:p>
    <w:p w14:paraId="6CF7853D">
      <w:pPr>
        <w:pageBreakBefore w:val="0"/>
        <w:kinsoku/>
        <w:wordWrap/>
        <w:overflowPunct/>
        <w:topLinePunct w:val="0"/>
        <w:autoSpaceDE/>
        <w:autoSpaceDN/>
        <w:bidi w:val="0"/>
        <w:spacing w:line="560" w:lineRule="exact"/>
        <w:ind w:left="0" w:leftChars="0" w:right="0" w:rightChars="0" w:firstLine="640"/>
        <w:rPr>
          <w:rFonts w:hint="default" w:eastAsia="仿宋_GB2312" w:cs="Times New Roman"/>
          <w:highlight w:val="yellow"/>
        </w:rPr>
      </w:pPr>
      <w:r>
        <w:rPr>
          <w:rFonts w:hint="default" w:eastAsia="仿宋_GB2312" w:cs="Times New Roman"/>
          <w:b/>
          <w:bCs/>
          <w:highlight w:val="none"/>
        </w:rPr>
        <w:t>倡导低碳消费习惯。</w:t>
      </w:r>
      <w:r>
        <w:rPr>
          <w:rFonts w:hint="default" w:eastAsia="仿宋_GB2312" w:cs="Times New Roman"/>
          <w:highlight w:val="none"/>
        </w:rPr>
        <w:t>升级</w:t>
      </w:r>
      <w:r>
        <w:rPr>
          <w:rFonts w:hint="eastAsia" w:eastAsia="仿宋_GB2312" w:cs="Times New Roman"/>
          <w:highlight w:val="none"/>
          <w:lang w:eastAsia="zh-CN"/>
        </w:rPr>
        <w:t>“</w:t>
      </w:r>
      <w:r>
        <w:rPr>
          <w:rFonts w:hint="default" w:eastAsia="仿宋_GB2312" w:cs="Times New Roman"/>
          <w:highlight w:val="none"/>
        </w:rPr>
        <w:t>限塑令</w:t>
      </w:r>
      <w:r>
        <w:rPr>
          <w:rFonts w:hint="eastAsia" w:eastAsia="仿宋_GB2312" w:cs="Times New Roman"/>
          <w:highlight w:val="none"/>
          <w:lang w:eastAsia="zh-CN"/>
        </w:rPr>
        <w:t>”</w:t>
      </w:r>
      <w:r>
        <w:rPr>
          <w:rFonts w:hint="default" w:eastAsia="仿宋_GB2312" w:cs="Times New Roman"/>
          <w:highlight w:val="none"/>
        </w:rPr>
        <w:t>，对超市、商场、农贸市场、批发市场等开展垃圾分类专项整治，从严限制塑料制品使用。减少包装材料的过度使用和包装性废弃物的产生，探索快递包装回收方式，积极鼓励企业使用环保包装。开展居民小区、学校、公共消费场所等生活垃圾</w:t>
      </w:r>
      <w:r>
        <w:rPr>
          <w:rFonts w:hint="eastAsia" w:eastAsia="仿宋_GB2312" w:cs="Times New Roman"/>
          <w:highlight w:val="none"/>
          <w:lang w:eastAsia="zh-CN"/>
        </w:rPr>
        <w:t>“</w:t>
      </w:r>
      <w:r>
        <w:rPr>
          <w:rFonts w:hint="default" w:eastAsia="仿宋_GB2312" w:cs="Times New Roman"/>
          <w:highlight w:val="none"/>
        </w:rPr>
        <w:t>零废弃</w:t>
      </w:r>
      <w:r>
        <w:rPr>
          <w:rFonts w:hint="eastAsia" w:eastAsia="仿宋_GB2312" w:cs="Times New Roman"/>
          <w:highlight w:val="none"/>
          <w:lang w:eastAsia="zh-CN"/>
        </w:rPr>
        <w:t>”</w:t>
      </w:r>
      <w:r>
        <w:rPr>
          <w:rFonts w:hint="default" w:eastAsia="仿宋_GB2312" w:cs="Times New Roman"/>
          <w:highlight w:val="none"/>
        </w:rPr>
        <w:t>管理试点。在保障公平和效率的基础上，提高居民节能节水积极性。开展节水型机关、企业（单位）、社区创建活动，形成全社会节约用水的良好氛围。在家用电器、照明、水气、适度装修、旧物利用、饮食方式等方面引导人们在日常生活中做好节能减排。鼓励购买低碳纺织品，减少化学制品使用，提倡衣物循环利用和手洗。</w:t>
      </w:r>
    </w:p>
    <w:p w14:paraId="1A9917F0">
      <w:pPr>
        <w:pageBreakBefore w:val="0"/>
        <w:kinsoku/>
        <w:wordWrap/>
        <w:overflowPunct/>
        <w:topLinePunct w:val="0"/>
        <w:autoSpaceDE/>
        <w:autoSpaceDN/>
        <w:bidi w:val="0"/>
        <w:spacing w:line="560" w:lineRule="exact"/>
        <w:ind w:left="0" w:leftChars="0" w:right="0" w:rightChars="0" w:firstLine="640"/>
        <w:rPr>
          <w:rFonts w:eastAsia="仿宋_GB2312" w:cs="Times New Roman"/>
          <w:highlight w:val="none"/>
        </w:rPr>
      </w:pPr>
      <w:r>
        <w:rPr>
          <w:rFonts w:hint="default" w:eastAsia="仿宋_GB2312" w:cs="Times New Roman"/>
          <w:b/>
          <w:bCs/>
          <w:highlight w:val="none"/>
        </w:rPr>
        <w:t>持续加强节能低碳理念宣传。</w:t>
      </w:r>
      <w:r>
        <w:rPr>
          <w:rFonts w:hint="default" w:eastAsia="仿宋_GB2312" w:cs="Times New Roman"/>
          <w:highlight w:val="none"/>
        </w:rPr>
        <w:t>通过积极开展节能低碳进企业、进学校、进社区、进机关等宣传活动，普及节能知识、提升全民节能意识，培养广大企业职工、在校学生、居民、机关干部等群体勤俭节约的消费模式和生活习惯，在全社会营造节能低碳的良好氛围</w:t>
      </w:r>
      <w:r>
        <w:rPr>
          <w:rFonts w:eastAsia="仿宋_GB2312" w:cs="Times New Roman"/>
          <w:highlight w:val="none"/>
        </w:rPr>
        <w:t>。</w:t>
      </w:r>
    </w:p>
    <w:p w14:paraId="063E75A2">
      <w:pPr>
        <w:pageBreakBefore w:val="0"/>
        <w:kinsoku/>
        <w:wordWrap/>
        <w:overflowPunct/>
        <w:topLinePunct w:val="0"/>
        <w:autoSpaceDE/>
        <w:autoSpaceDN/>
        <w:bidi w:val="0"/>
        <w:spacing w:line="560" w:lineRule="exact"/>
        <w:ind w:left="0" w:leftChars="0" w:right="0" w:rightChars="0" w:firstLine="640"/>
        <w:rPr>
          <w:rFonts w:eastAsia="仿宋_GB2312" w:cs="Times New Roman"/>
          <w:highlight w:val="none"/>
        </w:rPr>
      </w:pPr>
      <w:r>
        <w:rPr>
          <w:rFonts w:eastAsia="仿宋_GB2312" w:cs="Times New Roman"/>
          <w:highlight w:val="none"/>
        </w:rPr>
        <w:t>2.</w:t>
      </w:r>
      <w:r>
        <w:rPr>
          <w:rFonts w:hint="default" w:eastAsia="仿宋_GB2312" w:cs="Times New Roman"/>
          <w:highlight w:val="none"/>
        </w:rPr>
        <w:t>提升绿色办公意识</w:t>
      </w:r>
    </w:p>
    <w:p w14:paraId="6138F1A8">
      <w:pPr>
        <w:pageBreakBefore w:val="0"/>
        <w:kinsoku/>
        <w:wordWrap/>
        <w:overflowPunct/>
        <w:topLinePunct w:val="0"/>
        <w:autoSpaceDE/>
        <w:autoSpaceDN/>
        <w:bidi w:val="0"/>
        <w:spacing w:line="560" w:lineRule="exact"/>
        <w:ind w:left="0" w:leftChars="0" w:right="0" w:rightChars="0" w:firstLine="640"/>
        <w:rPr>
          <w:rFonts w:hint="eastAsia" w:ascii="仿宋_GB2312" w:hAnsi="仿宋_GB2312" w:eastAsia="仿宋_GB2312" w:cs="仿宋_GB2312"/>
          <w:highlight w:val="none"/>
        </w:rPr>
      </w:pPr>
      <w:r>
        <w:rPr>
          <w:rFonts w:hint="eastAsia" w:ascii="仿宋_GB2312" w:hAnsi="仿宋_GB2312" w:eastAsia="仿宋_GB2312" w:cs="仿宋_GB2312"/>
          <w:b/>
          <w:bCs/>
          <w:highlight w:val="none"/>
        </w:rPr>
        <w:t>倡导绿色办公。</w:t>
      </w:r>
      <w:r>
        <w:rPr>
          <w:rFonts w:hint="eastAsia" w:ascii="仿宋_GB2312" w:hAnsi="仿宋_GB2312" w:eastAsia="仿宋_GB2312" w:cs="仿宋_GB2312"/>
          <w:highlight w:val="none"/>
        </w:rPr>
        <w:t>将</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rPr>
        <w:t>绿色办公</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rPr>
        <w:t>理念融入到各企事业单位的日常活动中</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rPr>
        <w:t>大力开展节能减排工作。充分使用智办公系统办文办会，减少公文数量，压缩会议数量和规模，注重会议实效；切实加强对水电、办公、会议等经费的管理，有效控制经费支出，降低运行成本；推进垃圾分类回收，积极推行办公与生活垃圾分类回收，按照可回收物、有害垃圾、厨余垃圾、其他垃圾等类别，努力做到应分尽分、应收尽收，促进垃圾资源化、减量化、无害化工作；加强废旧商品回收，与有资质的回收企业建立定点定期回收机制，逐步形成处理良好、管理规范的回收体系。同时激励</w:t>
      </w:r>
      <w:r>
        <w:rPr>
          <w:rFonts w:hint="eastAsia" w:ascii="仿宋_GB2312" w:hAnsi="仿宋_GB2312" w:eastAsia="仿宋_GB2312" w:cs="仿宋_GB2312"/>
          <w:highlight w:val="none"/>
          <w:lang w:eastAsia="zh-CN"/>
        </w:rPr>
        <w:t>职工</w:t>
      </w:r>
      <w:r>
        <w:rPr>
          <w:rFonts w:hint="eastAsia" w:ascii="仿宋_GB2312" w:hAnsi="仿宋_GB2312" w:eastAsia="仿宋_GB2312" w:cs="仿宋_GB2312"/>
          <w:highlight w:val="none"/>
        </w:rPr>
        <w:t>养成无害环境的办公习惯，提高员工的工作积极性</w:t>
      </w:r>
      <w:r>
        <w:rPr>
          <w:rFonts w:hint="eastAsia" w:ascii="仿宋_GB2312" w:hAnsi="仿宋_GB2312" w:eastAsia="仿宋_GB2312" w:cs="仿宋_GB2312"/>
          <w:highlight w:val="none"/>
          <w:lang w:eastAsia="zh-CN"/>
        </w:rPr>
        <w:t>，进一步增强职工的资源危机意识和节能意识</w:t>
      </w:r>
      <w:r>
        <w:rPr>
          <w:rFonts w:hint="eastAsia" w:ascii="仿宋_GB2312" w:hAnsi="仿宋_GB2312" w:eastAsia="仿宋_GB2312" w:cs="仿宋_GB2312"/>
          <w:highlight w:val="none"/>
        </w:rPr>
        <w:t>。</w:t>
      </w:r>
    </w:p>
    <w:p w14:paraId="2288863A">
      <w:pPr>
        <w:pageBreakBefore w:val="0"/>
        <w:kinsoku/>
        <w:wordWrap/>
        <w:overflowPunct/>
        <w:topLinePunct w:val="0"/>
        <w:autoSpaceDE/>
        <w:autoSpaceDN/>
        <w:bidi w:val="0"/>
        <w:spacing w:line="560" w:lineRule="exact"/>
        <w:ind w:left="0" w:leftChars="0" w:right="0" w:rightChars="0" w:firstLine="640"/>
        <w:rPr>
          <w:rFonts w:hint="eastAsia" w:ascii="仿宋_GB2312" w:hAnsi="仿宋_GB2312" w:eastAsia="仿宋_GB2312" w:cs="仿宋_GB2312"/>
          <w:highlight w:val="none"/>
          <w:lang w:eastAsia="zh-CN"/>
        </w:rPr>
      </w:pPr>
      <w:r>
        <w:rPr>
          <w:rFonts w:hint="eastAsia" w:ascii="仿宋_GB2312" w:hAnsi="仿宋_GB2312" w:eastAsia="仿宋_GB2312" w:cs="仿宋_GB2312"/>
          <w:b/>
          <w:bCs/>
          <w:highlight w:val="none"/>
        </w:rPr>
        <w:t>推行绿色采购。</w:t>
      </w:r>
      <w:r>
        <w:rPr>
          <w:rFonts w:hint="eastAsia" w:ascii="仿宋_GB2312" w:hAnsi="仿宋_GB2312" w:eastAsia="仿宋_GB2312" w:cs="仿宋_GB2312"/>
          <w:highlight w:val="none"/>
        </w:rPr>
        <w:t>倡导政府绿色采购，政府在采购过程中充分考量环境因素，优先购买国家认可的、环境标志产品认证机构认证的产品。对政府实行绿色采购的主体责任、绿色采购标准和绿色采购清单的制定和发布进行明确规定。将环境保护的价值理念纳入政府的采购活动中，刺激企业加大绿色科技研发、实施绿色生产，提高社会公众的绿色环保消费理念，推动资源节约型、环境友好型社会的建立</w:t>
      </w:r>
      <w:r>
        <w:rPr>
          <w:rFonts w:hint="eastAsia" w:ascii="仿宋_GB2312" w:hAnsi="仿宋_GB2312" w:eastAsia="仿宋_GB2312" w:cs="仿宋_GB2312"/>
          <w:highlight w:val="none"/>
          <w:lang w:eastAsia="zh-CN"/>
        </w:rPr>
        <w:t>。</w:t>
      </w:r>
    </w:p>
    <w:p w14:paraId="3E3747CB">
      <w:pPr>
        <w:pageBreakBefore w:val="0"/>
        <w:kinsoku/>
        <w:wordWrap/>
        <w:overflowPunct/>
        <w:topLinePunct w:val="0"/>
        <w:autoSpaceDE/>
        <w:autoSpaceDN/>
        <w:bidi w:val="0"/>
        <w:spacing w:line="560" w:lineRule="exact"/>
        <w:ind w:left="0" w:leftChars="0" w:right="0" w:rightChars="0" w:firstLine="640"/>
        <w:rPr>
          <w:rFonts w:hint="eastAsia" w:ascii="仿宋_GB2312" w:hAnsi="仿宋_GB2312" w:eastAsia="仿宋_GB2312" w:cs="仿宋_GB2312"/>
          <w:highlight w:val="none"/>
        </w:rPr>
      </w:pPr>
      <w:r>
        <w:rPr>
          <w:rFonts w:hint="eastAsia" w:ascii="仿宋_GB2312" w:hAnsi="仿宋_GB2312" w:eastAsia="仿宋_GB2312" w:cs="仿宋_GB2312"/>
          <w:b/>
          <w:bCs/>
          <w:highlight w:val="none"/>
        </w:rPr>
        <w:t>建设绿色低碳交通体系。</w:t>
      </w:r>
      <w:r>
        <w:rPr>
          <w:rFonts w:hint="eastAsia" w:ascii="仿宋_GB2312" w:hAnsi="仿宋_GB2312" w:eastAsia="仿宋_GB2312" w:cs="仿宋_GB2312"/>
          <w:highlight w:val="none"/>
        </w:rPr>
        <w:t>强化公共交通基础设施建设。构建以常规公交为骨架、出租车为补充、慢行交通为延伸的绿色公共交通体系，加快推进公共交通领域新能源汽车及其他清洁燃料汽车推广应用，完善公交专用充电站、充电桩等新能源公交车配套基础设施建设，实现公交车电动化。</w:t>
      </w:r>
    </w:p>
    <w:p w14:paraId="243F5F4F">
      <w:pPr>
        <w:pageBreakBefore w:val="0"/>
        <w:kinsoku/>
        <w:wordWrap/>
        <w:overflowPunct/>
        <w:topLinePunct w:val="0"/>
        <w:autoSpaceDE/>
        <w:autoSpaceDN/>
        <w:bidi w:val="0"/>
        <w:spacing w:line="560" w:lineRule="exact"/>
        <w:ind w:left="0" w:leftChars="0" w:right="0" w:rightChars="0" w:firstLine="640"/>
        <w:rPr>
          <w:rFonts w:ascii="仿宋_GB2312" w:hAnsi="仿宋_GB2312" w:eastAsia="仿宋_GB2312" w:cs="仿宋_GB2312"/>
          <w:highlight w:val="none"/>
        </w:rPr>
      </w:pPr>
      <w:r>
        <w:rPr>
          <w:rFonts w:hint="eastAsia" w:ascii="仿宋_GB2312" w:hAnsi="仿宋_GB2312" w:eastAsia="仿宋_GB2312" w:cs="仿宋_GB2312"/>
          <w:b/>
          <w:bCs/>
          <w:highlight w:val="none"/>
        </w:rPr>
        <w:t>倡导绿色消费。</w:t>
      </w:r>
      <w:r>
        <w:rPr>
          <w:rFonts w:hint="eastAsia" w:ascii="仿宋_GB2312" w:hAnsi="仿宋_GB2312" w:eastAsia="仿宋_GB2312" w:cs="仿宋_GB2312"/>
          <w:highlight w:val="none"/>
        </w:rPr>
        <w:t>营造鼓励绿色消费的良好社会环境；倡导勤俭节约的消费观，逐步引导人们的消费价值取向往绿色、低碳、节约、可回收方向发展；引导居民形成</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rPr>
        <w:t>资源有价、污染付费</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rPr>
        <w:t>的消费预期，自觉树立以</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rPr>
        <w:t>绿色、自然、和谐、健康</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rPr>
        <w:t>为宗旨的生态绿色消费观念；推广餐饮</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rPr>
        <w:t>光盘行动</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rPr>
        <w:t>，在餐饮企业、单位食堂、家庭社区全方位开展反食品浪费行动。</w:t>
      </w:r>
    </w:p>
    <w:p w14:paraId="271F5260">
      <w:pPr>
        <w:pStyle w:val="8"/>
        <w:pageBreakBefore w:val="0"/>
        <w:kinsoku/>
        <w:wordWrap/>
        <w:overflowPunct/>
        <w:topLinePunct w:val="0"/>
        <w:autoSpaceDE/>
        <w:autoSpaceDN/>
        <w:bidi w:val="0"/>
        <w:spacing w:line="560" w:lineRule="exact"/>
        <w:ind w:left="0" w:leftChars="0" w:right="0" w:rightChars="0" w:firstLine="640"/>
        <w:rPr>
          <w:b w:val="0"/>
          <w:bCs w:val="0"/>
          <w:highlight w:val="none"/>
        </w:rPr>
      </w:pPr>
      <w:bookmarkStart w:id="140" w:name="_Toc27720"/>
      <w:bookmarkStart w:id="141" w:name="_Toc24661"/>
      <w:bookmarkStart w:id="142" w:name="_Toc4792"/>
      <w:bookmarkStart w:id="143" w:name="_Toc10545"/>
      <w:bookmarkStart w:id="144" w:name="_Toc20660"/>
      <w:bookmarkStart w:id="145" w:name="_Toc2731"/>
      <w:bookmarkStart w:id="146" w:name="_Toc27308"/>
      <w:r>
        <w:rPr>
          <w:rFonts w:hint="eastAsia"/>
          <w:b w:val="0"/>
          <w:bCs w:val="0"/>
          <w:highlight w:val="none"/>
        </w:rPr>
        <w:t>六、</w:t>
      </w:r>
      <w:bookmarkStart w:id="147" w:name="_Toc14599"/>
      <w:r>
        <w:rPr>
          <w:rFonts w:hint="eastAsia"/>
          <w:b w:val="0"/>
          <w:bCs w:val="0"/>
          <w:highlight w:val="none"/>
          <w:lang w:eastAsia="zh-CN"/>
        </w:rPr>
        <w:t>生态文化体系建设</w:t>
      </w:r>
      <w:bookmarkEnd w:id="140"/>
      <w:bookmarkEnd w:id="141"/>
      <w:bookmarkEnd w:id="142"/>
      <w:bookmarkEnd w:id="143"/>
      <w:bookmarkEnd w:id="144"/>
      <w:bookmarkEnd w:id="145"/>
      <w:bookmarkEnd w:id="146"/>
      <w:bookmarkEnd w:id="147"/>
    </w:p>
    <w:p w14:paraId="6207EFA8">
      <w:pPr>
        <w:pStyle w:val="9"/>
        <w:pageBreakBefore w:val="0"/>
        <w:kinsoku/>
        <w:wordWrap/>
        <w:overflowPunct/>
        <w:topLinePunct w:val="0"/>
        <w:autoSpaceDE/>
        <w:autoSpaceDN/>
        <w:bidi w:val="0"/>
        <w:spacing w:line="560" w:lineRule="exact"/>
        <w:ind w:left="0" w:leftChars="0" w:right="0" w:rightChars="0" w:firstLine="640"/>
        <w:rPr>
          <w:rFonts w:ascii="楷体_GB2312" w:hAnsi="楷体_GB2312" w:eastAsia="楷体_GB2312" w:cs="楷体_GB2312"/>
          <w:b/>
          <w:bCs w:val="0"/>
          <w:highlight w:val="none"/>
        </w:rPr>
      </w:pPr>
      <w:r>
        <w:rPr>
          <w:rFonts w:hint="eastAsia" w:ascii="楷体_GB2312" w:hAnsi="楷体_GB2312" w:eastAsia="楷体_GB2312" w:cs="楷体_GB2312"/>
          <w:b/>
          <w:bCs w:val="0"/>
          <w:highlight w:val="none"/>
        </w:rPr>
        <w:t>（一）</w:t>
      </w:r>
      <w:bookmarkStart w:id="148" w:name="_Toc469297839"/>
      <w:bookmarkStart w:id="149" w:name="_Toc471226399"/>
      <w:bookmarkStart w:id="150" w:name="_Toc471226331"/>
      <w:bookmarkStart w:id="151" w:name="_Toc438739211"/>
      <w:bookmarkStart w:id="152" w:name="_Toc471159792"/>
      <w:bookmarkStart w:id="153" w:name="_Toc469262375"/>
      <w:r>
        <w:rPr>
          <w:rFonts w:hint="eastAsia" w:ascii="楷体_GB2312" w:hAnsi="楷体_GB2312" w:eastAsia="楷体_GB2312" w:cs="楷体_GB2312"/>
          <w:b/>
          <w:bCs w:val="0"/>
          <w:highlight w:val="none"/>
          <w:lang w:eastAsia="zh-CN"/>
        </w:rPr>
        <w:t>生态</w:t>
      </w:r>
      <w:bookmarkEnd w:id="148"/>
      <w:bookmarkEnd w:id="149"/>
      <w:bookmarkEnd w:id="150"/>
      <w:bookmarkEnd w:id="151"/>
      <w:bookmarkEnd w:id="152"/>
      <w:bookmarkEnd w:id="153"/>
      <w:r>
        <w:rPr>
          <w:rFonts w:hint="eastAsia" w:ascii="楷体_GB2312" w:hAnsi="楷体_GB2312" w:eastAsia="楷体_GB2312" w:cs="楷体_GB2312"/>
          <w:b/>
          <w:bCs w:val="0"/>
          <w:highlight w:val="none"/>
          <w:lang w:eastAsia="zh-CN"/>
        </w:rPr>
        <w:t>文化载体建设</w:t>
      </w:r>
    </w:p>
    <w:bookmarkEnd w:id="76"/>
    <w:bookmarkEnd w:id="77"/>
    <w:bookmarkEnd w:id="78"/>
    <w:bookmarkEnd w:id="79"/>
    <w:p w14:paraId="3022A821">
      <w:pPr>
        <w:pageBreakBefore w:val="0"/>
        <w:kinsoku/>
        <w:wordWrap/>
        <w:overflowPunct/>
        <w:topLinePunct w:val="0"/>
        <w:autoSpaceDE/>
        <w:autoSpaceDN/>
        <w:bidi w:val="0"/>
        <w:spacing w:line="560" w:lineRule="exact"/>
        <w:ind w:left="0" w:leftChars="0" w:right="0" w:rightChars="0" w:firstLine="640"/>
        <w:rPr>
          <w:rFonts w:eastAsia="仿宋_GB2312" w:cs="Times New Roman"/>
          <w:highlight w:val="none"/>
        </w:rPr>
      </w:pPr>
      <w:r>
        <w:rPr>
          <w:rFonts w:eastAsia="仿宋_GB2312" w:cs="Times New Roman"/>
          <w:highlight w:val="none"/>
        </w:rPr>
        <w:t>1.</w:t>
      </w:r>
      <w:r>
        <w:rPr>
          <w:rFonts w:hint="default" w:eastAsia="仿宋_GB2312" w:cs="Times New Roman"/>
          <w:highlight w:val="none"/>
        </w:rPr>
        <w:t>企业生态文化建设</w:t>
      </w:r>
    </w:p>
    <w:p w14:paraId="74E91384">
      <w:pPr>
        <w:pageBreakBefore w:val="0"/>
        <w:kinsoku/>
        <w:wordWrap/>
        <w:overflowPunct/>
        <w:topLinePunct w:val="0"/>
        <w:autoSpaceDE/>
        <w:autoSpaceDN/>
        <w:bidi w:val="0"/>
        <w:spacing w:line="560" w:lineRule="exact"/>
        <w:ind w:left="0" w:leftChars="0" w:right="0" w:rightChars="0" w:firstLine="640"/>
        <w:rPr>
          <w:rFonts w:hint="default" w:eastAsia="仿宋_GB2312" w:cs="Times New Roman"/>
          <w:highlight w:val="none"/>
        </w:rPr>
      </w:pPr>
      <w:r>
        <w:rPr>
          <w:rFonts w:hint="default" w:eastAsia="仿宋_GB2312" w:cs="Times New Roman"/>
          <w:highlight w:val="none"/>
        </w:rPr>
        <w:t>促进企业生产方式从链式产业转向生态产业；鼓励企业创造条件，积极开展清洁生产和ISO14000环境体系认证，完善企业综合环境管理制度，增强企业发展后劲和参与市场竞争能力；建立企业生态环境保护的群众参与机制；加强企业职工生态意识教育和企业生态文化培训，树立行业特色生态形象。</w:t>
      </w:r>
    </w:p>
    <w:p w14:paraId="72B84EF8">
      <w:pPr>
        <w:pageBreakBefore w:val="0"/>
        <w:kinsoku/>
        <w:wordWrap/>
        <w:overflowPunct/>
        <w:topLinePunct w:val="0"/>
        <w:autoSpaceDE/>
        <w:autoSpaceDN/>
        <w:bidi w:val="0"/>
        <w:spacing w:line="560" w:lineRule="exact"/>
        <w:ind w:left="0" w:leftChars="0" w:right="0" w:rightChars="0" w:firstLine="640"/>
        <w:rPr>
          <w:rFonts w:eastAsia="仿宋_GB2312" w:cs="Times New Roman"/>
          <w:highlight w:val="none"/>
        </w:rPr>
      </w:pPr>
      <w:r>
        <w:rPr>
          <w:rFonts w:hint="default" w:eastAsia="仿宋_GB2312" w:cs="Times New Roman"/>
          <w:highlight w:val="none"/>
        </w:rPr>
        <w:t>发展企业生态文化。鼓励企业建立鲜明的企业文化，包括企业宗旨、道德规范、行为准则、激励功能、约束功能、凝聚功能等。建立清洁生产和科学的环境管理机制，逐步升级到企业生态文化的建设阶段。督促企业参与或自行开展环保公益活动，进一步提高环保公益活动支出，充分发挥企业作为环境治理责任主体的能动性</w:t>
      </w:r>
      <w:r>
        <w:rPr>
          <w:rFonts w:eastAsia="仿宋_GB2312" w:cs="Times New Roman"/>
          <w:highlight w:val="none"/>
        </w:rPr>
        <w:t>。</w:t>
      </w:r>
    </w:p>
    <w:p w14:paraId="0C547142">
      <w:pPr>
        <w:pageBreakBefore w:val="0"/>
        <w:kinsoku/>
        <w:wordWrap/>
        <w:overflowPunct/>
        <w:topLinePunct w:val="0"/>
        <w:autoSpaceDE/>
        <w:autoSpaceDN/>
        <w:bidi w:val="0"/>
        <w:spacing w:line="560" w:lineRule="exact"/>
        <w:ind w:left="0" w:leftChars="0" w:right="0" w:rightChars="0" w:firstLine="640"/>
        <w:rPr>
          <w:rFonts w:eastAsia="仿宋_GB2312" w:cs="Times New Roman"/>
          <w:highlight w:val="none"/>
        </w:rPr>
      </w:pPr>
      <w:r>
        <w:rPr>
          <w:rFonts w:eastAsia="仿宋_GB2312" w:cs="Times New Roman"/>
          <w:highlight w:val="none"/>
        </w:rPr>
        <w:t>2.</w:t>
      </w:r>
      <w:r>
        <w:rPr>
          <w:rFonts w:hint="default" w:eastAsia="仿宋_GB2312" w:cs="Times New Roman"/>
          <w:highlight w:val="none"/>
        </w:rPr>
        <w:t>城镇生态文化建设</w:t>
      </w:r>
    </w:p>
    <w:p w14:paraId="2122FD08">
      <w:pPr>
        <w:pageBreakBefore w:val="0"/>
        <w:kinsoku/>
        <w:wordWrap/>
        <w:overflowPunct/>
        <w:topLinePunct w:val="0"/>
        <w:autoSpaceDE/>
        <w:autoSpaceDN/>
        <w:bidi w:val="0"/>
        <w:spacing w:line="560" w:lineRule="exact"/>
        <w:ind w:left="0" w:leftChars="0" w:right="0" w:rightChars="0" w:firstLine="640"/>
        <w:rPr>
          <w:rFonts w:cs="Times New Roman"/>
          <w:highlight w:val="none"/>
        </w:rPr>
      </w:pPr>
      <w:r>
        <w:rPr>
          <w:rFonts w:hint="default" w:eastAsia="仿宋_GB2312" w:cs="Times New Roman"/>
          <w:highlight w:val="none"/>
        </w:rPr>
        <w:t>城镇生态文化是在传统城镇构建的基础上将生态学、生态经济学的原理贯穿于城镇建设中，建立以人为本、人与自然和谐共</w:t>
      </w:r>
      <w:r>
        <w:rPr>
          <w:rFonts w:hint="default" w:eastAsia="仿宋_GB2312" w:cs="Times New Roman"/>
          <w:highlight w:val="none"/>
          <w:lang w:eastAsia="zh-CN"/>
        </w:rPr>
        <w:t>生</w:t>
      </w:r>
      <w:r>
        <w:rPr>
          <w:rFonts w:hint="default" w:eastAsia="仿宋_GB2312" w:cs="Times New Roman"/>
          <w:highlight w:val="none"/>
        </w:rPr>
        <w:t>的团体，建设包括培育文明向上的城镇生态文化，倡导生态型的生活方式、消费模式与伦理道德规范；引导城镇居民采用对环境友好的废弃物处置方式，推行废弃物分类收集系统；建立生态型的城镇管理体系，利用城镇系统的社会-生态-经济调节功能，协调各功能体之间的关系，维护城镇平衡发展</w:t>
      </w:r>
      <w:r>
        <w:rPr>
          <w:rFonts w:eastAsia="仿宋_GB2312" w:cs="Times New Roman"/>
          <w:highlight w:val="none"/>
        </w:rPr>
        <w:t>。</w:t>
      </w:r>
    </w:p>
    <w:p w14:paraId="56DC37F7">
      <w:pPr>
        <w:pageBreakBefore w:val="0"/>
        <w:kinsoku/>
        <w:wordWrap/>
        <w:overflowPunct/>
        <w:topLinePunct w:val="0"/>
        <w:autoSpaceDE/>
        <w:autoSpaceDN/>
        <w:bidi w:val="0"/>
        <w:spacing w:line="560" w:lineRule="exact"/>
        <w:ind w:left="0" w:leftChars="0" w:right="0" w:rightChars="0" w:firstLine="640"/>
        <w:rPr>
          <w:rFonts w:eastAsia="仿宋_GB2312" w:cs="Times New Roman"/>
          <w:highlight w:val="none"/>
        </w:rPr>
      </w:pPr>
      <w:bookmarkStart w:id="154" w:name="_Toc4047"/>
      <w:r>
        <w:rPr>
          <w:rFonts w:eastAsia="仿宋_GB2312" w:cs="Times New Roman"/>
          <w:highlight w:val="none"/>
        </w:rPr>
        <w:t>3.</w:t>
      </w:r>
      <w:r>
        <w:rPr>
          <w:rFonts w:hint="default" w:eastAsia="仿宋_GB2312" w:cs="Times New Roman"/>
          <w:highlight w:val="none"/>
        </w:rPr>
        <w:t>农村生态文化建设</w:t>
      </w:r>
      <w:bookmarkEnd w:id="154"/>
    </w:p>
    <w:p w14:paraId="2AB54FF0">
      <w:pPr>
        <w:pStyle w:val="25"/>
        <w:pageBreakBefore w:val="0"/>
        <w:widowControl/>
        <w:kinsoku/>
        <w:wordWrap/>
        <w:overflowPunct/>
        <w:topLinePunct w:val="0"/>
        <w:autoSpaceDE/>
        <w:autoSpaceDN/>
        <w:bidi w:val="0"/>
        <w:spacing w:after="0" w:line="560" w:lineRule="exact"/>
        <w:ind w:left="0" w:leftChars="0" w:right="0" w:rightChars="0" w:firstLine="640"/>
        <w:rPr>
          <w:rFonts w:eastAsia="方正仿宋_GBK"/>
          <w:sz w:val="32"/>
          <w:highlight w:val="none"/>
        </w:rPr>
      </w:pPr>
      <w:r>
        <w:rPr>
          <w:rFonts w:hint="default" w:eastAsia="仿宋_GB2312"/>
          <w:sz w:val="32"/>
          <w:highlight w:val="none"/>
        </w:rPr>
        <w:t>以创建为载体，以健康生活方式引领农村生态文化建设，协调环境与经济、社会发展矛盾，积极投入社会主义新农村建设。提倡</w:t>
      </w:r>
      <w:r>
        <w:rPr>
          <w:rFonts w:hint="eastAsia" w:eastAsia="仿宋_GB2312"/>
          <w:sz w:val="32"/>
          <w:highlight w:val="none"/>
          <w:lang w:eastAsia="zh-CN"/>
        </w:rPr>
        <w:t>“</w:t>
      </w:r>
      <w:r>
        <w:rPr>
          <w:rFonts w:hint="default" w:eastAsia="仿宋_GB2312"/>
          <w:sz w:val="32"/>
          <w:highlight w:val="none"/>
        </w:rPr>
        <w:t>靠山养山、靠水养水</w:t>
      </w:r>
      <w:r>
        <w:rPr>
          <w:rFonts w:hint="eastAsia" w:eastAsia="仿宋_GB2312"/>
          <w:sz w:val="32"/>
          <w:highlight w:val="none"/>
          <w:lang w:eastAsia="zh-CN"/>
        </w:rPr>
        <w:t>”</w:t>
      </w:r>
      <w:r>
        <w:rPr>
          <w:rFonts w:hint="default" w:eastAsia="仿宋_GB2312"/>
          <w:sz w:val="32"/>
          <w:highlight w:val="none"/>
        </w:rPr>
        <w:t>的生态观，尤其应珍惜不可再生的自然景观与历史人文资源。大力推广绿色家庭、生态乡镇、生态村建设，引导和支持有条件的乡、镇、村、居民区申报创建环境优美乡镇</w:t>
      </w:r>
      <w:r>
        <w:rPr>
          <w:rFonts w:eastAsia="仿宋_GB2312"/>
          <w:sz w:val="32"/>
          <w:highlight w:val="none"/>
        </w:rPr>
        <w:t>。</w:t>
      </w:r>
    </w:p>
    <w:p w14:paraId="7BB7CDD0">
      <w:pPr>
        <w:pageBreakBefore w:val="0"/>
        <w:kinsoku/>
        <w:wordWrap/>
        <w:overflowPunct/>
        <w:topLinePunct w:val="0"/>
        <w:autoSpaceDE/>
        <w:autoSpaceDN/>
        <w:bidi w:val="0"/>
        <w:spacing w:line="560" w:lineRule="exact"/>
        <w:ind w:left="0" w:leftChars="0" w:right="0" w:rightChars="0" w:firstLine="640"/>
        <w:rPr>
          <w:rFonts w:hint="default" w:eastAsia="仿宋_GB2312" w:cs="Times New Roman"/>
          <w:highlight w:val="none"/>
        </w:rPr>
      </w:pPr>
      <w:r>
        <w:rPr>
          <w:rFonts w:hint="eastAsia" w:eastAsia="仿宋_GB2312" w:cs="Times New Roman"/>
          <w:highlight w:val="none"/>
          <w:lang w:val="en-US" w:eastAsia="zh-CN"/>
        </w:rPr>
        <w:t>4</w:t>
      </w:r>
      <w:r>
        <w:rPr>
          <w:rFonts w:eastAsia="仿宋_GB2312" w:cs="Times New Roman"/>
          <w:highlight w:val="none"/>
        </w:rPr>
        <w:t>.</w:t>
      </w:r>
      <w:r>
        <w:rPr>
          <w:rFonts w:hint="default" w:eastAsia="仿宋_GB2312" w:cs="Times New Roman"/>
          <w:highlight w:val="none"/>
        </w:rPr>
        <w:t>社会生态文化建设</w:t>
      </w:r>
    </w:p>
    <w:p w14:paraId="0C6E39E9">
      <w:pPr>
        <w:pageBreakBefore w:val="0"/>
        <w:kinsoku/>
        <w:wordWrap/>
        <w:overflowPunct/>
        <w:topLinePunct w:val="0"/>
        <w:autoSpaceDE/>
        <w:autoSpaceDN/>
        <w:bidi w:val="0"/>
        <w:spacing w:line="560" w:lineRule="exact"/>
        <w:ind w:left="0" w:leftChars="0" w:right="0" w:rightChars="0" w:firstLine="640"/>
        <w:rPr>
          <w:rFonts w:eastAsia="仿宋_GB2312"/>
          <w:sz w:val="32"/>
          <w:highlight w:val="none"/>
        </w:rPr>
      </w:pPr>
      <w:r>
        <w:rPr>
          <w:rFonts w:hint="default" w:eastAsia="仿宋_GB2312"/>
          <w:sz w:val="32"/>
          <w:highlight w:val="none"/>
        </w:rPr>
        <w:t>持续加强生态文明教育的硬件建设，构建现代公共文化服务体系。充分发挥博物馆、图书馆、文化站、体育中心、青少年活动中心、绿色学校以及报纸、电台、电视、网络等大众宣传媒介等在传播生态文化方面的作用，使其成为弘扬生态文化的重要阵地和承载生态文化的重要平台。充分发挥政府、企业、非政府组织和社会公民的作用，建立主体多元化的生态文明建设体系，将生态文明观念贯穿于社会各领域各环节，着重提高全民环境保护意识</w:t>
      </w:r>
      <w:r>
        <w:rPr>
          <w:rFonts w:eastAsia="仿宋_GB2312"/>
          <w:sz w:val="32"/>
          <w:highlight w:val="none"/>
        </w:rPr>
        <w:t>。</w:t>
      </w:r>
    </w:p>
    <w:p w14:paraId="33E81F81">
      <w:pPr>
        <w:pStyle w:val="9"/>
        <w:pageBreakBefore w:val="0"/>
        <w:kinsoku/>
        <w:wordWrap/>
        <w:overflowPunct/>
        <w:topLinePunct w:val="0"/>
        <w:autoSpaceDE/>
        <w:autoSpaceDN/>
        <w:bidi w:val="0"/>
        <w:spacing w:line="560" w:lineRule="exact"/>
        <w:ind w:left="0" w:leftChars="0" w:right="0" w:rightChars="0" w:firstLine="640"/>
        <w:rPr>
          <w:rFonts w:eastAsia="楷体_GB2312" w:cs="Times New Roman"/>
          <w:b/>
          <w:bCs w:val="0"/>
          <w:highlight w:val="none"/>
        </w:rPr>
      </w:pPr>
      <w:r>
        <w:rPr>
          <w:rFonts w:eastAsia="楷体_GB2312" w:cs="Times New Roman"/>
          <w:b/>
          <w:bCs w:val="0"/>
          <w:highlight w:val="none"/>
        </w:rPr>
        <w:t>（二）</w:t>
      </w:r>
      <w:bookmarkStart w:id="155" w:name="_Toc471159793"/>
      <w:bookmarkStart w:id="156" w:name="_Toc471226335"/>
      <w:bookmarkStart w:id="157" w:name="_Toc469297840"/>
      <w:bookmarkStart w:id="158" w:name="_Toc471226400"/>
      <w:bookmarkStart w:id="159" w:name="_Toc469262376"/>
      <w:r>
        <w:rPr>
          <w:rFonts w:hint="eastAsia" w:eastAsia="楷体_GB2312" w:cs="Times New Roman"/>
          <w:b/>
          <w:bCs w:val="0"/>
          <w:highlight w:val="none"/>
          <w:lang w:eastAsia="zh-CN"/>
        </w:rPr>
        <w:t>完善生态文明宣传教育体系</w:t>
      </w:r>
      <w:bookmarkEnd w:id="155"/>
      <w:bookmarkEnd w:id="156"/>
      <w:bookmarkEnd w:id="157"/>
      <w:bookmarkEnd w:id="158"/>
      <w:bookmarkEnd w:id="159"/>
    </w:p>
    <w:p w14:paraId="14AEB043">
      <w:pPr>
        <w:pageBreakBefore w:val="0"/>
        <w:kinsoku/>
        <w:wordWrap/>
        <w:overflowPunct/>
        <w:topLinePunct w:val="0"/>
        <w:autoSpaceDE/>
        <w:autoSpaceDN/>
        <w:bidi w:val="0"/>
        <w:spacing w:line="560" w:lineRule="exact"/>
        <w:ind w:left="0" w:leftChars="0" w:right="0" w:rightChars="0" w:firstLine="640"/>
        <w:rPr>
          <w:rFonts w:eastAsia="仿宋_GB2312" w:cs="Times New Roman"/>
          <w:highlight w:val="none"/>
        </w:rPr>
      </w:pPr>
      <w:r>
        <w:rPr>
          <w:rFonts w:eastAsia="仿宋_GB2312" w:cs="Times New Roman"/>
          <w:highlight w:val="none"/>
        </w:rPr>
        <w:t>1.</w:t>
      </w:r>
      <w:r>
        <w:rPr>
          <w:rFonts w:hint="default" w:eastAsia="仿宋_GB2312" w:cs="Times New Roman"/>
          <w:highlight w:val="none"/>
        </w:rPr>
        <w:t>加强面向决策层的环保宣传</w:t>
      </w:r>
    </w:p>
    <w:p w14:paraId="623B162B">
      <w:pPr>
        <w:pageBreakBefore w:val="0"/>
        <w:kinsoku/>
        <w:wordWrap/>
        <w:overflowPunct/>
        <w:topLinePunct w:val="0"/>
        <w:autoSpaceDE/>
        <w:autoSpaceDN/>
        <w:bidi w:val="0"/>
        <w:spacing w:line="560" w:lineRule="exact"/>
        <w:ind w:left="0" w:leftChars="0" w:right="0" w:rightChars="0" w:firstLine="640"/>
        <w:rPr>
          <w:rFonts w:eastAsia="仿宋_GB2312" w:cs="Times New Roman"/>
          <w:highlight w:val="none"/>
        </w:rPr>
      </w:pPr>
      <w:r>
        <w:rPr>
          <w:rFonts w:hint="default" w:eastAsia="仿宋_GB2312" w:cs="Times New Roman"/>
          <w:highlight w:val="none"/>
        </w:rPr>
        <w:t>重点加强对领导干部的生态文明理念培训力度，设立生态环境或环境保护课程，开设环境保护专题讲座，在领导干部中广泛树立生态环境保护与社会经济协调发展的思想，培养正确的生态价值观和科学的经济发展理念。将生态文化作为干部队伍建设和考察的指标，使各级领导干部对政绩的追求变为实践科学发展、建设生态文明的内在动力</w:t>
      </w:r>
      <w:r>
        <w:rPr>
          <w:rFonts w:eastAsia="仿宋_GB2312" w:cs="Times New Roman"/>
          <w:highlight w:val="none"/>
        </w:rPr>
        <w:t>。</w:t>
      </w:r>
    </w:p>
    <w:p w14:paraId="00A260D1">
      <w:pPr>
        <w:pageBreakBefore w:val="0"/>
        <w:kinsoku/>
        <w:wordWrap/>
        <w:overflowPunct/>
        <w:topLinePunct w:val="0"/>
        <w:autoSpaceDE/>
        <w:autoSpaceDN/>
        <w:bidi w:val="0"/>
        <w:spacing w:line="560" w:lineRule="exact"/>
        <w:ind w:left="0" w:leftChars="0" w:right="0" w:rightChars="0" w:firstLine="640"/>
        <w:rPr>
          <w:rFonts w:eastAsia="仿宋_GB2312" w:cs="Times New Roman"/>
          <w:highlight w:val="none"/>
        </w:rPr>
      </w:pPr>
      <w:r>
        <w:rPr>
          <w:rFonts w:eastAsia="仿宋_GB2312" w:cs="Times New Roman"/>
          <w:highlight w:val="none"/>
        </w:rPr>
        <w:t>2.</w:t>
      </w:r>
      <w:r>
        <w:rPr>
          <w:rFonts w:hint="default" w:eastAsia="仿宋_GB2312" w:cs="Times New Roman"/>
          <w:highlight w:val="none"/>
        </w:rPr>
        <w:t>强化媒体的生态文化宣传责任</w:t>
      </w:r>
    </w:p>
    <w:p w14:paraId="400CE21E">
      <w:pPr>
        <w:pageBreakBefore w:val="0"/>
        <w:kinsoku/>
        <w:wordWrap/>
        <w:overflowPunct/>
        <w:topLinePunct w:val="0"/>
        <w:autoSpaceDE/>
        <w:autoSpaceDN/>
        <w:bidi w:val="0"/>
        <w:spacing w:line="560" w:lineRule="exact"/>
        <w:ind w:left="0" w:leftChars="0" w:right="0" w:rightChars="0" w:firstLine="640"/>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rPr>
        <w:t>将更多的媒体资源投入到生态文化建设中，各类媒体加大对生态文化建设宣传的强度，加大黄金时段、主要版面对生态文化、生态理念的宣传力度。加大对环境污染、破坏生态事件的曝光强度和深度。充分利用传播速度快、涉及面广的新媒体或自媒体，创新生态文化宣传的形式和方法</w:t>
      </w:r>
      <w:r>
        <w:rPr>
          <w:rFonts w:hint="eastAsia" w:ascii="仿宋_GB2312" w:hAnsi="仿宋_GB2312" w:eastAsia="仿宋_GB2312" w:cs="仿宋_GB2312"/>
          <w:highlight w:val="none"/>
          <w:lang w:eastAsia="zh-CN"/>
        </w:rPr>
        <w:t>。</w:t>
      </w:r>
    </w:p>
    <w:p w14:paraId="7E8FF9B9">
      <w:pPr>
        <w:pageBreakBefore w:val="0"/>
        <w:kinsoku/>
        <w:wordWrap/>
        <w:overflowPunct/>
        <w:topLinePunct w:val="0"/>
        <w:autoSpaceDE/>
        <w:autoSpaceDN/>
        <w:bidi w:val="0"/>
        <w:spacing w:line="560" w:lineRule="exact"/>
        <w:ind w:left="0" w:leftChars="0" w:right="0" w:rightChars="0" w:firstLine="640"/>
        <w:rPr>
          <w:rFonts w:eastAsia="仿宋_GB2312" w:cs="Times New Roman"/>
          <w:highlight w:val="none"/>
        </w:rPr>
      </w:pPr>
      <w:r>
        <w:rPr>
          <w:rFonts w:hint="eastAsia" w:eastAsia="仿宋_GB2312" w:cs="Times New Roman"/>
          <w:highlight w:val="none"/>
          <w:lang w:val="en-US" w:eastAsia="zh-CN"/>
        </w:rPr>
        <w:t>3</w:t>
      </w:r>
      <w:r>
        <w:rPr>
          <w:rFonts w:eastAsia="仿宋_GB2312" w:cs="Times New Roman"/>
          <w:highlight w:val="none"/>
        </w:rPr>
        <w:t>.</w:t>
      </w:r>
      <w:r>
        <w:rPr>
          <w:rFonts w:hint="default" w:eastAsia="仿宋_GB2312" w:cs="Times New Roman"/>
          <w:highlight w:val="none"/>
        </w:rPr>
        <w:t>培育公众的生态文化理念</w:t>
      </w:r>
    </w:p>
    <w:p w14:paraId="01658A4D">
      <w:pPr>
        <w:pageBreakBefore w:val="0"/>
        <w:kinsoku/>
        <w:wordWrap/>
        <w:overflowPunct/>
        <w:topLinePunct w:val="0"/>
        <w:autoSpaceDE/>
        <w:autoSpaceDN/>
        <w:bidi w:val="0"/>
        <w:spacing w:line="560" w:lineRule="exact"/>
        <w:ind w:left="0" w:leftChars="0" w:right="0" w:rightChars="0" w:firstLine="640"/>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eastAsia="zh-CN"/>
        </w:rPr>
        <w:t>公众是生态文化建设的主体力量，公众生态文化素质的高低直接影响着他们对环保的参与状况，直接影响着生态文化建设的进度和成效。建立和完善生态文化培育制度，实施全民生态教育，使生态教育全方位覆盖到家庭、学校和社会。全市形成一种学习生态文明精神、领悟生态文明理念、践行生态文明准则的良好氛围，培养具有较高生态意识的公民。</w:t>
      </w:r>
    </w:p>
    <w:p w14:paraId="4B9C541F">
      <w:pPr>
        <w:pageBreakBefore w:val="0"/>
        <w:kinsoku/>
        <w:wordWrap/>
        <w:overflowPunct/>
        <w:topLinePunct w:val="0"/>
        <w:autoSpaceDE/>
        <w:autoSpaceDN/>
        <w:bidi w:val="0"/>
        <w:spacing w:line="560" w:lineRule="exact"/>
        <w:ind w:left="0" w:leftChars="0" w:right="0" w:rightChars="0" w:firstLine="640"/>
        <w:rPr>
          <w:rFonts w:eastAsia="仿宋_GB2312" w:cs="Times New Roman"/>
          <w:highlight w:val="none"/>
        </w:rPr>
      </w:pPr>
      <w:r>
        <w:rPr>
          <w:rFonts w:hint="eastAsia" w:eastAsia="仿宋_GB2312" w:cs="Times New Roman"/>
          <w:highlight w:val="none"/>
          <w:lang w:val="en-US" w:eastAsia="zh-CN"/>
        </w:rPr>
        <w:t>4</w:t>
      </w:r>
      <w:r>
        <w:rPr>
          <w:rFonts w:eastAsia="仿宋_GB2312" w:cs="Times New Roman"/>
          <w:highlight w:val="none"/>
        </w:rPr>
        <w:t>.</w:t>
      </w:r>
      <w:r>
        <w:rPr>
          <w:rFonts w:hint="eastAsia" w:eastAsia="仿宋_GB2312" w:cs="Times New Roman"/>
          <w:highlight w:val="none"/>
        </w:rPr>
        <w:t>加强绿色学校建设</w:t>
      </w:r>
    </w:p>
    <w:p w14:paraId="2912616E">
      <w:pPr>
        <w:pageBreakBefore w:val="0"/>
        <w:kinsoku/>
        <w:wordWrap/>
        <w:overflowPunct/>
        <w:topLinePunct w:val="0"/>
        <w:autoSpaceDE/>
        <w:autoSpaceDN/>
        <w:bidi w:val="0"/>
        <w:spacing w:line="560" w:lineRule="exact"/>
        <w:ind w:left="0" w:leftChars="0" w:right="0" w:rightChars="0" w:firstLine="640"/>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eastAsia="zh-CN"/>
        </w:rPr>
        <w:t>积极开展中小学绿色学校创建工作，广泛开展校园绿化、卫生保洁以及垃圾分类搜集等校园环境建设活动，提升师生的环境意识；开设有关自然保护生态教育课程、专题讲座或开展环保主题班会等，让在校学生接受系统性环保教育；积极开展生态环境保护社会实践活动，组织当地中小学生参与生态夏令营等实践活动，亲身体验青山绿水、林木葱茏、鸟语花香的原始自然风光，培养保护自然生态环境的意识。</w:t>
      </w:r>
    </w:p>
    <w:p w14:paraId="3DFBF757">
      <w:pPr>
        <w:pageBreakBefore w:val="0"/>
        <w:kinsoku/>
        <w:wordWrap/>
        <w:overflowPunct/>
        <w:topLinePunct w:val="0"/>
        <w:autoSpaceDE/>
        <w:autoSpaceDN/>
        <w:bidi w:val="0"/>
        <w:spacing w:line="560" w:lineRule="exact"/>
        <w:ind w:left="0" w:leftChars="0" w:right="0" w:rightChars="0" w:firstLine="640"/>
        <w:rPr>
          <w:rFonts w:eastAsia="仿宋_GB2312" w:cs="Times New Roman"/>
          <w:highlight w:val="none"/>
        </w:rPr>
      </w:pPr>
      <w:r>
        <w:rPr>
          <w:rFonts w:hint="eastAsia" w:eastAsia="仿宋_GB2312" w:cs="Times New Roman"/>
          <w:highlight w:val="none"/>
          <w:lang w:val="en-US" w:eastAsia="zh-CN"/>
        </w:rPr>
        <w:t>5</w:t>
      </w:r>
      <w:r>
        <w:rPr>
          <w:rFonts w:eastAsia="仿宋_GB2312" w:cs="Times New Roman"/>
          <w:highlight w:val="none"/>
        </w:rPr>
        <w:t>.</w:t>
      </w:r>
      <w:r>
        <w:rPr>
          <w:rFonts w:hint="eastAsia" w:eastAsia="仿宋_GB2312" w:cs="Times New Roman"/>
          <w:highlight w:val="none"/>
        </w:rPr>
        <w:t>培育农村生态文化</w:t>
      </w:r>
    </w:p>
    <w:p w14:paraId="3FBCA4F9">
      <w:pPr>
        <w:pageBreakBefore w:val="0"/>
        <w:kinsoku/>
        <w:wordWrap/>
        <w:overflowPunct/>
        <w:topLinePunct w:val="0"/>
        <w:autoSpaceDE/>
        <w:autoSpaceDN/>
        <w:bidi w:val="0"/>
        <w:spacing w:line="560" w:lineRule="exact"/>
        <w:ind w:left="0" w:leftChars="0" w:right="0" w:rightChars="0" w:firstLine="640"/>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rPr>
        <w:t>加大环境执法力度，培养环保习惯，树立农民环保信心。规范村民行为，树立农村公众的生态价值观，提升生态伦理道德水平。积极开展农村生态文化培育，通过广播、宣传栏、文艺演出等相关形式，充分提高广大农民群众的生态文化意识，普及和传授生态知识，培育农村生态文化</w:t>
      </w:r>
      <w:r>
        <w:rPr>
          <w:rFonts w:hint="eastAsia" w:ascii="仿宋_GB2312" w:hAnsi="仿宋_GB2312" w:eastAsia="仿宋_GB2312" w:cs="仿宋_GB2312"/>
          <w:highlight w:val="none"/>
          <w:lang w:eastAsia="zh-CN"/>
        </w:rPr>
        <w:t>。</w:t>
      </w:r>
    </w:p>
    <w:p w14:paraId="17231FC3">
      <w:pPr>
        <w:pStyle w:val="9"/>
        <w:pageBreakBefore w:val="0"/>
        <w:kinsoku/>
        <w:wordWrap/>
        <w:overflowPunct/>
        <w:topLinePunct w:val="0"/>
        <w:autoSpaceDE/>
        <w:autoSpaceDN/>
        <w:bidi w:val="0"/>
        <w:spacing w:line="560" w:lineRule="exact"/>
        <w:ind w:left="0" w:leftChars="0" w:right="0" w:rightChars="0" w:firstLine="640"/>
        <w:rPr>
          <w:rFonts w:eastAsia="楷体_GB2312" w:cs="Times New Roman"/>
          <w:b/>
          <w:bCs w:val="0"/>
          <w:highlight w:val="none"/>
        </w:rPr>
      </w:pPr>
      <w:r>
        <w:rPr>
          <w:rFonts w:eastAsia="楷体_GB2312" w:cs="Times New Roman"/>
          <w:b/>
          <w:bCs w:val="0"/>
          <w:highlight w:val="none"/>
        </w:rPr>
        <w:t>（</w:t>
      </w:r>
      <w:r>
        <w:rPr>
          <w:rFonts w:hint="eastAsia" w:eastAsia="楷体_GB2312" w:cs="Times New Roman"/>
          <w:b/>
          <w:bCs w:val="0"/>
          <w:highlight w:val="none"/>
          <w:lang w:eastAsia="zh-CN"/>
        </w:rPr>
        <w:t>三</w:t>
      </w:r>
      <w:r>
        <w:rPr>
          <w:rFonts w:eastAsia="楷体_GB2312" w:cs="Times New Roman"/>
          <w:b/>
          <w:bCs w:val="0"/>
          <w:highlight w:val="none"/>
        </w:rPr>
        <w:t>）</w:t>
      </w:r>
      <w:bookmarkStart w:id="160" w:name="_Toc469297841"/>
      <w:bookmarkStart w:id="161" w:name="_Toc471226340"/>
      <w:bookmarkStart w:id="162" w:name="_Toc471159794"/>
      <w:bookmarkStart w:id="163" w:name="_Toc471226401"/>
      <w:r>
        <w:rPr>
          <w:rFonts w:hint="eastAsia" w:eastAsia="楷体_GB2312" w:cs="Times New Roman"/>
          <w:b/>
          <w:bCs w:val="0"/>
          <w:highlight w:val="none"/>
          <w:lang w:eastAsia="zh-CN"/>
        </w:rPr>
        <w:t>促进</w:t>
      </w:r>
      <w:bookmarkEnd w:id="160"/>
      <w:bookmarkEnd w:id="161"/>
      <w:bookmarkEnd w:id="162"/>
      <w:bookmarkEnd w:id="163"/>
      <w:r>
        <w:rPr>
          <w:rFonts w:hint="eastAsia" w:eastAsia="楷体_GB2312" w:cs="Times New Roman"/>
          <w:b/>
          <w:bCs w:val="0"/>
          <w:highlight w:val="none"/>
          <w:lang w:eastAsia="zh-CN"/>
        </w:rPr>
        <w:t>生态文明共建共享</w:t>
      </w:r>
    </w:p>
    <w:p w14:paraId="27F027DF">
      <w:pPr>
        <w:pageBreakBefore w:val="0"/>
        <w:kinsoku/>
        <w:wordWrap/>
        <w:overflowPunct/>
        <w:topLinePunct w:val="0"/>
        <w:autoSpaceDE/>
        <w:autoSpaceDN/>
        <w:bidi w:val="0"/>
        <w:spacing w:line="560" w:lineRule="exact"/>
        <w:ind w:left="0" w:leftChars="0" w:right="0" w:rightChars="0" w:firstLine="640"/>
        <w:rPr>
          <w:rFonts w:eastAsia="仿宋_GB2312" w:cs="Times New Roman"/>
          <w:highlight w:val="none"/>
        </w:rPr>
      </w:pPr>
      <w:r>
        <w:rPr>
          <w:rFonts w:eastAsia="仿宋_GB2312" w:cs="Times New Roman"/>
          <w:highlight w:val="none"/>
        </w:rPr>
        <w:t>1.</w:t>
      </w:r>
      <w:r>
        <w:rPr>
          <w:rFonts w:hint="default" w:eastAsia="仿宋_GB2312" w:cs="Times New Roman"/>
          <w:highlight w:val="none"/>
        </w:rPr>
        <w:t>深入推进公众参与</w:t>
      </w:r>
    </w:p>
    <w:p w14:paraId="0250FD71">
      <w:pPr>
        <w:pageBreakBefore w:val="0"/>
        <w:kinsoku/>
        <w:wordWrap/>
        <w:overflowPunct/>
        <w:topLinePunct w:val="0"/>
        <w:autoSpaceDE/>
        <w:autoSpaceDN/>
        <w:bidi w:val="0"/>
        <w:spacing w:line="560" w:lineRule="exact"/>
        <w:ind w:left="0" w:leftChars="0" w:right="0" w:rightChars="0" w:firstLine="640"/>
        <w:rPr>
          <w:rFonts w:eastAsia="仿宋_GB2312" w:cs="Times New Roman"/>
          <w:highlight w:val="none"/>
        </w:rPr>
      </w:pPr>
      <w:r>
        <w:rPr>
          <w:rFonts w:hint="default" w:eastAsia="仿宋_GB2312" w:cs="Times New Roman"/>
          <w:highlight w:val="none"/>
        </w:rPr>
        <w:t>从保障群众基本环境权益的要求出发，建立更为及时、全面的环境信息公开制度，包括：环境质量信息公开、污染排放情况公开、环境污染事件信息公开、环境相关决策公开等。建立有利于公众参与的环境管理制度，让群众有机会参与环境事务管理，使创建规划成为</w:t>
      </w:r>
      <w:r>
        <w:rPr>
          <w:rFonts w:hint="eastAsia" w:eastAsia="仿宋_GB2312" w:cs="Times New Roman"/>
          <w:highlight w:val="none"/>
          <w:lang w:eastAsia="zh-CN"/>
        </w:rPr>
        <w:t>“</w:t>
      </w:r>
      <w:r>
        <w:rPr>
          <w:rFonts w:hint="default" w:eastAsia="仿宋_GB2312" w:cs="Times New Roman"/>
          <w:highlight w:val="none"/>
        </w:rPr>
        <w:t>人民城市人民管</w:t>
      </w:r>
      <w:r>
        <w:rPr>
          <w:rFonts w:hint="eastAsia" w:eastAsia="仿宋_GB2312" w:cs="Times New Roman"/>
          <w:highlight w:val="none"/>
          <w:lang w:eastAsia="zh-CN"/>
        </w:rPr>
        <w:t>”</w:t>
      </w:r>
      <w:r>
        <w:rPr>
          <w:rFonts w:hint="default" w:eastAsia="仿宋_GB2312" w:cs="Times New Roman"/>
          <w:highlight w:val="none"/>
        </w:rPr>
        <w:t>的重要载体之一。要全社会发动，广泛宣传生态文明建设的重大意义和建设内涵，加强科学发展观、生态文明、环境保护知识的普及教育，进一步提高全社会的环境意识。要严肃查处环境违法案件，鼓励公众参与，营造全社会共同参与生态文明市建设的良好氛围。在特定地点展示</w:t>
      </w:r>
      <w:r>
        <w:rPr>
          <w:rFonts w:hint="eastAsia" w:eastAsia="仿宋_GB2312" w:cs="Times New Roman"/>
          <w:highlight w:val="none"/>
          <w:lang w:eastAsia="zh-CN"/>
        </w:rPr>
        <w:t>“</w:t>
      </w:r>
      <w:r>
        <w:rPr>
          <w:rFonts w:hint="default" w:eastAsia="仿宋_GB2312" w:cs="Times New Roman"/>
          <w:highlight w:val="none"/>
        </w:rPr>
        <w:t>创生</w:t>
      </w:r>
      <w:r>
        <w:rPr>
          <w:rFonts w:hint="eastAsia" w:eastAsia="仿宋_GB2312" w:cs="Times New Roman"/>
          <w:highlight w:val="none"/>
          <w:lang w:eastAsia="zh-CN"/>
        </w:rPr>
        <w:t>”</w:t>
      </w:r>
      <w:r>
        <w:rPr>
          <w:rFonts w:hint="default" w:eastAsia="仿宋_GB2312" w:cs="Times New Roman"/>
          <w:highlight w:val="none"/>
        </w:rPr>
        <w:t>的理念和建设成就，展示内容包括：生态环境保护重点区域、重点流域污染防治工作的重要进展；生态环境保护重点工程对改善环境质量所起的重要作用；环境保护工作中行之有效的新措施和好做法；开展生态环境保护专项行动、有力遏制污染、维护群众切身利益；宣传环境保护的新观念、新知识；宣传环境文化，倡导科学生产、文明生活与消费的观念。强化引导公众参与生态文明建设，创造有利、宽松的政策环境，扩展公众参与环境管理决策的途径和方式，加强和完善公众参与的支持保障措施，发展壮大生态文明建设的社会力量，逐步建立起良性的公众参与互动机制，构建全民参与的社会行动体系</w:t>
      </w:r>
      <w:r>
        <w:rPr>
          <w:rFonts w:hint="eastAsia" w:eastAsia="仿宋_GB2312" w:cs="Times New Roman"/>
          <w:highlight w:val="none"/>
          <w:lang w:eastAsia="zh-CN"/>
        </w:rPr>
        <w:t>，提高</w:t>
      </w:r>
      <w:r>
        <w:rPr>
          <w:rFonts w:hint="default" w:eastAsia="仿宋_GB2312" w:cs="Times New Roman"/>
          <w:highlight w:val="none"/>
        </w:rPr>
        <w:t>公众对生态文明建设的参与度</w:t>
      </w:r>
      <w:r>
        <w:rPr>
          <w:rFonts w:eastAsia="仿宋_GB2312" w:cs="Times New Roman"/>
          <w:highlight w:val="none"/>
        </w:rPr>
        <w:t>。</w:t>
      </w:r>
    </w:p>
    <w:p w14:paraId="6AA49241">
      <w:pPr>
        <w:pageBreakBefore w:val="0"/>
        <w:kinsoku/>
        <w:wordWrap/>
        <w:overflowPunct/>
        <w:topLinePunct w:val="0"/>
        <w:autoSpaceDE/>
        <w:autoSpaceDN/>
        <w:bidi w:val="0"/>
        <w:spacing w:line="560" w:lineRule="exact"/>
        <w:ind w:left="0" w:leftChars="0" w:right="0" w:rightChars="0" w:firstLine="640"/>
        <w:rPr>
          <w:rFonts w:eastAsia="仿宋_GB2312" w:cs="Times New Roman"/>
          <w:highlight w:val="none"/>
        </w:rPr>
      </w:pPr>
      <w:r>
        <w:rPr>
          <w:rFonts w:hint="eastAsia" w:eastAsia="仿宋_GB2312" w:cs="Times New Roman"/>
          <w:highlight w:val="none"/>
          <w:lang w:val="en-US" w:eastAsia="zh-CN"/>
        </w:rPr>
        <w:t>2</w:t>
      </w:r>
      <w:r>
        <w:rPr>
          <w:rFonts w:eastAsia="仿宋_GB2312" w:cs="Times New Roman"/>
          <w:highlight w:val="none"/>
        </w:rPr>
        <w:t>.</w:t>
      </w:r>
      <w:r>
        <w:rPr>
          <w:rFonts w:hint="default" w:eastAsia="仿宋_GB2312" w:cs="Times New Roman"/>
          <w:highlight w:val="none"/>
        </w:rPr>
        <w:t>建立社会监督机制</w:t>
      </w:r>
    </w:p>
    <w:p w14:paraId="7CA7A90F">
      <w:pPr>
        <w:pageBreakBefore w:val="0"/>
        <w:kinsoku/>
        <w:wordWrap/>
        <w:overflowPunct/>
        <w:topLinePunct w:val="0"/>
        <w:autoSpaceDE/>
        <w:autoSpaceDN/>
        <w:bidi w:val="0"/>
        <w:spacing w:line="560" w:lineRule="exact"/>
        <w:ind w:left="0" w:leftChars="0" w:right="0" w:rightChars="0" w:firstLine="640"/>
        <w:rPr>
          <w:highlight w:val="yellow"/>
        </w:rPr>
      </w:pPr>
      <w:r>
        <w:rPr>
          <w:rFonts w:hint="default" w:eastAsia="仿宋_GB2312" w:cs="Times New Roman"/>
          <w:highlight w:val="none"/>
        </w:rPr>
        <w:t>构建基层环境监管工作体系，在各乡镇配备专职人员，建立村（社区）生态环境保护协管员制度，初步实现环境监管全域覆盖。同时，聘请一些热心支持生态环境保护事业的市民担任特邀环境监督员，以发挥社会力量环境监督作用。建立生态环境保护网络举报平台和举报制度，健全公示、举报、听证、舆论监督等制度，让每个人都能成为生态文明建设的参与者、建设者、监督者</w:t>
      </w:r>
      <w:r>
        <w:rPr>
          <w:rFonts w:eastAsia="仿宋_GB2312" w:cs="Times New Roman"/>
          <w:highlight w:val="none"/>
        </w:rPr>
        <w:t>。</w:t>
      </w:r>
    </w:p>
    <w:p w14:paraId="080ADC46">
      <w:pPr>
        <w:pageBreakBefore w:val="0"/>
        <w:kinsoku/>
        <w:wordWrap/>
        <w:overflowPunct/>
        <w:topLinePunct w:val="0"/>
        <w:autoSpaceDE/>
        <w:autoSpaceDN/>
        <w:bidi w:val="0"/>
        <w:spacing w:line="560" w:lineRule="exact"/>
        <w:ind w:left="0" w:leftChars="0" w:right="0" w:rightChars="0" w:firstLine="883"/>
        <w:rPr>
          <w:rFonts w:eastAsia="黑体"/>
          <w:b/>
          <w:bCs/>
          <w:kern w:val="44"/>
          <w:sz w:val="44"/>
          <w:szCs w:val="44"/>
          <w:highlight w:val="yellow"/>
        </w:rPr>
      </w:pPr>
      <w:r>
        <w:rPr>
          <w:rFonts w:eastAsia="黑体"/>
          <w:b/>
          <w:bCs/>
          <w:kern w:val="44"/>
          <w:sz w:val="44"/>
          <w:szCs w:val="44"/>
          <w:highlight w:val="yellow"/>
        </w:rPr>
        <w:br w:type="page"/>
      </w:r>
    </w:p>
    <w:p w14:paraId="10305CE3">
      <w:pPr>
        <w:pStyle w:val="7"/>
        <w:pageBreakBefore w:val="0"/>
        <w:kinsoku/>
        <w:wordWrap/>
        <w:overflowPunct/>
        <w:topLinePunct w:val="0"/>
        <w:autoSpaceDE/>
        <w:autoSpaceDN/>
        <w:bidi w:val="0"/>
        <w:spacing w:line="560" w:lineRule="exact"/>
        <w:ind w:left="0" w:leftChars="0" w:right="0" w:rightChars="0" w:firstLine="0" w:firstLineChars="0"/>
        <w:jc w:val="center"/>
        <w:rPr>
          <w:rFonts w:hint="eastAsia" w:ascii="方正小标宋简体" w:hAnsi="方正小标宋简体" w:eastAsia="方正小标宋简体" w:cs="方正小标宋简体"/>
          <w:b w:val="0"/>
          <w:bCs w:val="0"/>
          <w:highlight w:val="none"/>
        </w:rPr>
      </w:pPr>
      <w:bookmarkStart w:id="164" w:name="_Toc6929"/>
      <w:bookmarkStart w:id="165" w:name="_Toc19396"/>
      <w:bookmarkStart w:id="166" w:name="_Toc32010"/>
      <w:bookmarkStart w:id="167" w:name="_Toc1890"/>
      <w:bookmarkStart w:id="168" w:name="_Toc2134"/>
      <w:bookmarkStart w:id="169" w:name="_Toc31057"/>
      <w:bookmarkStart w:id="170" w:name="_Toc13614"/>
      <w:bookmarkStart w:id="171" w:name="_Toc10727"/>
      <w:r>
        <w:rPr>
          <w:rFonts w:hint="eastAsia" w:ascii="方正小标宋简体" w:hAnsi="方正小标宋简体" w:eastAsia="方正小标宋简体" w:cs="方正小标宋简体"/>
          <w:b w:val="0"/>
          <w:bCs w:val="0"/>
          <w:highlight w:val="none"/>
        </w:rPr>
        <w:t>第</w:t>
      </w:r>
      <w:r>
        <w:rPr>
          <w:rFonts w:hint="eastAsia" w:ascii="方正小标宋简体" w:hAnsi="方正小标宋简体" w:eastAsia="方正小标宋简体" w:cs="方正小标宋简体"/>
          <w:b w:val="0"/>
          <w:bCs w:val="0"/>
          <w:highlight w:val="none"/>
          <w:lang w:eastAsia="zh-CN"/>
        </w:rPr>
        <w:t>四</w:t>
      </w:r>
      <w:r>
        <w:rPr>
          <w:rFonts w:hint="eastAsia" w:ascii="方正小标宋简体" w:hAnsi="方正小标宋简体" w:eastAsia="方正小标宋简体" w:cs="方正小标宋简体"/>
          <w:b w:val="0"/>
          <w:bCs w:val="0"/>
          <w:highlight w:val="none"/>
        </w:rPr>
        <w:t>章  重点工程与效益分析</w:t>
      </w:r>
      <w:bookmarkEnd w:id="164"/>
      <w:bookmarkEnd w:id="165"/>
      <w:bookmarkEnd w:id="166"/>
      <w:bookmarkEnd w:id="167"/>
      <w:bookmarkEnd w:id="168"/>
      <w:bookmarkEnd w:id="169"/>
      <w:bookmarkEnd w:id="170"/>
      <w:bookmarkEnd w:id="171"/>
    </w:p>
    <w:p w14:paraId="7AAAFAB4">
      <w:pPr>
        <w:pStyle w:val="8"/>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rPr>
          <w:b w:val="0"/>
          <w:bCs w:val="0"/>
          <w:highlight w:val="none"/>
        </w:rPr>
      </w:pPr>
      <w:bookmarkStart w:id="172" w:name="_Toc16548"/>
      <w:bookmarkStart w:id="173" w:name="_Toc18346"/>
      <w:bookmarkStart w:id="174" w:name="_Toc12627"/>
      <w:bookmarkStart w:id="175" w:name="_Toc23610"/>
      <w:bookmarkStart w:id="176" w:name="_Toc8320"/>
      <w:bookmarkStart w:id="177" w:name="_Toc11314"/>
      <w:bookmarkStart w:id="178" w:name="_Toc303"/>
      <w:bookmarkStart w:id="179" w:name="_Toc6748"/>
      <w:r>
        <w:rPr>
          <w:rFonts w:hint="eastAsia"/>
          <w:b w:val="0"/>
          <w:bCs w:val="0"/>
          <w:highlight w:val="none"/>
        </w:rPr>
        <w:t>一、</w:t>
      </w:r>
      <w:r>
        <w:rPr>
          <w:rFonts w:hint="eastAsia"/>
          <w:b w:val="0"/>
          <w:bCs w:val="0"/>
          <w:highlight w:val="none"/>
          <w:lang w:eastAsia="zh-CN"/>
        </w:rPr>
        <w:t>工程内容与投资估算</w:t>
      </w:r>
      <w:bookmarkEnd w:id="172"/>
      <w:bookmarkEnd w:id="173"/>
      <w:bookmarkEnd w:id="174"/>
      <w:bookmarkEnd w:id="175"/>
      <w:bookmarkEnd w:id="176"/>
      <w:bookmarkEnd w:id="177"/>
      <w:bookmarkEnd w:id="178"/>
      <w:bookmarkEnd w:id="179"/>
    </w:p>
    <w:p w14:paraId="75741CE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rPr>
          <w:rFonts w:eastAsia="仿宋_GB2312" w:cs="Times New Roman"/>
          <w:highlight w:val="none"/>
        </w:rPr>
      </w:pPr>
      <w:r>
        <w:rPr>
          <w:rFonts w:hint="eastAsia" w:eastAsia="仿宋_GB2312" w:cs="Times New Roman"/>
          <w:highlight w:val="none"/>
        </w:rPr>
        <w:t>为落实规划和生态文明建设任务，必须调动各方面的积极性，集中力量，围绕生态制度、生态安全、生态空间、生态经济、生态生活、生态文化等六大领域建设，完成六大任务工程建设项目。对照国家生态文明建设示范区的指标，本规划共有6 大工</w:t>
      </w:r>
      <w:r>
        <w:rPr>
          <w:rFonts w:hint="default" w:eastAsia="仿宋_GB2312" w:cs="Times New Roman"/>
          <w:highlight w:val="none"/>
        </w:rPr>
        <w:t>程，</w:t>
      </w:r>
      <w:r>
        <w:rPr>
          <w:rFonts w:hint="eastAsia" w:eastAsia="仿宋_GB2312" w:cs="Times New Roman"/>
          <w:highlight w:val="none"/>
          <w:lang w:val="en-US" w:eastAsia="zh-CN"/>
        </w:rPr>
        <w:t>58</w:t>
      </w:r>
      <w:r>
        <w:rPr>
          <w:rFonts w:hint="default" w:eastAsia="仿宋_GB2312" w:cs="Times New Roman"/>
          <w:highlight w:val="none"/>
        </w:rPr>
        <w:t xml:space="preserve"> 个项目（</w:t>
      </w:r>
      <w:r>
        <w:rPr>
          <w:rFonts w:hint="default" w:eastAsia="仿宋_GB2312" w:cs="Times New Roman"/>
          <w:highlight w:val="none"/>
          <w:lang w:eastAsia="zh-CN"/>
        </w:rPr>
        <w:t>详见下</w:t>
      </w:r>
      <w:r>
        <w:rPr>
          <w:rFonts w:hint="default" w:eastAsia="仿宋_GB2312" w:cs="Times New Roman"/>
          <w:highlight w:val="none"/>
        </w:rPr>
        <w:t>附表），总投资</w:t>
      </w:r>
      <w:r>
        <w:rPr>
          <w:rFonts w:hint="eastAsia" w:eastAsia="仿宋_GB2312" w:cs="Times New Roman"/>
          <w:highlight w:val="none"/>
          <w:lang w:val="en-US" w:eastAsia="zh-CN"/>
        </w:rPr>
        <w:t>498</w:t>
      </w:r>
      <w:r>
        <w:rPr>
          <w:rFonts w:hint="default" w:eastAsia="仿宋_GB2312" w:cs="Times New Roman"/>
          <w:highlight w:val="none"/>
          <w:lang w:val="en-US" w:eastAsia="zh-CN"/>
        </w:rPr>
        <w:t>8555.07</w:t>
      </w:r>
      <w:r>
        <w:rPr>
          <w:rFonts w:hint="default" w:eastAsia="仿宋_GB2312" w:cs="Times New Roman"/>
          <w:highlight w:val="none"/>
        </w:rPr>
        <w:t>万元，主要建设期为202</w:t>
      </w:r>
      <w:r>
        <w:rPr>
          <w:rFonts w:hint="eastAsia" w:eastAsia="仿宋_GB2312" w:cs="Times New Roman"/>
          <w:highlight w:val="none"/>
          <w:lang w:val="en-US" w:eastAsia="zh-CN"/>
        </w:rPr>
        <w:t>1</w:t>
      </w:r>
      <w:r>
        <w:rPr>
          <w:rFonts w:hint="default" w:eastAsia="仿宋_GB2312" w:cs="Times New Roman"/>
          <w:highlight w:val="none"/>
        </w:rPr>
        <w:t>年至2030年</w:t>
      </w:r>
      <w:r>
        <w:rPr>
          <w:rFonts w:eastAsia="仿宋_GB2312" w:cs="Times New Roman"/>
          <w:highlight w:val="none"/>
        </w:rPr>
        <w:t>。</w:t>
      </w:r>
    </w:p>
    <w:p w14:paraId="7DFF9B7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rPr>
          <w:rFonts w:eastAsia="仿宋_GB2312" w:cs="Times New Roman"/>
          <w:color w:val="auto"/>
          <w:highlight w:val="none"/>
        </w:rPr>
      </w:pPr>
      <w:r>
        <w:rPr>
          <w:rFonts w:hint="eastAsia" w:eastAsia="仿宋_GB2312" w:cs="Times New Roman"/>
          <w:highlight w:val="none"/>
          <w:lang w:eastAsia="zh-CN"/>
        </w:rPr>
        <w:t>根据柳江区生态文明建设规划重点工程项目表（详见附表</w:t>
      </w:r>
      <w:r>
        <w:rPr>
          <w:rFonts w:hint="eastAsia" w:eastAsia="仿宋_GB2312" w:cs="Times New Roman"/>
          <w:highlight w:val="none"/>
          <w:lang w:val="en-US" w:eastAsia="zh-CN"/>
        </w:rPr>
        <w:t>1</w:t>
      </w:r>
      <w:r>
        <w:rPr>
          <w:rFonts w:hint="eastAsia" w:eastAsia="仿宋_GB2312" w:cs="Times New Roman"/>
          <w:highlight w:val="none"/>
          <w:lang w:eastAsia="zh-CN"/>
        </w:rPr>
        <w:t>），生态制度</w:t>
      </w:r>
      <w:r>
        <w:rPr>
          <w:rFonts w:eastAsia="仿宋_GB2312" w:cs="Times New Roman"/>
          <w:highlight w:val="none"/>
        </w:rPr>
        <w:t>体系建设</w:t>
      </w:r>
      <w:r>
        <w:rPr>
          <w:rFonts w:hint="eastAsia" w:eastAsia="仿宋_GB2312" w:cs="Times New Roman"/>
          <w:highlight w:val="none"/>
          <w:lang w:eastAsia="zh-CN"/>
        </w:rPr>
        <w:t>项目</w:t>
      </w:r>
      <w:r>
        <w:rPr>
          <w:rFonts w:hint="eastAsia" w:eastAsia="仿宋_GB2312" w:cs="Times New Roman"/>
          <w:highlight w:val="none"/>
          <w:lang w:val="en-US" w:eastAsia="zh-CN"/>
        </w:rPr>
        <w:t>1</w:t>
      </w:r>
      <w:r>
        <w:rPr>
          <w:rFonts w:eastAsia="仿宋_GB2312" w:cs="Times New Roman"/>
          <w:highlight w:val="none"/>
        </w:rPr>
        <w:t>项，投资</w:t>
      </w:r>
      <w:r>
        <w:rPr>
          <w:rFonts w:hint="eastAsia" w:eastAsia="仿宋_GB2312" w:cs="Times New Roman"/>
          <w:highlight w:val="none"/>
          <w:lang w:val="en-US" w:eastAsia="zh-CN"/>
        </w:rPr>
        <w:t>28万</w:t>
      </w:r>
      <w:r>
        <w:rPr>
          <w:rFonts w:eastAsia="仿宋_GB2312" w:cs="Times New Roman"/>
          <w:highlight w:val="none"/>
        </w:rPr>
        <w:t>元</w:t>
      </w:r>
      <w:r>
        <w:rPr>
          <w:rFonts w:eastAsia="仿宋_GB2312" w:cs="Times New Roman"/>
          <w:color w:val="auto"/>
          <w:highlight w:val="none"/>
        </w:rPr>
        <w:t>；生态</w:t>
      </w:r>
      <w:r>
        <w:rPr>
          <w:rFonts w:hint="eastAsia" w:eastAsia="仿宋_GB2312" w:cs="Times New Roman"/>
          <w:color w:val="auto"/>
          <w:highlight w:val="none"/>
          <w:lang w:eastAsia="zh-CN"/>
        </w:rPr>
        <w:t>安全</w:t>
      </w:r>
      <w:r>
        <w:rPr>
          <w:rFonts w:eastAsia="仿宋_GB2312" w:cs="Times New Roman"/>
          <w:color w:val="auto"/>
          <w:highlight w:val="none"/>
        </w:rPr>
        <w:t>体系建设</w:t>
      </w:r>
      <w:r>
        <w:rPr>
          <w:rFonts w:hint="eastAsia" w:eastAsia="仿宋_GB2312" w:cs="Times New Roman"/>
          <w:color w:val="auto"/>
          <w:highlight w:val="none"/>
          <w:lang w:eastAsia="zh-CN"/>
        </w:rPr>
        <w:t>项目</w:t>
      </w:r>
      <w:r>
        <w:rPr>
          <w:rFonts w:hint="eastAsia" w:eastAsia="仿宋_GB2312" w:cs="Times New Roman"/>
          <w:color w:val="auto"/>
          <w:highlight w:val="none"/>
          <w:lang w:val="en-US" w:eastAsia="zh-CN"/>
        </w:rPr>
        <w:t>6</w:t>
      </w:r>
      <w:r>
        <w:rPr>
          <w:rFonts w:eastAsia="仿宋_GB2312" w:cs="Times New Roman"/>
          <w:color w:val="auto"/>
          <w:highlight w:val="none"/>
        </w:rPr>
        <w:t>项，投资</w:t>
      </w:r>
      <w:r>
        <w:rPr>
          <w:rFonts w:hint="eastAsia" w:eastAsia="仿宋_GB2312" w:cs="Times New Roman"/>
          <w:color w:val="auto"/>
          <w:highlight w:val="none"/>
          <w:lang w:val="en-US" w:eastAsia="zh-CN"/>
        </w:rPr>
        <w:t>121017.29万</w:t>
      </w:r>
      <w:r>
        <w:rPr>
          <w:rFonts w:eastAsia="仿宋_GB2312" w:cs="Times New Roman"/>
          <w:color w:val="auto"/>
          <w:highlight w:val="none"/>
        </w:rPr>
        <w:t>元；生态</w:t>
      </w:r>
      <w:r>
        <w:rPr>
          <w:rFonts w:hint="eastAsia" w:eastAsia="仿宋_GB2312" w:cs="Times New Roman"/>
          <w:color w:val="auto"/>
          <w:highlight w:val="none"/>
          <w:lang w:eastAsia="zh-CN"/>
        </w:rPr>
        <w:t>空间</w:t>
      </w:r>
      <w:r>
        <w:rPr>
          <w:rFonts w:eastAsia="仿宋_GB2312" w:cs="Times New Roman"/>
          <w:color w:val="auto"/>
          <w:highlight w:val="none"/>
        </w:rPr>
        <w:t>体系建设</w:t>
      </w:r>
      <w:r>
        <w:rPr>
          <w:rFonts w:hint="eastAsia" w:eastAsia="仿宋_GB2312" w:cs="Times New Roman"/>
          <w:color w:val="auto"/>
          <w:highlight w:val="none"/>
          <w:lang w:eastAsia="zh-CN"/>
        </w:rPr>
        <w:t>项目</w:t>
      </w:r>
      <w:r>
        <w:rPr>
          <w:rFonts w:hint="eastAsia" w:eastAsia="仿宋_GB2312" w:cs="Times New Roman"/>
          <w:color w:val="auto"/>
          <w:highlight w:val="none"/>
          <w:lang w:val="en-US" w:eastAsia="zh-CN"/>
        </w:rPr>
        <w:t>2</w:t>
      </w:r>
      <w:r>
        <w:rPr>
          <w:rFonts w:eastAsia="仿宋_GB2312" w:cs="Times New Roman"/>
          <w:color w:val="auto"/>
          <w:highlight w:val="none"/>
        </w:rPr>
        <w:t>项，投资</w:t>
      </w:r>
      <w:r>
        <w:rPr>
          <w:rFonts w:hint="eastAsia" w:eastAsia="仿宋_GB2312" w:cs="Times New Roman"/>
          <w:color w:val="auto"/>
          <w:highlight w:val="none"/>
          <w:lang w:val="en-US" w:eastAsia="zh-CN"/>
        </w:rPr>
        <w:t>50000万</w:t>
      </w:r>
      <w:r>
        <w:rPr>
          <w:rFonts w:eastAsia="仿宋_GB2312" w:cs="Times New Roman"/>
          <w:color w:val="auto"/>
          <w:highlight w:val="none"/>
        </w:rPr>
        <w:t>元；生态</w:t>
      </w:r>
      <w:r>
        <w:rPr>
          <w:rFonts w:hint="eastAsia" w:eastAsia="仿宋_GB2312" w:cs="Times New Roman"/>
          <w:color w:val="auto"/>
          <w:highlight w:val="none"/>
          <w:lang w:eastAsia="zh-CN"/>
        </w:rPr>
        <w:t>经济</w:t>
      </w:r>
      <w:r>
        <w:rPr>
          <w:rFonts w:eastAsia="仿宋_GB2312" w:cs="Times New Roman"/>
          <w:color w:val="auto"/>
          <w:highlight w:val="none"/>
        </w:rPr>
        <w:t>体系建设</w:t>
      </w:r>
      <w:r>
        <w:rPr>
          <w:rFonts w:hint="eastAsia" w:eastAsia="仿宋_GB2312" w:cs="Times New Roman"/>
          <w:color w:val="auto"/>
          <w:highlight w:val="none"/>
          <w:lang w:eastAsia="zh-CN"/>
        </w:rPr>
        <w:t>项目</w:t>
      </w:r>
      <w:r>
        <w:rPr>
          <w:rFonts w:hint="eastAsia" w:eastAsia="仿宋_GB2312" w:cs="Times New Roman"/>
          <w:color w:val="auto"/>
          <w:highlight w:val="none"/>
          <w:lang w:val="en-US" w:eastAsia="zh-CN"/>
        </w:rPr>
        <w:t>33</w:t>
      </w:r>
      <w:r>
        <w:rPr>
          <w:rFonts w:eastAsia="仿宋_GB2312" w:cs="Times New Roman"/>
          <w:color w:val="auto"/>
          <w:highlight w:val="none"/>
        </w:rPr>
        <w:t>项，投资</w:t>
      </w:r>
      <w:r>
        <w:rPr>
          <w:rFonts w:hint="eastAsia" w:eastAsia="仿宋_GB2312" w:cs="Times New Roman"/>
          <w:color w:val="auto"/>
          <w:highlight w:val="none"/>
          <w:lang w:val="en-US" w:eastAsia="zh-CN"/>
        </w:rPr>
        <w:t>4567390.85万</w:t>
      </w:r>
      <w:r>
        <w:rPr>
          <w:rFonts w:eastAsia="仿宋_GB2312" w:cs="Times New Roman"/>
          <w:color w:val="auto"/>
          <w:highlight w:val="none"/>
        </w:rPr>
        <w:t>元；生态</w:t>
      </w:r>
      <w:r>
        <w:rPr>
          <w:rFonts w:hint="eastAsia" w:eastAsia="仿宋_GB2312" w:cs="Times New Roman"/>
          <w:color w:val="auto"/>
          <w:highlight w:val="none"/>
          <w:lang w:eastAsia="zh-CN"/>
        </w:rPr>
        <w:t>生活</w:t>
      </w:r>
      <w:r>
        <w:rPr>
          <w:rFonts w:eastAsia="仿宋_GB2312" w:cs="Times New Roman"/>
          <w:color w:val="auto"/>
          <w:highlight w:val="none"/>
        </w:rPr>
        <w:t>体系建设</w:t>
      </w:r>
      <w:r>
        <w:rPr>
          <w:rFonts w:hint="eastAsia" w:eastAsia="仿宋_GB2312" w:cs="Times New Roman"/>
          <w:color w:val="auto"/>
          <w:highlight w:val="none"/>
          <w:lang w:eastAsia="zh-CN"/>
        </w:rPr>
        <w:t>项目</w:t>
      </w:r>
      <w:r>
        <w:rPr>
          <w:rFonts w:hint="eastAsia" w:eastAsia="仿宋_GB2312" w:cs="Times New Roman"/>
          <w:color w:val="auto"/>
          <w:highlight w:val="none"/>
          <w:lang w:val="en-US" w:eastAsia="zh-CN"/>
        </w:rPr>
        <w:t>12</w:t>
      </w:r>
      <w:r>
        <w:rPr>
          <w:rFonts w:eastAsia="仿宋_GB2312" w:cs="Times New Roman"/>
          <w:color w:val="auto"/>
          <w:highlight w:val="none"/>
        </w:rPr>
        <w:t>项，投资</w:t>
      </w:r>
      <w:r>
        <w:rPr>
          <w:rFonts w:hint="eastAsia" w:eastAsia="仿宋_GB2312" w:cs="Times New Roman"/>
          <w:color w:val="auto"/>
          <w:highlight w:val="none"/>
          <w:lang w:val="en-US" w:eastAsia="zh-CN"/>
        </w:rPr>
        <w:t>296098.93</w:t>
      </w:r>
      <w:r>
        <w:rPr>
          <w:rFonts w:eastAsia="仿宋_GB2312" w:cs="Times New Roman"/>
          <w:color w:val="auto"/>
          <w:highlight w:val="none"/>
        </w:rPr>
        <w:t>元；生态文化体系建设</w:t>
      </w:r>
      <w:r>
        <w:rPr>
          <w:rFonts w:hint="eastAsia" w:eastAsia="仿宋_GB2312" w:cs="Times New Roman"/>
          <w:color w:val="auto"/>
          <w:highlight w:val="none"/>
          <w:lang w:eastAsia="zh-CN"/>
        </w:rPr>
        <w:t>项目</w:t>
      </w:r>
      <w:r>
        <w:rPr>
          <w:rFonts w:hint="eastAsia" w:eastAsia="仿宋_GB2312" w:cs="Times New Roman"/>
          <w:color w:val="auto"/>
          <w:highlight w:val="none"/>
          <w:lang w:val="en-US" w:eastAsia="zh-CN"/>
        </w:rPr>
        <w:t>4</w:t>
      </w:r>
      <w:r>
        <w:rPr>
          <w:rFonts w:eastAsia="仿宋_GB2312" w:cs="Times New Roman"/>
          <w:color w:val="auto"/>
          <w:highlight w:val="none"/>
        </w:rPr>
        <w:t>项，投资</w:t>
      </w:r>
      <w:r>
        <w:rPr>
          <w:rFonts w:hint="eastAsia" w:eastAsia="仿宋_GB2312" w:cs="Times New Roman"/>
          <w:color w:val="auto"/>
          <w:highlight w:val="none"/>
          <w:lang w:val="en-US" w:eastAsia="zh-CN"/>
        </w:rPr>
        <w:t>4020万</w:t>
      </w:r>
      <w:r>
        <w:rPr>
          <w:rFonts w:eastAsia="仿宋_GB2312" w:cs="Times New Roman"/>
          <w:color w:val="auto"/>
          <w:highlight w:val="none"/>
        </w:rPr>
        <w:t>元</w:t>
      </w:r>
      <w:r>
        <w:rPr>
          <w:rFonts w:hint="eastAsia" w:eastAsia="仿宋_GB2312" w:cs="Times New Roman"/>
          <w:color w:val="auto"/>
          <w:highlight w:val="none"/>
          <w:lang w:eastAsia="zh-CN"/>
        </w:rPr>
        <w:t>。</w:t>
      </w:r>
      <w:r>
        <w:rPr>
          <w:rFonts w:eastAsia="仿宋_GB2312" w:cs="Times New Roman"/>
          <w:color w:val="auto"/>
          <w:highlight w:val="none"/>
        </w:rPr>
        <w:t>六大类工程</w:t>
      </w:r>
      <w:r>
        <w:rPr>
          <w:rFonts w:hint="eastAsia" w:eastAsia="仿宋_GB2312" w:cs="Times New Roman"/>
          <w:color w:val="auto"/>
          <w:highlight w:val="none"/>
          <w:lang w:eastAsia="zh-CN"/>
        </w:rPr>
        <w:t>建设项目</w:t>
      </w:r>
      <w:r>
        <w:rPr>
          <w:rFonts w:eastAsia="仿宋_GB2312" w:cs="Times New Roman"/>
          <w:color w:val="auto"/>
          <w:highlight w:val="none"/>
        </w:rPr>
        <w:t>共</w:t>
      </w:r>
      <w:r>
        <w:rPr>
          <w:rFonts w:hint="eastAsia" w:eastAsia="仿宋_GB2312" w:cs="Times New Roman"/>
          <w:color w:val="auto"/>
          <w:highlight w:val="none"/>
          <w:lang w:eastAsia="zh-CN"/>
        </w:rPr>
        <w:t>计</w:t>
      </w:r>
      <w:r>
        <w:rPr>
          <w:rFonts w:hint="eastAsia" w:eastAsia="仿宋_GB2312" w:cs="Times New Roman"/>
          <w:color w:val="auto"/>
          <w:highlight w:val="none"/>
          <w:lang w:val="en-US" w:eastAsia="zh-CN"/>
        </w:rPr>
        <w:t>59</w:t>
      </w:r>
      <w:r>
        <w:rPr>
          <w:rFonts w:eastAsia="仿宋_GB2312" w:cs="Times New Roman"/>
          <w:color w:val="auto"/>
          <w:highlight w:val="none"/>
        </w:rPr>
        <w:t>项，总投资</w:t>
      </w:r>
      <w:r>
        <w:rPr>
          <w:rFonts w:hint="eastAsia" w:eastAsia="仿宋_GB2312" w:cs="Times New Roman"/>
          <w:color w:val="auto"/>
          <w:highlight w:val="none"/>
          <w:lang w:val="en-US" w:eastAsia="zh-CN"/>
        </w:rPr>
        <w:t>49885</w:t>
      </w:r>
      <w:r>
        <w:rPr>
          <w:rFonts w:hint="default" w:eastAsia="仿宋_GB2312" w:cs="Times New Roman"/>
          <w:color w:val="auto"/>
          <w:highlight w:val="none"/>
          <w:lang w:val="en-US" w:eastAsia="zh-CN"/>
        </w:rPr>
        <w:t>55.07</w:t>
      </w:r>
      <w:r>
        <w:rPr>
          <w:rFonts w:hint="default" w:eastAsia="仿宋_GB2312" w:cs="Times New Roman"/>
          <w:color w:val="auto"/>
          <w:highlight w:val="none"/>
        </w:rPr>
        <w:t>万</w:t>
      </w:r>
      <w:r>
        <w:rPr>
          <w:rFonts w:eastAsia="仿宋_GB2312" w:cs="Times New Roman"/>
          <w:color w:val="auto"/>
          <w:highlight w:val="none"/>
        </w:rPr>
        <w:t>元。</w:t>
      </w:r>
    </w:p>
    <w:p w14:paraId="1782DEB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eastAsia="方正小标宋简体" w:cs="Times New Roman"/>
          <w:bCs/>
          <w:szCs w:val="32"/>
          <w:highlight w:val="none"/>
        </w:rPr>
      </w:pPr>
      <w:r>
        <w:rPr>
          <w:rFonts w:eastAsia="方正小标宋简体" w:cs="Times New Roman"/>
          <w:bCs/>
          <w:szCs w:val="32"/>
          <w:highlight w:val="none"/>
        </w:rPr>
        <w:t>表2  规划期重点建设</w:t>
      </w:r>
      <w:r>
        <w:rPr>
          <w:rFonts w:hint="eastAsia" w:eastAsia="方正小标宋简体" w:cs="Times New Roman"/>
          <w:bCs/>
          <w:szCs w:val="32"/>
          <w:highlight w:val="none"/>
          <w:lang w:eastAsia="zh-CN"/>
        </w:rPr>
        <w:t>项目</w:t>
      </w:r>
      <w:r>
        <w:rPr>
          <w:rFonts w:eastAsia="方正小标宋简体" w:cs="Times New Roman"/>
          <w:bCs/>
          <w:szCs w:val="32"/>
          <w:highlight w:val="none"/>
        </w:rPr>
        <w:t>投资估算表</w:t>
      </w:r>
    </w:p>
    <w:tbl>
      <w:tblPr>
        <w:tblStyle w:val="27"/>
        <w:tblW w:w="4996" w:type="pct"/>
        <w:jc w:val="center"/>
        <w:tblLayout w:type="autofit"/>
        <w:tblCellMar>
          <w:top w:w="0" w:type="dxa"/>
          <w:left w:w="108" w:type="dxa"/>
          <w:bottom w:w="0" w:type="dxa"/>
          <w:right w:w="108" w:type="dxa"/>
        </w:tblCellMar>
      </w:tblPr>
      <w:tblGrid>
        <w:gridCol w:w="798"/>
        <w:gridCol w:w="2976"/>
        <w:gridCol w:w="1362"/>
        <w:gridCol w:w="1857"/>
        <w:gridCol w:w="2060"/>
      </w:tblGrid>
      <w:tr w14:paraId="1D4977E0">
        <w:tblPrEx>
          <w:tblCellMar>
            <w:top w:w="0" w:type="dxa"/>
            <w:left w:w="108" w:type="dxa"/>
            <w:bottom w:w="0" w:type="dxa"/>
            <w:right w:w="108" w:type="dxa"/>
          </w:tblCellMar>
        </w:tblPrEx>
        <w:trPr>
          <w:trHeight w:val="567" w:hRule="atLeast"/>
          <w:tblHeader/>
          <w:jc w:val="center"/>
        </w:trPr>
        <w:tc>
          <w:tcPr>
            <w:tcW w:w="441" w:type="pct"/>
            <w:tcBorders>
              <w:top w:val="single" w:color="auto" w:sz="8" w:space="0"/>
              <w:left w:val="single" w:color="auto" w:sz="8" w:space="0"/>
              <w:bottom w:val="single" w:color="auto" w:sz="8" w:space="0"/>
              <w:right w:val="single" w:color="auto" w:sz="8" w:space="0"/>
            </w:tcBorders>
            <w:vAlign w:val="center"/>
          </w:tcPr>
          <w:p w14:paraId="12E7CEE2">
            <w:pPr>
              <w:pStyle w:val="76"/>
              <w:pageBreakBefore w:val="0"/>
              <w:kinsoku/>
              <w:wordWrap/>
              <w:overflowPunct/>
              <w:topLinePunct w:val="0"/>
              <w:autoSpaceDE/>
              <w:autoSpaceDN/>
              <w:bidi w:val="0"/>
              <w:adjustRightInd w:val="0"/>
              <w:snapToGrid w:val="0"/>
              <w:spacing w:line="240" w:lineRule="auto"/>
              <w:ind w:left="0" w:leftChars="0" w:right="0" w:rightChars="0"/>
              <w:rPr>
                <w:rFonts w:eastAsia="仿宋_GB2312" w:cs="Times New Roman"/>
                <w:b/>
                <w:kern w:val="0"/>
                <w:sz w:val="24"/>
                <w:szCs w:val="24"/>
                <w:highlight w:val="none"/>
              </w:rPr>
            </w:pPr>
            <w:r>
              <w:rPr>
                <w:rFonts w:eastAsia="仿宋_GB2312" w:cs="Times New Roman"/>
                <w:b/>
                <w:kern w:val="0"/>
                <w:sz w:val="24"/>
                <w:szCs w:val="24"/>
                <w:highlight w:val="none"/>
              </w:rPr>
              <w:t>序号</w:t>
            </w:r>
          </w:p>
        </w:tc>
        <w:tc>
          <w:tcPr>
            <w:tcW w:w="1642" w:type="pct"/>
            <w:tcBorders>
              <w:top w:val="single" w:color="auto" w:sz="8" w:space="0"/>
              <w:left w:val="nil"/>
              <w:bottom w:val="single" w:color="auto" w:sz="8" w:space="0"/>
              <w:right w:val="single" w:color="auto" w:sz="8" w:space="0"/>
            </w:tcBorders>
            <w:vAlign w:val="center"/>
          </w:tcPr>
          <w:p w14:paraId="5FE124FC">
            <w:pPr>
              <w:pStyle w:val="76"/>
              <w:pageBreakBefore w:val="0"/>
              <w:kinsoku/>
              <w:wordWrap/>
              <w:overflowPunct/>
              <w:topLinePunct w:val="0"/>
              <w:autoSpaceDE/>
              <w:autoSpaceDN/>
              <w:bidi w:val="0"/>
              <w:adjustRightInd w:val="0"/>
              <w:snapToGrid w:val="0"/>
              <w:spacing w:line="240" w:lineRule="auto"/>
              <w:ind w:left="0" w:leftChars="0" w:right="0" w:rightChars="0"/>
              <w:rPr>
                <w:rFonts w:eastAsia="仿宋_GB2312" w:cs="Times New Roman"/>
                <w:b/>
                <w:kern w:val="0"/>
                <w:sz w:val="24"/>
                <w:szCs w:val="24"/>
                <w:highlight w:val="none"/>
              </w:rPr>
            </w:pPr>
            <w:r>
              <w:rPr>
                <w:rFonts w:eastAsia="仿宋_GB2312" w:cs="Times New Roman"/>
                <w:b/>
                <w:kern w:val="0"/>
                <w:sz w:val="24"/>
                <w:szCs w:val="24"/>
                <w:highlight w:val="none"/>
              </w:rPr>
              <w:t>工程类别</w:t>
            </w:r>
          </w:p>
        </w:tc>
        <w:tc>
          <w:tcPr>
            <w:tcW w:w="752" w:type="pct"/>
            <w:tcBorders>
              <w:top w:val="single" w:color="auto" w:sz="8" w:space="0"/>
              <w:left w:val="nil"/>
              <w:bottom w:val="single" w:color="auto" w:sz="8" w:space="0"/>
              <w:right w:val="single" w:color="auto" w:sz="8" w:space="0"/>
            </w:tcBorders>
            <w:vAlign w:val="center"/>
          </w:tcPr>
          <w:p w14:paraId="45DE9684">
            <w:pPr>
              <w:pStyle w:val="76"/>
              <w:pageBreakBefore w:val="0"/>
              <w:kinsoku/>
              <w:wordWrap/>
              <w:overflowPunct/>
              <w:topLinePunct w:val="0"/>
              <w:autoSpaceDE/>
              <w:autoSpaceDN/>
              <w:bidi w:val="0"/>
              <w:adjustRightInd w:val="0"/>
              <w:snapToGrid w:val="0"/>
              <w:spacing w:line="240" w:lineRule="auto"/>
              <w:ind w:left="0" w:leftChars="0" w:right="0" w:rightChars="0"/>
              <w:rPr>
                <w:rFonts w:eastAsia="仿宋_GB2312" w:cs="Times New Roman"/>
                <w:b/>
                <w:kern w:val="0"/>
                <w:sz w:val="24"/>
                <w:szCs w:val="24"/>
                <w:highlight w:val="none"/>
              </w:rPr>
            </w:pPr>
            <w:r>
              <w:rPr>
                <w:rFonts w:eastAsia="仿宋_GB2312" w:cs="Times New Roman"/>
                <w:b/>
                <w:kern w:val="0"/>
                <w:sz w:val="24"/>
                <w:szCs w:val="24"/>
                <w:highlight w:val="none"/>
              </w:rPr>
              <w:t>项目数量</w:t>
            </w:r>
          </w:p>
        </w:tc>
        <w:tc>
          <w:tcPr>
            <w:tcW w:w="1025" w:type="pct"/>
            <w:tcBorders>
              <w:top w:val="single" w:color="auto" w:sz="8" w:space="0"/>
              <w:left w:val="nil"/>
              <w:bottom w:val="single" w:color="auto" w:sz="8" w:space="0"/>
              <w:right w:val="single" w:color="auto" w:sz="8" w:space="0"/>
            </w:tcBorders>
            <w:vAlign w:val="center"/>
          </w:tcPr>
          <w:p w14:paraId="2E7067EF">
            <w:pPr>
              <w:pStyle w:val="76"/>
              <w:pageBreakBefore w:val="0"/>
              <w:kinsoku/>
              <w:wordWrap/>
              <w:overflowPunct/>
              <w:topLinePunct w:val="0"/>
              <w:autoSpaceDE/>
              <w:autoSpaceDN/>
              <w:bidi w:val="0"/>
              <w:adjustRightInd w:val="0"/>
              <w:snapToGrid w:val="0"/>
              <w:spacing w:line="240" w:lineRule="auto"/>
              <w:ind w:left="0" w:leftChars="0" w:right="0" w:rightChars="0"/>
              <w:rPr>
                <w:rFonts w:eastAsia="仿宋_GB2312" w:cs="Times New Roman"/>
                <w:b/>
                <w:kern w:val="0"/>
                <w:sz w:val="24"/>
                <w:szCs w:val="24"/>
                <w:highlight w:val="none"/>
              </w:rPr>
            </w:pPr>
            <w:r>
              <w:rPr>
                <w:rFonts w:eastAsia="仿宋_GB2312" w:cs="Times New Roman"/>
                <w:b/>
                <w:kern w:val="0"/>
                <w:sz w:val="24"/>
                <w:szCs w:val="24"/>
                <w:highlight w:val="none"/>
              </w:rPr>
              <w:t>投资（</w:t>
            </w:r>
            <w:r>
              <w:rPr>
                <w:rFonts w:hint="eastAsia" w:eastAsia="仿宋_GB2312" w:cs="Times New Roman"/>
                <w:b/>
                <w:kern w:val="0"/>
                <w:sz w:val="24"/>
                <w:szCs w:val="24"/>
                <w:highlight w:val="none"/>
                <w:lang w:eastAsia="zh-CN"/>
              </w:rPr>
              <w:t>万</w:t>
            </w:r>
            <w:r>
              <w:rPr>
                <w:rFonts w:eastAsia="仿宋_GB2312" w:cs="Times New Roman"/>
                <w:b/>
                <w:kern w:val="0"/>
                <w:sz w:val="24"/>
                <w:szCs w:val="24"/>
                <w:highlight w:val="none"/>
              </w:rPr>
              <w:t>元）</w:t>
            </w:r>
          </w:p>
        </w:tc>
        <w:tc>
          <w:tcPr>
            <w:tcW w:w="1137" w:type="pct"/>
            <w:tcBorders>
              <w:top w:val="single" w:color="auto" w:sz="8" w:space="0"/>
              <w:left w:val="nil"/>
              <w:bottom w:val="single" w:color="auto" w:sz="8" w:space="0"/>
              <w:right w:val="single" w:color="auto" w:sz="8" w:space="0"/>
            </w:tcBorders>
            <w:vAlign w:val="center"/>
          </w:tcPr>
          <w:p w14:paraId="3791E597">
            <w:pPr>
              <w:pStyle w:val="76"/>
              <w:pageBreakBefore w:val="0"/>
              <w:kinsoku/>
              <w:wordWrap/>
              <w:overflowPunct/>
              <w:topLinePunct w:val="0"/>
              <w:autoSpaceDE/>
              <w:autoSpaceDN/>
              <w:bidi w:val="0"/>
              <w:adjustRightInd w:val="0"/>
              <w:snapToGrid w:val="0"/>
              <w:spacing w:line="240" w:lineRule="auto"/>
              <w:ind w:left="0" w:leftChars="0" w:right="0" w:rightChars="0"/>
              <w:rPr>
                <w:rFonts w:eastAsia="仿宋_GB2312" w:cs="Times New Roman"/>
                <w:b/>
                <w:kern w:val="0"/>
                <w:sz w:val="24"/>
                <w:szCs w:val="24"/>
                <w:highlight w:val="none"/>
              </w:rPr>
            </w:pPr>
            <w:r>
              <w:rPr>
                <w:rFonts w:eastAsia="仿宋_GB2312" w:cs="Times New Roman"/>
                <w:b/>
                <w:kern w:val="0"/>
                <w:sz w:val="24"/>
                <w:szCs w:val="24"/>
                <w:highlight w:val="none"/>
              </w:rPr>
              <w:t>投资比例（%）</w:t>
            </w:r>
          </w:p>
        </w:tc>
      </w:tr>
      <w:tr w14:paraId="77E5525F">
        <w:tblPrEx>
          <w:tblCellMar>
            <w:top w:w="0" w:type="dxa"/>
            <w:left w:w="108" w:type="dxa"/>
            <w:bottom w:w="0" w:type="dxa"/>
            <w:right w:w="108" w:type="dxa"/>
          </w:tblCellMar>
        </w:tblPrEx>
        <w:trPr>
          <w:trHeight w:val="567" w:hRule="atLeast"/>
          <w:jc w:val="center"/>
        </w:trPr>
        <w:tc>
          <w:tcPr>
            <w:tcW w:w="441" w:type="pct"/>
            <w:tcBorders>
              <w:top w:val="single" w:color="auto" w:sz="8" w:space="0"/>
              <w:left w:val="single" w:color="auto" w:sz="8" w:space="0"/>
              <w:bottom w:val="single" w:color="auto" w:sz="8" w:space="0"/>
              <w:right w:val="single" w:color="auto" w:sz="8" w:space="0"/>
            </w:tcBorders>
            <w:vAlign w:val="center"/>
          </w:tcPr>
          <w:p w14:paraId="4DD64027">
            <w:pPr>
              <w:pStyle w:val="76"/>
              <w:pageBreakBefore w:val="0"/>
              <w:kinsoku/>
              <w:wordWrap/>
              <w:overflowPunct/>
              <w:topLinePunct w:val="0"/>
              <w:autoSpaceDE/>
              <w:autoSpaceDN/>
              <w:bidi w:val="0"/>
              <w:adjustRightInd w:val="0"/>
              <w:snapToGrid w:val="0"/>
              <w:spacing w:line="240" w:lineRule="auto"/>
              <w:ind w:left="0" w:leftChars="0" w:right="0" w:rightChars="0"/>
              <w:rPr>
                <w:rFonts w:eastAsia="仿宋_GB2312" w:cs="Times New Roman"/>
                <w:kern w:val="0"/>
                <w:sz w:val="24"/>
                <w:szCs w:val="24"/>
                <w:highlight w:val="none"/>
              </w:rPr>
            </w:pPr>
            <w:r>
              <w:rPr>
                <w:rFonts w:eastAsia="仿宋_GB2312" w:cs="Times New Roman"/>
                <w:kern w:val="0"/>
                <w:sz w:val="24"/>
                <w:szCs w:val="24"/>
                <w:highlight w:val="none"/>
              </w:rPr>
              <w:t>1</w:t>
            </w:r>
          </w:p>
        </w:tc>
        <w:tc>
          <w:tcPr>
            <w:tcW w:w="1642" w:type="pct"/>
            <w:tcBorders>
              <w:top w:val="single" w:color="auto" w:sz="8" w:space="0"/>
              <w:left w:val="nil"/>
              <w:bottom w:val="single" w:color="auto" w:sz="8" w:space="0"/>
              <w:right w:val="single" w:color="auto" w:sz="8" w:space="0"/>
            </w:tcBorders>
            <w:vAlign w:val="center"/>
          </w:tcPr>
          <w:p w14:paraId="00E7C5A6">
            <w:pPr>
              <w:pStyle w:val="76"/>
              <w:pageBreakBefore w:val="0"/>
              <w:kinsoku/>
              <w:wordWrap/>
              <w:overflowPunct/>
              <w:topLinePunct w:val="0"/>
              <w:autoSpaceDE/>
              <w:autoSpaceDN/>
              <w:bidi w:val="0"/>
              <w:adjustRightInd w:val="0"/>
              <w:snapToGrid w:val="0"/>
              <w:spacing w:line="240" w:lineRule="auto"/>
              <w:ind w:left="0" w:leftChars="0" w:right="0" w:rightChars="0"/>
              <w:rPr>
                <w:rFonts w:hint="eastAsia" w:eastAsia="仿宋_GB2312" w:cs="Times New Roman"/>
                <w:kern w:val="0"/>
                <w:sz w:val="24"/>
                <w:szCs w:val="24"/>
                <w:highlight w:val="none"/>
                <w:lang w:eastAsia="zh-CN"/>
              </w:rPr>
            </w:pPr>
            <w:r>
              <w:rPr>
                <w:rFonts w:eastAsia="仿宋_GB2312" w:cs="Times New Roman"/>
                <w:kern w:val="0"/>
                <w:sz w:val="24"/>
                <w:szCs w:val="24"/>
                <w:highlight w:val="none"/>
              </w:rPr>
              <w:t>生态</w:t>
            </w:r>
            <w:r>
              <w:rPr>
                <w:rFonts w:hint="eastAsia" w:eastAsia="仿宋_GB2312" w:cs="Times New Roman"/>
                <w:kern w:val="0"/>
                <w:sz w:val="24"/>
                <w:szCs w:val="24"/>
                <w:highlight w:val="none"/>
                <w:lang w:eastAsia="zh-CN"/>
              </w:rPr>
              <w:t>制度</w:t>
            </w:r>
            <w:r>
              <w:rPr>
                <w:rFonts w:eastAsia="仿宋_GB2312" w:cs="Times New Roman"/>
                <w:kern w:val="0"/>
                <w:sz w:val="24"/>
                <w:szCs w:val="24"/>
                <w:highlight w:val="none"/>
              </w:rPr>
              <w:t>体系建设</w:t>
            </w:r>
            <w:r>
              <w:rPr>
                <w:rFonts w:hint="eastAsia" w:eastAsia="仿宋_GB2312" w:cs="Times New Roman"/>
                <w:kern w:val="0"/>
                <w:sz w:val="24"/>
                <w:szCs w:val="24"/>
                <w:highlight w:val="none"/>
                <w:lang w:eastAsia="zh-CN"/>
              </w:rPr>
              <w:t>项目</w:t>
            </w:r>
          </w:p>
        </w:tc>
        <w:tc>
          <w:tcPr>
            <w:tcW w:w="752" w:type="pct"/>
            <w:tcBorders>
              <w:top w:val="single" w:color="auto" w:sz="8" w:space="0"/>
              <w:left w:val="nil"/>
              <w:bottom w:val="single" w:color="auto" w:sz="8" w:space="0"/>
              <w:right w:val="single" w:color="auto" w:sz="8" w:space="0"/>
            </w:tcBorders>
            <w:vAlign w:val="center"/>
          </w:tcPr>
          <w:p w14:paraId="3D38C69A">
            <w:pPr>
              <w:pStyle w:val="76"/>
              <w:pageBreakBefore w:val="0"/>
              <w:kinsoku/>
              <w:wordWrap/>
              <w:overflowPunct/>
              <w:topLinePunct w:val="0"/>
              <w:autoSpaceDE/>
              <w:autoSpaceDN/>
              <w:bidi w:val="0"/>
              <w:adjustRightInd w:val="0"/>
              <w:snapToGrid w:val="0"/>
              <w:spacing w:line="240" w:lineRule="auto"/>
              <w:ind w:left="0" w:leftChars="0" w:right="0" w:rightChars="0"/>
              <w:rPr>
                <w:rFonts w:hint="eastAsia" w:eastAsia="仿宋_GB2312" w:cs="Times New Roman"/>
                <w:kern w:val="0"/>
                <w:sz w:val="24"/>
                <w:szCs w:val="24"/>
                <w:highlight w:val="none"/>
                <w:lang w:eastAsia="zh-CN"/>
              </w:rPr>
            </w:pPr>
            <w:r>
              <w:rPr>
                <w:rFonts w:hint="eastAsia" w:eastAsia="仿宋_GB2312" w:cs="Times New Roman"/>
                <w:kern w:val="0"/>
                <w:sz w:val="24"/>
                <w:szCs w:val="24"/>
                <w:highlight w:val="none"/>
                <w:lang w:val="en-US" w:eastAsia="zh-CN"/>
              </w:rPr>
              <w:t>1</w:t>
            </w:r>
          </w:p>
        </w:tc>
        <w:tc>
          <w:tcPr>
            <w:tcW w:w="1025" w:type="pct"/>
            <w:tcBorders>
              <w:top w:val="single" w:color="auto" w:sz="8" w:space="0"/>
              <w:left w:val="nil"/>
              <w:bottom w:val="single" w:color="auto" w:sz="8" w:space="0"/>
              <w:right w:val="single" w:color="auto" w:sz="8" w:space="0"/>
            </w:tcBorders>
            <w:vAlign w:val="center"/>
          </w:tcPr>
          <w:p w14:paraId="24887706">
            <w:pPr>
              <w:pStyle w:val="76"/>
              <w:pageBreakBefore w:val="0"/>
              <w:kinsoku/>
              <w:wordWrap/>
              <w:overflowPunct/>
              <w:topLinePunct w:val="0"/>
              <w:autoSpaceDE/>
              <w:autoSpaceDN/>
              <w:bidi w:val="0"/>
              <w:adjustRightInd w:val="0"/>
              <w:snapToGrid w:val="0"/>
              <w:spacing w:line="240" w:lineRule="auto"/>
              <w:ind w:left="0" w:leftChars="0" w:right="0" w:rightChars="0"/>
              <w:rPr>
                <w:rFonts w:hint="default" w:eastAsia="仿宋_GB2312" w:cs="Times New Roman"/>
                <w:kern w:val="0"/>
                <w:sz w:val="24"/>
                <w:szCs w:val="24"/>
                <w:highlight w:val="none"/>
                <w:lang w:val="en-US" w:eastAsia="zh-CN"/>
              </w:rPr>
            </w:pPr>
            <w:r>
              <w:rPr>
                <w:rFonts w:hint="eastAsia" w:eastAsia="仿宋_GB2312" w:cs="Times New Roman"/>
                <w:kern w:val="0"/>
                <w:sz w:val="24"/>
                <w:szCs w:val="24"/>
                <w:highlight w:val="none"/>
                <w:lang w:val="en-US" w:eastAsia="zh-CN"/>
              </w:rPr>
              <w:t>28</w:t>
            </w:r>
          </w:p>
        </w:tc>
        <w:tc>
          <w:tcPr>
            <w:tcW w:w="2111" w:type="dxa"/>
            <w:tcBorders>
              <w:top w:val="single" w:color="auto" w:sz="8" w:space="0"/>
              <w:left w:val="nil"/>
              <w:bottom w:val="single" w:color="auto" w:sz="8" w:space="0"/>
              <w:right w:val="single" w:color="auto" w:sz="8" w:space="0"/>
            </w:tcBorders>
            <w:vAlign w:val="center"/>
          </w:tcPr>
          <w:p w14:paraId="1580A2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kern w:val="0"/>
                <w:sz w:val="24"/>
                <w:szCs w:val="24"/>
                <w:highlight w:val="none"/>
              </w:rPr>
            </w:pPr>
            <w:r>
              <w:rPr>
                <w:rFonts w:hint="default" w:ascii="Times New Roman" w:hAnsi="Times New Roman" w:eastAsia="宋体" w:cs="Times New Roman"/>
                <w:i w:val="0"/>
                <w:iCs w:val="0"/>
                <w:color w:val="000000"/>
                <w:kern w:val="0"/>
                <w:sz w:val="24"/>
                <w:szCs w:val="24"/>
                <w:u w:val="none"/>
                <w:lang w:val="en-US" w:eastAsia="zh-CN" w:bidi="ar"/>
              </w:rPr>
              <w:t>0.0005</w:t>
            </w:r>
          </w:p>
        </w:tc>
      </w:tr>
      <w:tr w14:paraId="27E1F808">
        <w:tblPrEx>
          <w:tblCellMar>
            <w:top w:w="0" w:type="dxa"/>
            <w:left w:w="108" w:type="dxa"/>
            <w:bottom w:w="0" w:type="dxa"/>
            <w:right w:w="108" w:type="dxa"/>
          </w:tblCellMar>
        </w:tblPrEx>
        <w:trPr>
          <w:trHeight w:val="567" w:hRule="atLeast"/>
          <w:jc w:val="center"/>
        </w:trPr>
        <w:tc>
          <w:tcPr>
            <w:tcW w:w="441" w:type="pct"/>
            <w:tcBorders>
              <w:top w:val="single" w:color="auto" w:sz="8" w:space="0"/>
              <w:left w:val="single" w:color="auto" w:sz="8" w:space="0"/>
              <w:bottom w:val="single" w:color="auto" w:sz="8" w:space="0"/>
              <w:right w:val="single" w:color="auto" w:sz="8" w:space="0"/>
            </w:tcBorders>
            <w:vAlign w:val="center"/>
          </w:tcPr>
          <w:p w14:paraId="739F502C">
            <w:pPr>
              <w:pStyle w:val="76"/>
              <w:pageBreakBefore w:val="0"/>
              <w:kinsoku/>
              <w:wordWrap/>
              <w:overflowPunct/>
              <w:topLinePunct w:val="0"/>
              <w:autoSpaceDE/>
              <w:autoSpaceDN/>
              <w:bidi w:val="0"/>
              <w:adjustRightInd w:val="0"/>
              <w:snapToGrid w:val="0"/>
              <w:spacing w:line="240" w:lineRule="auto"/>
              <w:ind w:left="0" w:leftChars="0" w:right="0" w:rightChars="0"/>
              <w:rPr>
                <w:rFonts w:eastAsia="仿宋_GB2312" w:cs="Times New Roman"/>
                <w:kern w:val="0"/>
                <w:sz w:val="24"/>
                <w:szCs w:val="24"/>
                <w:highlight w:val="none"/>
              </w:rPr>
            </w:pPr>
            <w:r>
              <w:rPr>
                <w:rFonts w:eastAsia="仿宋_GB2312" w:cs="Times New Roman"/>
                <w:kern w:val="0"/>
                <w:sz w:val="24"/>
                <w:szCs w:val="24"/>
                <w:highlight w:val="none"/>
              </w:rPr>
              <w:t>2</w:t>
            </w:r>
          </w:p>
        </w:tc>
        <w:tc>
          <w:tcPr>
            <w:tcW w:w="1642" w:type="pct"/>
            <w:tcBorders>
              <w:top w:val="single" w:color="auto" w:sz="8" w:space="0"/>
              <w:left w:val="nil"/>
              <w:bottom w:val="single" w:color="auto" w:sz="8" w:space="0"/>
              <w:right w:val="single" w:color="auto" w:sz="8" w:space="0"/>
            </w:tcBorders>
            <w:vAlign w:val="center"/>
          </w:tcPr>
          <w:p w14:paraId="2475E706">
            <w:pPr>
              <w:pStyle w:val="76"/>
              <w:pageBreakBefore w:val="0"/>
              <w:kinsoku/>
              <w:wordWrap/>
              <w:overflowPunct/>
              <w:topLinePunct w:val="0"/>
              <w:autoSpaceDE/>
              <w:autoSpaceDN/>
              <w:bidi w:val="0"/>
              <w:adjustRightInd w:val="0"/>
              <w:snapToGrid w:val="0"/>
              <w:spacing w:line="240" w:lineRule="auto"/>
              <w:ind w:left="0" w:leftChars="0" w:right="0" w:rightChars="0"/>
              <w:rPr>
                <w:rFonts w:eastAsia="仿宋_GB2312" w:cs="Times New Roman"/>
                <w:kern w:val="0"/>
                <w:sz w:val="24"/>
                <w:szCs w:val="24"/>
                <w:highlight w:val="none"/>
              </w:rPr>
            </w:pPr>
            <w:r>
              <w:rPr>
                <w:rFonts w:eastAsia="仿宋_GB2312" w:cs="Times New Roman"/>
                <w:kern w:val="0"/>
                <w:sz w:val="24"/>
                <w:szCs w:val="24"/>
                <w:highlight w:val="none"/>
              </w:rPr>
              <w:t>生态</w:t>
            </w:r>
            <w:r>
              <w:rPr>
                <w:rFonts w:hint="eastAsia" w:eastAsia="仿宋_GB2312" w:cs="Times New Roman"/>
                <w:kern w:val="0"/>
                <w:sz w:val="24"/>
                <w:szCs w:val="24"/>
                <w:highlight w:val="none"/>
                <w:lang w:eastAsia="zh-CN"/>
              </w:rPr>
              <w:t>安全</w:t>
            </w:r>
            <w:r>
              <w:rPr>
                <w:rFonts w:eastAsia="仿宋_GB2312" w:cs="Times New Roman"/>
                <w:kern w:val="0"/>
                <w:sz w:val="24"/>
                <w:szCs w:val="24"/>
                <w:highlight w:val="none"/>
              </w:rPr>
              <w:t>体系建设</w:t>
            </w:r>
            <w:r>
              <w:rPr>
                <w:rFonts w:hint="eastAsia" w:eastAsia="仿宋_GB2312" w:cs="Times New Roman"/>
                <w:kern w:val="0"/>
                <w:sz w:val="24"/>
                <w:szCs w:val="24"/>
                <w:highlight w:val="none"/>
                <w:lang w:eastAsia="zh-CN"/>
              </w:rPr>
              <w:t>项目</w:t>
            </w:r>
          </w:p>
        </w:tc>
        <w:tc>
          <w:tcPr>
            <w:tcW w:w="752" w:type="pct"/>
            <w:tcBorders>
              <w:top w:val="single" w:color="auto" w:sz="8" w:space="0"/>
              <w:left w:val="nil"/>
              <w:bottom w:val="single" w:color="auto" w:sz="8" w:space="0"/>
              <w:right w:val="single" w:color="auto" w:sz="8" w:space="0"/>
            </w:tcBorders>
            <w:vAlign w:val="center"/>
          </w:tcPr>
          <w:p w14:paraId="79C9F96E">
            <w:pPr>
              <w:pStyle w:val="76"/>
              <w:pageBreakBefore w:val="0"/>
              <w:kinsoku/>
              <w:wordWrap/>
              <w:overflowPunct/>
              <w:topLinePunct w:val="0"/>
              <w:autoSpaceDE/>
              <w:autoSpaceDN/>
              <w:bidi w:val="0"/>
              <w:adjustRightInd w:val="0"/>
              <w:snapToGrid w:val="0"/>
              <w:spacing w:line="240" w:lineRule="auto"/>
              <w:ind w:left="0" w:leftChars="0" w:right="0" w:rightChars="0"/>
              <w:rPr>
                <w:rFonts w:hint="eastAsia" w:eastAsia="仿宋_GB2312" w:cs="Times New Roman"/>
                <w:kern w:val="0"/>
                <w:sz w:val="24"/>
                <w:szCs w:val="24"/>
                <w:highlight w:val="none"/>
                <w:lang w:eastAsia="zh-CN"/>
              </w:rPr>
            </w:pPr>
            <w:r>
              <w:rPr>
                <w:rFonts w:hint="eastAsia" w:eastAsia="仿宋_GB2312" w:cs="Times New Roman"/>
                <w:kern w:val="0"/>
                <w:sz w:val="24"/>
                <w:szCs w:val="24"/>
                <w:highlight w:val="none"/>
                <w:lang w:val="en-US" w:eastAsia="zh-CN"/>
              </w:rPr>
              <w:t>6</w:t>
            </w:r>
          </w:p>
        </w:tc>
        <w:tc>
          <w:tcPr>
            <w:tcW w:w="1025" w:type="pct"/>
            <w:tcBorders>
              <w:top w:val="single" w:color="auto" w:sz="8" w:space="0"/>
              <w:left w:val="nil"/>
              <w:bottom w:val="single" w:color="auto" w:sz="8" w:space="0"/>
              <w:right w:val="single" w:color="auto" w:sz="8" w:space="0"/>
            </w:tcBorders>
            <w:vAlign w:val="center"/>
          </w:tcPr>
          <w:p w14:paraId="34214C0A">
            <w:pPr>
              <w:pStyle w:val="76"/>
              <w:pageBreakBefore w:val="0"/>
              <w:kinsoku/>
              <w:wordWrap/>
              <w:overflowPunct/>
              <w:topLinePunct w:val="0"/>
              <w:autoSpaceDE/>
              <w:autoSpaceDN/>
              <w:bidi w:val="0"/>
              <w:adjustRightInd w:val="0"/>
              <w:snapToGrid w:val="0"/>
              <w:spacing w:line="240" w:lineRule="auto"/>
              <w:ind w:left="0" w:leftChars="0" w:right="0" w:rightChars="0"/>
              <w:rPr>
                <w:rFonts w:hint="default" w:eastAsia="仿宋_GB2312" w:cs="Times New Roman"/>
                <w:kern w:val="0"/>
                <w:sz w:val="24"/>
                <w:szCs w:val="24"/>
                <w:highlight w:val="none"/>
                <w:lang w:val="en-US" w:eastAsia="zh-CN"/>
              </w:rPr>
            </w:pPr>
            <w:r>
              <w:rPr>
                <w:rFonts w:hint="eastAsia" w:eastAsia="仿宋_GB2312" w:cs="Times New Roman"/>
                <w:kern w:val="0"/>
                <w:sz w:val="24"/>
                <w:szCs w:val="24"/>
                <w:highlight w:val="none"/>
                <w:lang w:val="en-US" w:eastAsia="zh-CN"/>
              </w:rPr>
              <w:t>121017.29</w:t>
            </w:r>
          </w:p>
        </w:tc>
        <w:tc>
          <w:tcPr>
            <w:tcW w:w="2111" w:type="dxa"/>
            <w:tcBorders>
              <w:top w:val="single" w:color="auto" w:sz="8" w:space="0"/>
              <w:left w:val="nil"/>
              <w:bottom w:val="single" w:color="auto" w:sz="8" w:space="0"/>
              <w:right w:val="single" w:color="auto" w:sz="8" w:space="0"/>
            </w:tcBorders>
            <w:vAlign w:val="center"/>
          </w:tcPr>
          <w:p w14:paraId="7342A59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kern w:val="0"/>
                <w:sz w:val="24"/>
                <w:szCs w:val="24"/>
                <w:highlight w:val="none"/>
              </w:rPr>
            </w:pPr>
            <w:r>
              <w:rPr>
                <w:rFonts w:hint="default" w:ascii="Times New Roman" w:hAnsi="Times New Roman" w:eastAsia="宋体" w:cs="Times New Roman"/>
                <w:i w:val="0"/>
                <w:iCs w:val="0"/>
                <w:color w:val="000000"/>
                <w:kern w:val="0"/>
                <w:sz w:val="24"/>
                <w:szCs w:val="24"/>
                <w:u w:val="none"/>
                <w:lang w:val="en-US" w:eastAsia="zh-CN" w:bidi="ar"/>
              </w:rPr>
              <w:t>2.4259</w:t>
            </w:r>
          </w:p>
        </w:tc>
      </w:tr>
      <w:tr w14:paraId="121A3A45">
        <w:tblPrEx>
          <w:tblCellMar>
            <w:top w:w="0" w:type="dxa"/>
            <w:left w:w="108" w:type="dxa"/>
            <w:bottom w:w="0" w:type="dxa"/>
            <w:right w:w="108" w:type="dxa"/>
          </w:tblCellMar>
        </w:tblPrEx>
        <w:trPr>
          <w:trHeight w:val="567" w:hRule="atLeast"/>
          <w:jc w:val="center"/>
        </w:trPr>
        <w:tc>
          <w:tcPr>
            <w:tcW w:w="441" w:type="pct"/>
            <w:tcBorders>
              <w:top w:val="nil"/>
              <w:left w:val="single" w:color="auto" w:sz="8" w:space="0"/>
              <w:bottom w:val="single" w:color="auto" w:sz="8" w:space="0"/>
              <w:right w:val="single" w:color="auto" w:sz="8" w:space="0"/>
            </w:tcBorders>
            <w:vAlign w:val="center"/>
          </w:tcPr>
          <w:p w14:paraId="228C71AB">
            <w:pPr>
              <w:pStyle w:val="76"/>
              <w:pageBreakBefore w:val="0"/>
              <w:kinsoku/>
              <w:wordWrap/>
              <w:overflowPunct/>
              <w:topLinePunct w:val="0"/>
              <w:autoSpaceDE/>
              <w:autoSpaceDN/>
              <w:bidi w:val="0"/>
              <w:adjustRightInd w:val="0"/>
              <w:snapToGrid w:val="0"/>
              <w:spacing w:line="240" w:lineRule="auto"/>
              <w:ind w:left="0" w:leftChars="0" w:right="0" w:rightChars="0"/>
              <w:rPr>
                <w:rFonts w:eastAsia="仿宋_GB2312" w:cs="Times New Roman"/>
                <w:kern w:val="0"/>
                <w:sz w:val="24"/>
                <w:szCs w:val="24"/>
                <w:highlight w:val="none"/>
              </w:rPr>
            </w:pPr>
            <w:r>
              <w:rPr>
                <w:rFonts w:eastAsia="仿宋_GB2312" w:cs="Times New Roman"/>
                <w:kern w:val="0"/>
                <w:sz w:val="24"/>
                <w:szCs w:val="24"/>
                <w:highlight w:val="none"/>
              </w:rPr>
              <w:t>3</w:t>
            </w:r>
          </w:p>
        </w:tc>
        <w:tc>
          <w:tcPr>
            <w:tcW w:w="1642" w:type="pct"/>
            <w:tcBorders>
              <w:top w:val="nil"/>
              <w:left w:val="nil"/>
              <w:bottom w:val="single" w:color="auto" w:sz="8" w:space="0"/>
              <w:right w:val="single" w:color="auto" w:sz="8" w:space="0"/>
            </w:tcBorders>
            <w:vAlign w:val="center"/>
          </w:tcPr>
          <w:p w14:paraId="57986797">
            <w:pPr>
              <w:pStyle w:val="76"/>
              <w:pageBreakBefore w:val="0"/>
              <w:kinsoku/>
              <w:wordWrap/>
              <w:overflowPunct/>
              <w:topLinePunct w:val="0"/>
              <w:autoSpaceDE/>
              <w:autoSpaceDN/>
              <w:bidi w:val="0"/>
              <w:adjustRightInd w:val="0"/>
              <w:snapToGrid w:val="0"/>
              <w:spacing w:line="240" w:lineRule="auto"/>
              <w:ind w:left="0" w:leftChars="0" w:right="0" w:rightChars="0"/>
              <w:rPr>
                <w:rFonts w:eastAsia="仿宋_GB2312" w:cs="Times New Roman"/>
                <w:kern w:val="0"/>
                <w:sz w:val="24"/>
                <w:szCs w:val="24"/>
                <w:highlight w:val="none"/>
              </w:rPr>
            </w:pPr>
            <w:r>
              <w:rPr>
                <w:rFonts w:eastAsia="仿宋_GB2312" w:cs="Times New Roman"/>
                <w:kern w:val="0"/>
                <w:sz w:val="24"/>
                <w:szCs w:val="24"/>
                <w:highlight w:val="none"/>
              </w:rPr>
              <w:t>生态</w:t>
            </w:r>
            <w:r>
              <w:rPr>
                <w:rFonts w:hint="eastAsia" w:eastAsia="仿宋_GB2312" w:cs="Times New Roman"/>
                <w:kern w:val="0"/>
                <w:sz w:val="24"/>
                <w:szCs w:val="24"/>
                <w:highlight w:val="none"/>
                <w:lang w:eastAsia="zh-CN"/>
              </w:rPr>
              <w:t>空间</w:t>
            </w:r>
            <w:r>
              <w:rPr>
                <w:rFonts w:eastAsia="仿宋_GB2312" w:cs="Times New Roman"/>
                <w:kern w:val="0"/>
                <w:sz w:val="24"/>
                <w:szCs w:val="24"/>
                <w:highlight w:val="none"/>
              </w:rPr>
              <w:t>体系建设</w:t>
            </w:r>
            <w:r>
              <w:rPr>
                <w:rFonts w:hint="eastAsia" w:eastAsia="仿宋_GB2312" w:cs="Times New Roman"/>
                <w:kern w:val="0"/>
                <w:sz w:val="24"/>
                <w:szCs w:val="24"/>
                <w:highlight w:val="none"/>
                <w:lang w:eastAsia="zh-CN"/>
              </w:rPr>
              <w:t>项目</w:t>
            </w:r>
          </w:p>
        </w:tc>
        <w:tc>
          <w:tcPr>
            <w:tcW w:w="752" w:type="pct"/>
            <w:tcBorders>
              <w:top w:val="nil"/>
              <w:left w:val="nil"/>
              <w:bottom w:val="single" w:color="auto" w:sz="8" w:space="0"/>
              <w:right w:val="single" w:color="auto" w:sz="8" w:space="0"/>
            </w:tcBorders>
            <w:vAlign w:val="center"/>
          </w:tcPr>
          <w:p w14:paraId="2CD7AC4E">
            <w:pPr>
              <w:pStyle w:val="76"/>
              <w:pageBreakBefore w:val="0"/>
              <w:kinsoku/>
              <w:wordWrap/>
              <w:overflowPunct/>
              <w:topLinePunct w:val="0"/>
              <w:autoSpaceDE/>
              <w:autoSpaceDN/>
              <w:bidi w:val="0"/>
              <w:adjustRightInd w:val="0"/>
              <w:snapToGrid w:val="0"/>
              <w:spacing w:line="240" w:lineRule="auto"/>
              <w:ind w:left="0" w:leftChars="0" w:right="0" w:rightChars="0"/>
              <w:rPr>
                <w:rFonts w:hint="eastAsia" w:eastAsia="仿宋_GB2312" w:cs="Times New Roman"/>
                <w:kern w:val="0"/>
                <w:sz w:val="24"/>
                <w:szCs w:val="24"/>
                <w:highlight w:val="none"/>
                <w:lang w:eastAsia="zh-CN"/>
              </w:rPr>
            </w:pPr>
            <w:r>
              <w:rPr>
                <w:rFonts w:hint="eastAsia" w:eastAsia="仿宋_GB2312" w:cs="Times New Roman"/>
                <w:kern w:val="0"/>
                <w:sz w:val="24"/>
                <w:szCs w:val="24"/>
                <w:highlight w:val="none"/>
                <w:lang w:val="en-US" w:eastAsia="zh-CN"/>
              </w:rPr>
              <w:t>2</w:t>
            </w:r>
          </w:p>
        </w:tc>
        <w:tc>
          <w:tcPr>
            <w:tcW w:w="1025" w:type="pct"/>
            <w:tcBorders>
              <w:top w:val="nil"/>
              <w:left w:val="nil"/>
              <w:bottom w:val="single" w:color="auto" w:sz="8" w:space="0"/>
              <w:right w:val="single" w:color="auto" w:sz="8" w:space="0"/>
            </w:tcBorders>
            <w:vAlign w:val="center"/>
          </w:tcPr>
          <w:p w14:paraId="18D91859">
            <w:pPr>
              <w:pStyle w:val="76"/>
              <w:pageBreakBefore w:val="0"/>
              <w:kinsoku/>
              <w:wordWrap/>
              <w:overflowPunct/>
              <w:topLinePunct w:val="0"/>
              <w:autoSpaceDE/>
              <w:autoSpaceDN/>
              <w:bidi w:val="0"/>
              <w:adjustRightInd w:val="0"/>
              <w:snapToGrid w:val="0"/>
              <w:spacing w:line="240" w:lineRule="auto"/>
              <w:ind w:left="0" w:leftChars="0" w:right="0" w:rightChars="0"/>
              <w:rPr>
                <w:rFonts w:hint="default" w:eastAsia="仿宋_GB2312" w:cs="Times New Roman"/>
                <w:kern w:val="0"/>
                <w:sz w:val="24"/>
                <w:szCs w:val="24"/>
                <w:highlight w:val="none"/>
                <w:lang w:val="en-US" w:eastAsia="zh-CN"/>
              </w:rPr>
            </w:pPr>
            <w:r>
              <w:rPr>
                <w:rFonts w:hint="eastAsia" w:eastAsia="仿宋_GB2312" w:cs="Times New Roman"/>
                <w:kern w:val="0"/>
                <w:sz w:val="24"/>
                <w:szCs w:val="24"/>
                <w:highlight w:val="none"/>
                <w:lang w:val="en-US" w:eastAsia="zh-CN"/>
              </w:rPr>
              <w:t>50000</w:t>
            </w:r>
          </w:p>
        </w:tc>
        <w:tc>
          <w:tcPr>
            <w:tcW w:w="2111" w:type="dxa"/>
            <w:tcBorders>
              <w:top w:val="nil"/>
              <w:left w:val="nil"/>
              <w:bottom w:val="single" w:color="auto" w:sz="8" w:space="0"/>
              <w:right w:val="single" w:color="auto" w:sz="8" w:space="0"/>
            </w:tcBorders>
            <w:vAlign w:val="center"/>
          </w:tcPr>
          <w:p w14:paraId="6E6F0F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kern w:val="0"/>
                <w:sz w:val="24"/>
                <w:szCs w:val="24"/>
                <w:highlight w:val="none"/>
                <w:lang w:val="en-US"/>
              </w:rPr>
            </w:pPr>
            <w:r>
              <w:rPr>
                <w:rFonts w:hint="default" w:ascii="Times New Roman" w:hAnsi="Times New Roman" w:eastAsia="宋体" w:cs="Times New Roman"/>
                <w:i w:val="0"/>
                <w:iCs w:val="0"/>
                <w:color w:val="000000"/>
                <w:kern w:val="0"/>
                <w:sz w:val="24"/>
                <w:szCs w:val="24"/>
                <w:u w:val="none"/>
                <w:lang w:val="en-US" w:eastAsia="zh-CN" w:bidi="ar"/>
              </w:rPr>
              <w:t>1.0023</w:t>
            </w:r>
          </w:p>
        </w:tc>
      </w:tr>
      <w:tr w14:paraId="624A6446">
        <w:tblPrEx>
          <w:tblCellMar>
            <w:top w:w="0" w:type="dxa"/>
            <w:left w:w="108" w:type="dxa"/>
            <w:bottom w:w="0" w:type="dxa"/>
            <w:right w:w="108" w:type="dxa"/>
          </w:tblCellMar>
        </w:tblPrEx>
        <w:trPr>
          <w:trHeight w:val="567" w:hRule="atLeast"/>
          <w:jc w:val="center"/>
        </w:trPr>
        <w:tc>
          <w:tcPr>
            <w:tcW w:w="441" w:type="pct"/>
            <w:tcBorders>
              <w:top w:val="nil"/>
              <w:left w:val="single" w:color="auto" w:sz="8" w:space="0"/>
              <w:bottom w:val="single" w:color="auto" w:sz="8" w:space="0"/>
              <w:right w:val="single" w:color="auto" w:sz="8" w:space="0"/>
            </w:tcBorders>
            <w:vAlign w:val="center"/>
          </w:tcPr>
          <w:p w14:paraId="7DE86820">
            <w:pPr>
              <w:pStyle w:val="76"/>
              <w:pageBreakBefore w:val="0"/>
              <w:kinsoku/>
              <w:wordWrap/>
              <w:overflowPunct/>
              <w:topLinePunct w:val="0"/>
              <w:autoSpaceDE/>
              <w:autoSpaceDN/>
              <w:bidi w:val="0"/>
              <w:adjustRightInd w:val="0"/>
              <w:snapToGrid w:val="0"/>
              <w:spacing w:line="240" w:lineRule="auto"/>
              <w:ind w:left="0" w:leftChars="0" w:right="0" w:rightChars="0"/>
              <w:rPr>
                <w:rFonts w:eastAsia="仿宋_GB2312" w:cs="Times New Roman"/>
                <w:kern w:val="0"/>
                <w:sz w:val="24"/>
                <w:szCs w:val="24"/>
                <w:highlight w:val="none"/>
              </w:rPr>
            </w:pPr>
            <w:r>
              <w:rPr>
                <w:rFonts w:eastAsia="仿宋_GB2312" w:cs="Times New Roman"/>
                <w:kern w:val="0"/>
                <w:sz w:val="24"/>
                <w:szCs w:val="24"/>
                <w:highlight w:val="none"/>
              </w:rPr>
              <w:t>4</w:t>
            </w:r>
          </w:p>
        </w:tc>
        <w:tc>
          <w:tcPr>
            <w:tcW w:w="1642" w:type="pct"/>
            <w:tcBorders>
              <w:top w:val="nil"/>
              <w:left w:val="nil"/>
              <w:bottom w:val="single" w:color="auto" w:sz="8" w:space="0"/>
              <w:right w:val="single" w:color="auto" w:sz="8" w:space="0"/>
            </w:tcBorders>
            <w:vAlign w:val="center"/>
          </w:tcPr>
          <w:p w14:paraId="5D6703AA">
            <w:pPr>
              <w:pStyle w:val="76"/>
              <w:pageBreakBefore w:val="0"/>
              <w:kinsoku/>
              <w:wordWrap/>
              <w:overflowPunct/>
              <w:topLinePunct w:val="0"/>
              <w:autoSpaceDE/>
              <w:autoSpaceDN/>
              <w:bidi w:val="0"/>
              <w:adjustRightInd w:val="0"/>
              <w:snapToGrid w:val="0"/>
              <w:spacing w:line="240" w:lineRule="auto"/>
              <w:ind w:left="0" w:leftChars="0" w:right="0" w:rightChars="0"/>
              <w:rPr>
                <w:rFonts w:eastAsia="仿宋_GB2312" w:cs="Times New Roman"/>
                <w:kern w:val="0"/>
                <w:sz w:val="24"/>
                <w:szCs w:val="24"/>
                <w:highlight w:val="none"/>
              </w:rPr>
            </w:pPr>
            <w:r>
              <w:rPr>
                <w:rFonts w:eastAsia="仿宋_GB2312" w:cs="Times New Roman"/>
                <w:kern w:val="0"/>
                <w:sz w:val="24"/>
                <w:szCs w:val="24"/>
                <w:highlight w:val="none"/>
              </w:rPr>
              <w:t>生态</w:t>
            </w:r>
            <w:r>
              <w:rPr>
                <w:rFonts w:hint="eastAsia" w:eastAsia="仿宋_GB2312" w:cs="Times New Roman"/>
                <w:kern w:val="0"/>
                <w:sz w:val="24"/>
                <w:szCs w:val="24"/>
                <w:highlight w:val="none"/>
                <w:lang w:eastAsia="zh-CN"/>
              </w:rPr>
              <w:t>经济</w:t>
            </w:r>
            <w:r>
              <w:rPr>
                <w:rFonts w:eastAsia="仿宋_GB2312" w:cs="Times New Roman"/>
                <w:kern w:val="0"/>
                <w:sz w:val="24"/>
                <w:szCs w:val="24"/>
                <w:highlight w:val="none"/>
              </w:rPr>
              <w:t>体系建设</w:t>
            </w:r>
            <w:r>
              <w:rPr>
                <w:rFonts w:hint="eastAsia" w:eastAsia="仿宋_GB2312" w:cs="Times New Roman"/>
                <w:kern w:val="0"/>
                <w:sz w:val="24"/>
                <w:szCs w:val="24"/>
                <w:highlight w:val="none"/>
                <w:lang w:eastAsia="zh-CN"/>
              </w:rPr>
              <w:t>项目</w:t>
            </w:r>
          </w:p>
        </w:tc>
        <w:tc>
          <w:tcPr>
            <w:tcW w:w="752" w:type="pct"/>
            <w:tcBorders>
              <w:top w:val="nil"/>
              <w:left w:val="nil"/>
              <w:bottom w:val="single" w:color="auto" w:sz="8" w:space="0"/>
              <w:right w:val="single" w:color="auto" w:sz="8" w:space="0"/>
            </w:tcBorders>
            <w:vAlign w:val="center"/>
          </w:tcPr>
          <w:p w14:paraId="4B0EF40B">
            <w:pPr>
              <w:pStyle w:val="76"/>
              <w:pageBreakBefore w:val="0"/>
              <w:kinsoku/>
              <w:wordWrap/>
              <w:overflowPunct/>
              <w:topLinePunct w:val="0"/>
              <w:autoSpaceDE/>
              <w:autoSpaceDN/>
              <w:bidi w:val="0"/>
              <w:adjustRightInd w:val="0"/>
              <w:snapToGrid w:val="0"/>
              <w:spacing w:line="240" w:lineRule="auto"/>
              <w:ind w:left="0" w:leftChars="0" w:right="0" w:rightChars="0"/>
              <w:rPr>
                <w:rFonts w:hint="default" w:eastAsia="仿宋_GB2312" w:cs="Times New Roman"/>
                <w:kern w:val="0"/>
                <w:sz w:val="24"/>
                <w:szCs w:val="24"/>
                <w:highlight w:val="none"/>
                <w:lang w:val="en-US" w:eastAsia="zh-CN"/>
              </w:rPr>
            </w:pPr>
            <w:r>
              <w:rPr>
                <w:rFonts w:hint="eastAsia" w:eastAsia="仿宋_GB2312" w:cs="Times New Roman"/>
                <w:kern w:val="0"/>
                <w:sz w:val="24"/>
                <w:szCs w:val="24"/>
                <w:highlight w:val="none"/>
                <w:lang w:val="en-US" w:eastAsia="zh-CN"/>
              </w:rPr>
              <w:t>33</w:t>
            </w:r>
          </w:p>
        </w:tc>
        <w:tc>
          <w:tcPr>
            <w:tcW w:w="1025" w:type="pct"/>
            <w:tcBorders>
              <w:top w:val="nil"/>
              <w:left w:val="nil"/>
              <w:bottom w:val="single" w:color="auto" w:sz="8" w:space="0"/>
              <w:right w:val="single" w:color="auto" w:sz="8" w:space="0"/>
            </w:tcBorders>
            <w:vAlign w:val="center"/>
          </w:tcPr>
          <w:p w14:paraId="4709A321">
            <w:pPr>
              <w:pStyle w:val="76"/>
              <w:pageBreakBefore w:val="0"/>
              <w:kinsoku/>
              <w:wordWrap/>
              <w:overflowPunct/>
              <w:topLinePunct w:val="0"/>
              <w:autoSpaceDE/>
              <w:autoSpaceDN/>
              <w:bidi w:val="0"/>
              <w:adjustRightInd w:val="0"/>
              <w:snapToGrid w:val="0"/>
              <w:spacing w:line="240" w:lineRule="auto"/>
              <w:ind w:left="0" w:leftChars="0" w:right="0" w:rightChars="0"/>
              <w:rPr>
                <w:rFonts w:hint="default" w:eastAsia="仿宋_GB2312" w:cs="Times New Roman"/>
                <w:kern w:val="0"/>
                <w:sz w:val="24"/>
                <w:szCs w:val="24"/>
                <w:highlight w:val="none"/>
                <w:lang w:val="en-US" w:eastAsia="zh-CN"/>
              </w:rPr>
            </w:pPr>
            <w:r>
              <w:rPr>
                <w:rFonts w:hint="eastAsia" w:eastAsia="仿宋_GB2312" w:cs="Times New Roman"/>
                <w:kern w:val="0"/>
                <w:sz w:val="24"/>
                <w:szCs w:val="24"/>
                <w:highlight w:val="none"/>
                <w:lang w:val="en-US" w:eastAsia="zh-CN"/>
              </w:rPr>
              <w:t>4567390.85</w:t>
            </w:r>
          </w:p>
        </w:tc>
        <w:tc>
          <w:tcPr>
            <w:tcW w:w="2111" w:type="dxa"/>
            <w:tcBorders>
              <w:top w:val="nil"/>
              <w:left w:val="nil"/>
              <w:bottom w:val="single" w:color="auto" w:sz="8" w:space="0"/>
              <w:right w:val="single" w:color="auto" w:sz="8" w:space="0"/>
            </w:tcBorders>
            <w:vAlign w:val="center"/>
          </w:tcPr>
          <w:p w14:paraId="40C5EAB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kern w:val="0"/>
                <w:sz w:val="24"/>
                <w:szCs w:val="24"/>
                <w:highlight w:val="none"/>
              </w:rPr>
            </w:pPr>
            <w:r>
              <w:rPr>
                <w:rFonts w:hint="default" w:ascii="Times New Roman" w:hAnsi="Times New Roman" w:eastAsia="宋体" w:cs="Times New Roman"/>
                <w:i w:val="0"/>
                <w:iCs w:val="0"/>
                <w:color w:val="000000"/>
                <w:kern w:val="0"/>
                <w:sz w:val="24"/>
                <w:szCs w:val="24"/>
                <w:u w:val="none"/>
                <w:lang w:val="en-US" w:eastAsia="zh-CN" w:bidi="ar"/>
              </w:rPr>
              <w:t>91.5574</w:t>
            </w:r>
          </w:p>
        </w:tc>
      </w:tr>
      <w:tr w14:paraId="07FB92F0">
        <w:tblPrEx>
          <w:tblCellMar>
            <w:top w:w="0" w:type="dxa"/>
            <w:left w:w="108" w:type="dxa"/>
            <w:bottom w:w="0" w:type="dxa"/>
            <w:right w:w="108" w:type="dxa"/>
          </w:tblCellMar>
        </w:tblPrEx>
        <w:trPr>
          <w:trHeight w:val="567" w:hRule="atLeast"/>
          <w:jc w:val="center"/>
        </w:trPr>
        <w:tc>
          <w:tcPr>
            <w:tcW w:w="441" w:type="pct"/>
            <w:tcBorders>
              <w:top w:val="nil"/>
              <w:left w:val="single" w:color="auto" w:sz="8" w:space="0"/>
              <w:bottom w:val="single" w:color="auto" w:sz="8" w:space="0"/>
              <w:right w:val="single" w:color="auto" w:sz="8" w:space="0"/>
            </w:tcBorders>
            <w:vAlign w:val="center"/>
          </w:tcPr>
          <w:p w14:paraId="3BAD92AB">
            <w:pPr>
              <w:pStyle w:val="76"/>
              <w:pageBreakBefore w:val="0"/>
              <w:kinsoku/>
              <w:wordWrap/>
              <w:overflowPunct/>
              <w:topLinePunct w:val="0"/>
              <w:autoSpaceDE/>
              <w:autoSpaceDN/>
              <w:bidi w:val="0"/>
              <w:adjustRightInd w:val="0"/>
              <w:snapToGrid w:val="0"/>
              <w:spacing w:line="240" w:lineRule="auto"/>
              <w:ind w:left="0" w:leftChars="0" w:right="0" w:rightChars="0"/>
              <w:rPr>
                <w:rFonts w:eastAsia="仿宋_GB2312" w:cs="Times New Roman"/>
                <w:kern w:val="0"/>
                <w:sz w:val="24"/>
                <w:szCs w:val="24"/>
                <w:highlight w:val="none"/>
              </w:rPr>
            </w:pPr>
            <w:r>
              <w:rPr>
                <w:rFonts w:eastAsia="仿宋_GB2312" w:cs="Times New Roman"/>
                <w:kern w:val="0"/>
                <w:sz w:val="24"/>
                <w:szCs w:val="24"/>
                <w:highlight w:val="none"/>
              </w:rPr>
              <w:t>5</w:t>
            </w:r>
          </w:p>
        </w:tc>
        <w:tc>
          <w:tcPr>
            <w:tcW w:w="1642" w:type="pct"/>
            <w:tcBorders>
              <w:top w:val="nil"/>
              <w:left w:val="nil"/>
              <w:bottom w:val="single" w:color="auto" w:sz="8" w:space="0"/>
              <w:right w:val="single" w:color="auto" w:sz="8" w:space="0"/>
            </w:tcBorders>
            <w:vAlign w:val="center"/>
          </w:tcPr>
          <w:p w14:paraId="3DEEA1A7">
            <w:pPr>
              <w:pStyle w:val="76"/>
              <w:pageBreakBefore w:val="0"/>
              <w:kinsoku/>
              <w:wordWrap/>
              <w:overflowPunct/>
              <w:topLinePunct w:val="0"/>
              <w:autoSpaceDE/>
              <w:autoSpaceDN/>
              <w:bidi w:val="0"/>
              <w:adjustRightInd w:val="0"/>
              <w:snapToGrid w:val="0"/>
              <w:spacing w:line="240" w:lineRule="auto"/>
              <w:ind w:left="0" w:leftChars="0" w:right="0" w:rightChars="0"/>
              <w:rPr>
                <w:rFonts w:eastAsia="仿宋_GB2312" w:cs="Times New Roman"/>
                <w:kern w:val="0"/>
                <w:sz w:val="24"/>
                <w:szCs w:val="24"/>
                <w:highlight w:val="none"/>
              </w:rPr>
            </w:pPr>
            <w:r>
              <w:rPr>
                <w:rFonts w:eastAsia="仿宋_GB2312" w:cs="Times New Roman"/>
                <w:kern w:val="0"/>
                <w:sz w:val="24"/>
                <w:szCs w:val="24"/>
                <w:highlight w:val="none"/>
              </w:rPr>
              <w:t>生态</w:t>
            </w:r>
            <w:r>
              <w:rPr>
                <w:rFonts w:hint="eastAsia" w:eastAsia="仿宋_GB2312" w:cs="Times New Roman"/>
                <w:kern w:val="0"/>
                <w:sz w:val="24"/>
                <w:szCs w:val="24"/>
                <w:highlight w:val="none"/>
                <w:lang w:eastAsia="zh-CN"/>
              </w:rPr>
              <w:t>生活</w:t>
            </w:r>
            <w:r>
              <w:rPr>
                <w:rFonts w:eastAsia="仿宋_GB2312" w:cs="Times New Roman"/>
                <w:kern w:val="0"/>
                <w:sz w:val="24"/>
                <w:szCs w:val="24"/>
                <w:highlight w:val="none"/>
              </w:rPr>
              <w:t>体系建设</w:t>
            </w:r>
            <w:r>
              <w:rPr>
                <w:rFonts w:hint="eastAsia" w:eastAsia="仿宋_GB2312" w:cs="Times New Roman"/>
                <w:kern w:val="0"/>
                <w:sz w:val="24"/>
                <w:szCs w:val="24"/>
                <w:highlight w:val="none"/>
                <w:lang w:eastAsia="zh-CN"/>
              </w:rPr>
              <w:t>项目</w:t>
            </w:r>
          </w:p>
        </w:tc>
        <w:tc>
          <w:tcPr>
            <w:tcW w:w="752" w:type="pct"/>
            <w:tcBorders>
              <w:top w:val="nil"/>
              <w:left w:val="nil"/>
              <w:bottom w:val="single" w:color="auto" w:sz="8" w:space="0"/>
              <w:right w:val="single" w:color="auto" w:sz="8" w:space="0"/>
            </w:tcBorders>
            <w:vAlign w:val="center"/>
          </w:tcPr>
          <w:p w14:paraId="772FD937">
            <w:pPr>
              <w:pStyle w:val="76"/>
              <w:pageBreakBefore w:val="0"/>
              <w:kinsoku/>
              <w:wordWrap/>
              <w:overflowPunct/>
              <w:topLinePunct w:val="0"/>
              <w:autoSpaceDE/>
              <w:autoSpaceDN/>
              <w:bidi w:val="0"/>
              <w:adjustRightInd w:val="0"/>
              <w:snapToGrid w:val="0"/>
              <w:spacing w:line="240" w:lineRule="auto"/>
              <w:ind w:left="0" w:leftChars="0" w:right="0" w:rightChars="0"/>
              <w:rPr>
                <w:rFonts w:hint="default" w:eastAsia="仿宋_GB2312" w:cs="Times New Roman"/>
                <w:kern w:val="0"/>
                <w:sz w:val="24"/>
                <w:szCs w:val="24"/>
                <w:highlight w:val="none"/>
                <w:lang w:val="en-US" w:eastAsia="zh-CN"/>
              </w:rPr>
            </w:pPr>
            <w:r>
              <w:rPr>
                <w:rFonts w:hint="eastAsia" w:eastAsia="仿宋_GB2312" w:cs="Times New Roman"/>
                <w:kern w:val="0"/>
                <w:sz w:val="24"/>
                <w:szCs w:val="24"/>
                <w:highlight w:val="none"/>
                <w:lang w:val="en-US" w:eastAsia="zh-CN"/>
              </w:rPr>
              <w:t>12</w:t>
            </w:r>
          </w:p>
        </w:tc>
        <w:tc>
          <w:tcPr>
            <w:tcW w:w="1025" w:type="pct"/>
            <w:tcBorders>
              <w:top w:val="nil"/>
              <w:left w:val="nil"/>
              <w:bottom w:val="single" w:color="auto" w:sz="8" w:space="0"/>
              <w:right w:val="single" w:color="auto" w:sz="8" w:space="0"/>
            </w:tcBorders>
            <w:vAlign w:val="center"/>
          </w:tcPr>
          <w:p w14:paraId="3EF2C37E">
            <w:pPr>
              <w:pStyle w:val="76"/>
              <w:pageBreakBefore w:val="0"/>
              <w:kinsoku/>
              <w:wordWrap/>
              <w:overflowPunct/>
              <w:topLinePunct w:val="0"/>
              <w:autoSpaceDE/>
              <w:autoSpaceDN/>
              <w:bidi w:val="0"/>
              <w:adjustRightInd w:val="0"/>
              <w:snapToGrid w:val="0"/>
              <w:spacing w:line="240" w:lineRule="auto"/>
              <w:ind w:left="0" w:leftChars="0" w:right="0" w:rightChars="0"/>
              <w:rPr>
                <w:rFonts w:hint="default" w:eastAsia="仿宋_GB2312" w:cs="Times New Roman"/>
                <w:kern w:val="0"/>
                <w:sz w:val="24"/>
                <w:szCs w:val="24"/>
                <w:highlight w:val="none"/>
                <w:lang w:val="en-US" w:eastAsia="zh-CN"/>
              </w:rPr>
            </w:pPr>
            <w:r>
              <w:rPr>
                <w:rFonts w:hint="eastAsia" w:eastAsia="仿宋_GB2312" w:cs="Times New Roman"/>
                <w:kern w:val="0"/>
                <w:sz w:val="24"/>
                <w:szCs w:val="24"/>
                <w:highlight w:val="none"/>
                <w:lang w:val="en-US" w:eastAsia="zh-CN"/>
              </w:rPr>
              <w:t>246098.93</w:t>
            </w:r>
          </w:p>
        </w:tc>
        <w:tc>
          <w:tcPr>
            <w:tcW w:w="2111" w:type="dxa"/>
            <w:tcBorders>
              <w:top w:val="nil"/>
              <w:left w:val="nil"/>
              <w:bottom w:val="single" w:color="auto" w:sz="8" w:space="0"/>
              <w:right w:val="single" w:color="auto" w:sz="8" w:space="0"/>
            </w:tcBorders>
            <w:vAlign w:val="center"/>
          </w:tcPr>
          <w:p w14:paraId="5C2DC56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kern w:val="0"/>
                <w:sz w:val="24"/>
                <w:szCs w:val="24"/>
                <w:highlight w:val="none"/>
              </w:rPr>
            </w:pPr>
            <w:r>
              <w:rPr>
                <w:rFonts w:hint="default" w:ascii="Times New Roman" w:hAnsi="Times New Roman" w:eastAsia="宋体" w:cs="Times New Roman"/>
                <w:i w:val="0"/>
                <w:iCs w:val="0"/>
                <w:color w:val="000000"/>
                <w:kern w:val="0"/>
                <w:sz w:val="24"/>
                <w:szCs w:val="24"/>
                <w:u w:val="none"/>
                <w:lang w:val="en-US" w:eastAsia="zh-CN" w:bidi="ar"/>
              </w:rPr>
              <w:t>4.9333</w:t>
            </w:r>
          </w:p>
        </w:tc>
      </w:tr>
      <w:tr w14:paraId="3F474275">
        <w:tblPrEx>
          <w:tblCellMar>
            <w:top w:w="0" w:type="dxa"/>
            <w:left w:w="108" w:type="dxa"/>
            <w:bottom w:w="0" w:type="dxa"/>
            <w:right w:w="108" w:type="dxa"/>
          </w:tblCellMar>
        </w:tblPrEx>
        <w:trPr>
          <w:trHeight w:val="567" w:hRule="atLeast"/>
          <w:jc w:val="center"/>
        </w:trPr>
        <w:tc>
          <w:tcPr>
            <w:tcW w:w="441" w:type="pct"/>
            <w:tcBorders>
              <w:top w:val="nil"/>
              <w:left w:val="single" w:color="auto" w:sz="8" w:space="0"/>
              <w:bottom w:val="single" w:color="auto" w:sz="8" w:space="0"/>
              <w:right w:val="single" w:color="auto" w:sz="8" w:space="0"/>
            </w:tcBorders>
            <w:vAlign w:val="center"/>
          </w:tcPr>
          <w:p w14:paraId="06B1F1CD">
            <w:pPr>
              <w:pStyle w:val="76"/>
              <w:pageBreakBefore w:val="0"/>
              <w:kinsoku/>
              <w:wordWrap/>
              <w:overflowPunct/>
              <w:topLinePunct w:val="0"/>
              <w:autoSpaceDE/>
              <w:autoSpaceDN/>
              <w:bidi w:val="0"/>
              <w:adjustRightInd w:val="0"/>
              <w:snapToGrid w:val="0"/>
              <w:spacing w:line="240" w:lineRule="auto"/>
              <w:ind w:left="0" w:leftChars="0" w:right="0" w:rightChars="0"/>
              <w:rPr>
                <w:rFonts w:eastAsia="仿宋_GB2312" w:cs="Times New Roman"/>
                <w:kern w:val="0"/>
                <w:sz w:val="24"/>
                <w:szCs w:val="24"/>
                <w:highlight w:val="none"/>
              </w:rPr>
            </w:pPr>
            <w:r>
              <w:rPr>
                <w:rFonts w:eastAsia="仿宋_GB2312" w:cs="Times New Roman"/>
                <w:kern w:val="0"/>
                <w:sz w:val="24"/>
                <w:szCs w:val="24"/>
                <w:highlight w:val="none"/>
              </w:rPr>
              <w:t>6</w:t>
            </w:r>
          </w:p>
        </w:tc>
        <w:tc>
          <w:tcPr>
            <w:tcW w:w="1642" w:type="pct"/>
            <w:tcBorders>
              <w:top w:val="nil"/>
              <w:left w:val="nil"/>
              <w:bottom w:val="single" w:color="auto" w:sz="8" w:space="0"/>
              <w:right w:val="single" w:color="auto" w:sz="8" w:space="0"/>
            </w:tcBorders>
            <w:vAlign w:val="center"/>
          </w:tcPr>
          <w:p w14:paraId="7BE65D62">
            <w:pPr>
              <w:pStyle w:val="76"/>
              <w:pageBreakBefore w:val="0"/>
              <w:kinsoku/>
              <w:wordWrap/>
              <w:overflowPunct/>
              <w:topLinePunct w:val="0"/>
              <w:autoSpaceDE/>
              <w:autoSpaceDN/>
              <w:bidi w:val="0"/>
              <w:adjustRightInd w:val="0"/>
              <w:snapToGrid w:val="0"/>
              <w:spacing w:line="240" w:lineRule="auto"/>
              <w:ind w:left="0" w:leftChars="0" w:right="0" w:rightChars="0"/>
              <w:rPr>
                <w:rFonts w:eastAsia="仿宋_GB2312" w:cs="Times New Roman"/>
                <w:kern w:val="0"/>
                <w:sz w:val="24"/>
                <w:szCs w:val="24"/>
                <w:highlight w:val="none"/>
              </w:rPr>
            </w:pPr>
            <w:r>
              <w:rPr>
                <w:rFonts w:eastAsia="仿宋_GB2312" w:cs="Times New Roman"/>
                <w:kern w:val="0"/>
                <w:sz w:val="24"/>
                <w:szCs w:val="24"/>
                <w:highlight w:val="none"/>
              </w:rPr>
              <w:t>生态文化体系建设</w:t>
            </w:r>
            <w:r>
              <w:rPr>
                <w:rFonts w:hint="eastAsia" w:eastAsia="仿宋_GB2312" w:cs="Times New Roman"/>
                <w:kern w:val="0"/>
                <w:sz w:val="24"/>
                <w:szCs w:val="24"/>
                <w:highlight w:val="none"/>
                <w:lang w:eastAsia="zh-CN"/>
              </w:rPr>
              <w:t>项目</w:t>
            </w:r>
          </w:p>
        </w:tc>
        <w:tc>
          <w:tcPr>
            <w:tcW w:w="752" w:type="pct"/>
            <w:tcBorders>
              <w:top w:val="nil"/>
              <w:left w:val="nil"/>
              <w:bottom w:val="single" w:color="auto" w:sz="8" w:space="0"/>
              <w:right w:val="single" w:color="auto" w:sz="8" w:space="0"/>
            </w:tcBorders>
            <w:vAlign w:val="center"/>
          </w:tcPr>
          <w:p w14:paraId="24657167">
            <w:pPr>
              <w:pStyle w:val="76"/>
              <w:pageBreakBefore w:val="0"/>
              <w:kinsoku/>
              <w:wordWrap/>
              <w:overflowPunct/>
              <w:topLinePunct w:val="0"/>
              <w:autoSpaceDE/>
              <w:autoSpaceDN/>
              <w:bidi w:val="0"/>
              <w:adjustRightInd w:val="0"/>
              <w:snapToGrid w:val="0"/>
              <w:spacing w:line="240" w:lineRule="auto"/>
              <w:ind w:left="0" w:leftChars="0" w:right="0" w:rightChars="0"/>
              <w:rPr>
                <w:rFonts w:hint="eastAsia" w:eastAsia="仿宋_GB2312" w:cs="Times New Roman"/>
                <w:kern w:val="0"/>
                <w:sz w:val="24"/>
                <w:szCs w:val="24"/>
                <w:highlight w:val="none"/>
                <w:lang w:eastAsia="zh-CN"/>
              </w:rPr>
            </w:pPr>
            <w:r>
              <w:rPr>
                <w:rFonts w:hint="eastAsia" w:eastAsia="仿宋_GB2312" w:cs="Times New Roman"/>
                <w:kern w:val="0"/>
                <w:sz w:val="24"/>
                <w:szCs w:val="24"/>
                <w:highlight w:val="none"/>
                <w:lang w:val="en-US" w:eastAsia="zh-CN"/>
              </w:rPr>
              <w:t>4</w:t>
            </w:r>
          </w:p>
        </w:tc>
        <w:tc>
          <w:tcPr>
            <w:tcW w:w="1025" w:type="pct"/>
            <w:tcBorders>
              <w:top w:val="nil"/>
              <w:left w:val="nil"/>
              <w:bottom w:val="single" w:color="auto" w:sz="8" w:space="0"/>
              <w:right w:val="single" w:color="auto" w:sz="8" w:space="0"/>
            </w:tcBorders>
            <w:vAlign w:val="center"/>
          </w:tcPr>
          <w:p w14:paraId="56D59488">
            <w:pPr>
              <w:pStyle w:val="76"/>
              <w:pageBreakBefore w:val="0"/>
              <w:kinsoku/>
              <w:wordWrap/>
              <w:overflowPunct/>
              <w:topLinePunct w:val="0"/>
              <w:autoSpaceDE/>
              <w:autoSpaceDN/>
              <w:bidi w:val="0"/>
              <w:adjustRightInd w:val="0"/>
              <w:snapToGrid w:val="0"/>
              <w:spacing w:line="240" w:lineRule="auto"/>
              <w:ind w:left="0" w:leftChars="0" w:right="0" w:rightChars="0"/>
              <w:rPr>
                <w:rFonts w:hint="default" w:eastAsia="仿宋_GB2312" w:cs="Times New Roman"/>
                <w:kern w:val="0"/>
                <w:sz w:val="24"/>
                <w:szCs w:val="24"/>
                <w:highlight w:val="none"/>
                <w:lang w:val="en-US" w:eastAsia="zh-CN"/>
              </w:rPr>
            </w:pPr>
            <w:r>
              <w:rPr>
                <w:rFonts w:hint="eastAsia" w:eastAsia="仿宋_GB2312" w:cs="Times New Roman"/>
                <w:kern w:val="0"/>
                <w:sz w:val="24"/>
                <w:szCs w:val="24"/>
                <w:highlight w:val="none"/>
                <w:lang w:val="en-US" w:eastAsia="zh-CN"/>
              </w:rPr>
              <w:t>4020</w:t>
            </w:r>
          </w:p>
        </w:tc>
        <w:tc>
          <w:tcPr>
            <w:tcW w:w="2111" w:type="dxa"/>
            <w:tcBorders>
              <w:top w:val="nil"/>
              <w:left w:val="nil"/>
              <w:bottom w:val="single" w:color="auto" w:sz="8" w:space="0"/>
              <w:right w:val="single" w:color="auto" w:sz="8" w:space="0"/>
            </w:tcBorders>
            <w:vAlign w:val="center"/>
          </w:tcPr>
          <w:p w14:paraId="72B6D7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kern w:val="0"/>
                <w:sz w:val="24"/>
                <w:szCs w:val="24"/>
                <w:highlight w:val="none"/>
              </w:rPr>
            </w:pPr>
            <w:r>
              <w:rPr>
                <w:rFonts w:hint="default" w:ascii="Times New Roman" w:hAnsi="Times New Roman" w:eastAsia="宋体" w:cs="Times New Roman"/>
                <w:i w:val="0"/>
                <w:iCs w:val="0"/>
                <w:color w:val="000000"/>
                <w:kern w:val="0"/>
                <w:sz w:val="24"/>
                <w:szCs w:val="24"/>
                <w:u w:val="none"/>
                <w:lang w:val="en-US" w:eastAsia="zh-CN" w:bidi="ar"/>
              </w:rPr>
              <w:t>0.0806</w:t>
            </w:r>
          </w:p>
        </w:tc>
      </w:tr>
      <w:tr w14:paraId="1581B33D">
        <w:tblPrEx>
          <w:tblCellMar>
            <w:top w:w="0" w:type="dxa"/>
            <w:left w:w="108" w:type="dxa"/>
            <w:bottom w:w="0" w:type="dxa"/>
            <w:right w:w="108" w:type="dxa"/>
          </w:tblCellMar>
        </w:tblPrEx>
        <w:trPr>
          <w:trHeight w:val="567" w:hRule="atLeast"/>
          <w:jc w:val="center"/>
        </w:trPr>
        <w:tc>
          <w:tcPr>
            <w:tcW w:w="2084" w:type="pct"/>
            <w:gridSpan w:val="2"/>
            <w:tcBorders>
              <w:top w:val="single" w:color="auto" w:sz="8" w:space="0"/>
              <w:left w:val="single" w:color="auto" w:sz="8" w:space="0"/>
              <w:bottom w:val="single" w:color="auto" w:sz="8" w:space="0"/>
              <w:right w:val="single" w:color="000000" w:sz="8" w:space="0"/>
            </w:tcBorders>
            <w:vAlign w:val="center"/>
          </w:tcPr>
          <w:p w14:paraId="057A199E">
            <w:pPr>
              <w:pStyle w:val="76"/>
              <w:pageBreakBefore w:val="0"/>
              <w:kinsoku/>
              <w:wordWrap/>
              <w:overflowPunct/>
              <w:topLinePunct w:val="0"/>
              <w:autoSpaceDE/>
              <w:autoSpaceDN/>
              <w:bidi w:val="0"/>
              <w:adjustRightInd w:val="0"/>
              <w:snapToGrid w:val="0"/>
              <w:spacing w:line="240" w:lineRule="auto"/>
              <w:ind w:left="0" w:leftChars="0" w:right="0" w:rightChars="0"/>
              <w:rPr>
                <w:rFonts w:eastAsia="仿宋_GB2312" w:cs="Times New Roman"/>
                <w:b/>
                <w:bCs/>
                <w:kern w:val="0"/>
                <w:sz w:val="24"/>
                <w:szCs w:val="24"/>
                <w:highlight w:val="yellow"/>
              </w:rPr>
            </w:pPr>
            <w:r>
              <w:rPr>
                <w:rFonts w:eastAsia="仿宋_GB2312" w:cs="Times New Roman"/>
                <w:b/>
                <w:bCs/>
                <w:kern w:val="0"/>
                <w:sz w:val="24"/>
                <w:szCs w:val="24"/>
                <w:highlight w:val="none"/>
              </w:rPr>
              <w:t>合计</w:t>
            </w:r>
          </w:p>
        </w:tc>
        <w:tc>
          <w:tcPr>
            <w:tcW w:w="752" w:type="pct"/>
            <w:tcBorders>
              <w:top w:val="nil"/>
              <w:left w:val="nil"/>
              <w:bottom w:val="single" w:color="auto" w:sz="8" w:space="0"/>
              <w:right w:val="single" w:color="auto" w:sz="8" w:space="0"/>
            </w:tcBorders>
            <w:vAlign w:val="center"/>
          </w:tcPr>
          <w:p w14:paraId="78DD9565">
            <w:pPr>
              <w:pStyle w:val="76"/>
              <w:pageBreakBefore w:val="0"/>
              <w:kinsoku/>
              <w:wordWrap/>
              <w:overflowPunct/>
              <w:topLinePunct w:val="0"/>
              <w:autoSpaceDE/>
              <w:autoSpaceDN/>
              <w:bidi w:val="0"/>
              <w:adjustRightInd w:val="0"/>
              <w:snapToGrid w:val="0"/>
              <w:spacing w:line="240" w:lineRule="auto"/>
              <w:ind w:left="0" w:leftChars="0" w:right="0" w:rightChars="0"/>
              <w:rPr>
                <w:rFonts w:hint="default" w:eastAsia="仿宋_GB2312" w:cs="Times New Roman"/>
                <w:b/>
                <w:bCs/>
                <w:kern w:val="0"/>
                <w:sz w:val="24"/>
                <w:szCs w:val="24"/>
                <w:highlight w:val="none"/>
                <w:lang w:val="en-US" w:eastAsia="zh-CN"/>
              </w:rPr>
            </w:pPr>
            <w:r>
              <w:rPr>
                <w:rFonts w:hint="eastAsia" w:eastAsia="仿宋_GB2312" w:cs="Times New Roman"/>
                <w:b/>
                <w:bCs/>
                <w:kern w:val="0"/>
                <w:sz w:val="24"/>
                <w:szCs w:val="24"/>
                <w:highlight w:val="none"/>
                <w:lang w:val="en-US" w:eastAsia="zh-CN"/>
              </w:rPr>
              <w:t>60</w:t>
            </w:r>
          </w:p>
        </w:tc>
        <w:tc>
          <w:tcPr>
            <w:tcW w:w="1025" w:type="pct"/>
            <w:tcBorders>
              <w:top w:val="nil"/>
              <w:left w:val="nil"/>
              <w:bottom w:val="single" w:color="auto" w:sz="8" w:space="0"/>
              <w:right w:val="single" w:color="auto" w:sz="8" w:space="0"/>
            </w:tcBorders>
            <w:vAlign w:val="center"/>
          </w:tcPr>
          <w:p w14:paraId="3307ADBC">
            <w:pPr>
              <w:pStyle w:val="76"/>
              <w:pageBreakBefore w:val="0"/>
              <w:kinsoku/>
              <w:wordWrap/>
              <w:overflowPunct/>
              <w:topLinePunct w:val="0"/>
              <w:autoSpaceDE/>
              <w:autoSpaceDN/>
              <w:bidi w:val="0"/>
              <w:adjustRightInd w:val="0"/>
              <w:snapToGrid w:val="0"/>
              <w:spacing w:line="240" w:lineRule="auto"/>
              <w:ind w:left="0" w:leftChars="0" w:right="0" w:rightChars="0"/>
              <w:rPr>
                <w:rFonts w:eastAsia="仿宋_GB2312" w:cs="Times New Roman"/>
                <w:b/>
                <w:bCs/>
                <w:kern w:val="0"/>
                <w:sz w:val="24"/>
                <w:szCs w:val="24"/>
                <w:highlight w:val="none"/>
              </w:rPr>
            </w:pPr>
            <w:r>
              <w:rPr>
                <w:rFonts w:hint="eastAsia" w:eastAsia="仿宋_GB2312" w:cs="Times New Roman"/>
                <w:b/>
                <w:bCs/>
                <w:kern w:val="0"/>
                <w:sz w:val="24"/>
                <w:szCs w:val="24"/>
                <w:highlight w:val="none"/>
                <w:lang w:val="en-US" w:eastAsia="zh-CN"/>
              </w:rPr>
              <w:t>49885</w:t>
            </w:r>
            <w:r>
              <w:rPr>
                <w:rFonts w:hint="default" w:eastAsia="仿宋_GB2312" w:cs="Times New Roman"/>
                <w:b/>
                <w:bCs/>
                <w:kern w:val="0"/>
                <w:sz w:val="24"/>
                <w:szCs w:val="24"/>
                <w:highlight w:val="none"/>
                <w:lang w:val="en-US" w:eastAsia="zh-CN"/>
              </w:rPr>
              <w:t>55.07</w:t>
            </w:r>
          </w:p>
        </w:tc>
        <w:tc>
          <w:tcPr>
            <w:tcW w:w="1137" w:type="pct"/>
            <w:tcBorders>
              <w:top w:val="nil"/>
              <w:left w:val="nil"/>
              <w:bottom w:val="single" w:color="auto" w:sz="8" w:space="0"/>
              <w:right w:val="single" w:color="auto" w:sz="8" w:space="0"/>
            </w:tcBorders>
            <w:vAlign w:val="center"/>
          </w:tcPr>
          <w:p w14:paraId="2D24E987">
            <w:pPr>
              <w:pStyle w:val="76"/>
              <w:pageBreakBefore w:val="0"/>
              <w:kinsoku/>
              <w:wordWrap/>
              <w:overflowPunct/>
              <w:topLinePunct w:val="0"/>
              <w:autoSpaceDE/>
              <w:autoSpaceDN/>
              <w:bidi w:val="0"/>
              <w:adjustRightInd w:val="0"/>
              <w:snapToGrid w:val="0"/>
              <w:spacing w:line="240" w:lineRule="auto"/>
              <w:ind w:left="0" w:leftChars="0" w:right="0" w:rightChars="0"/>
              <w:rPr>
                <w:rFonts w:eastAsia="仿宋_GB2312" w:cs="Times New Roman"/>
                <w:b/>
                <w:bCs/>
                <w:kern w:val="0"/>
                <w:sz w:val="24"/>
                <w:szCs w:val="24"/>
                <w:highlight w:val="none"/>
              </w:rPr>
            </w:pPr>
            <w:r>
              <w:rPr>
                <w:rFonts w:eastAsia="仿宋_GB2312" w:cs="Times New Roman"/>
                <w:b/>
                <w:bCs/>
                <w:kern w:val="0"/>
                <w:sz w:val="24"/>
                <w:szCs w:val="24"/>
                <w:highlight w:val="none"/>
              </w:rPr>
              <w:t>100</w:t>
            </w:r>
          </w:p>
        </w:tc>
      </w:tr>
    </w:tbl>
    <w:p w14:paraId="1E1F1A88">
      <w:pPr>
        <w:pStyle w:val="8"/>
        <w:pageBreakBefore w:val="0"/>
        <w:kinsoku/>
        <w:wordWrap/>
        <w:overflowPunct/>
        <w:topLinePunct w:val="0"/>
        <w:autoSpaceDE/>
        <w:autoSpaceDN/>
        <w:bidi w:val="0"/>
        <w:spacing w:line="560" w:lineRule="exact"/>
        <w:ind w:left="0" w:leftChars="0" w:right="0" w:rightChars="0" w:firstLine="640"/>
        <w:rPr>
          <w:b w:val="0"/>
          <w:bCs w:val="0"/>
          <w:highlight w:val="none"/>
        </w:rPr>
      </w:pPr>
      <w:bookmarkStart w:id="180" w:name="_Toc26886"/>
      <w:bookmarkStart w:id="181" w:name="_Toc1618"/>
      <w:bookmarkStart w:id="182" w:name="_Toc27758"/>
      <w:bookmarkStart w:id="183" w:name="_Toc21548"/>
      <w:bookmarkStart w:id="184" w:name="_Toc12776"/>
      <w:bookmarkStart w:id="185" w:name="_Toc28963"/>
      <w:bookmarkStart w:id="186" w:name="_Toc31904"/>
      <w:bookmarkStart w:id="187" w:name="_Toc19630"/>
      <w:r>
        <w:rPr>
          <w:rFonts w:hint="eastAsia"/>
          <w:b w:val="0"/>
          <w:bCs w:val="0"/>
          <w:highlight w:val="none"/>
        </w:rPr>
        <w:t>二、效益分析</w:t>
      </w:r>
      <w:bookmarkEnd w:id="180"/>
      <w:bookmarkEnd w:id="181"/>
      <w:bookmarkEnd w:id="182"/>
      <w:bookmarkEnd w:id="183"/>
      <w:bookmarkEnd w:id="184"/>
      <w:bookmarkEnd w:id="185"/>
      <w:bookmarkEnd w:id="186"/>
      <w:bookmarkEnd w:id="187"/>
    </w:p>
    <w:p w14:paraId="32AFE045">
      <w:pPr>
        <w:pStyle w:val="9"/>
        <w:pageBreakBefore w:val="0"/>
        <w:kinsoku/>
        <w:wordWrap/>
        <w:overflowPunct/>
        <w:topLinePunct w:val="0"/>
        <w:autoSpaceDE/>
        <w:autoSpaceDN/>
        <w:bidi w:val="0"/>
        <w:spacing w:line="560" w:lineRule="exact"/>
        <w:ind w:left="0" w:leftChars="0" w:right="0" w:rightChars="0" w:firstLine="640"/>
        <w:rPr>
          <w:rFonts w:ascii="Times New Roman" w:hAnsi="Times New Roman" w:eastAsia="楷体_GB2312" w:cs="Times New Roman"/>
          <w:b/>
          <w:bCs w:val="0"/>
          <w:highlight w:val="none"/>
        </w:rPr>
      </w:pPr>
      <w:r>
        <w:rPr>
          <w:rFonts w:hint="eastAsia" w:ascii="Times New Roman" w:hAnsi="Times New Roman" w:eastAsia="楷体_GB2312" w:cs="Times New Roman"/>
          <w:b/>
          <w:bCs w:val="0"/>
          <w:highlight w:val="none"/>
        </w:rPr>
        <w:t>（一）</w:t>
      </w:r>
      <w:r>
        <w:rPr>
          <w:rFonts w:hint="eastAsia" w:ascii="Times New Roman" w:hAnsi="Times New Roman" w:eastAsia="楷体_GB2312" w:cs="Times New Roman"/>
          <w:b/>
          <w:bCs w:val="0"/>
          <w:highlight w:val="none"/>
          <w:lang w:eastAsia="zh-CN"/>
        </w:rPr>
        <w:t>生态</w:t>
      </w:r>
      <w:r>
        <w:rPr>
          <w:rFonts w:hint="eastAsia" w:ascii="Times New Roman" w:hAnsi="Times New Roman" w:eastAsia="楷体_GB2312" w:cs="Times New Roman"/>
          <w:b/>
          <w:bCs w:val="0"/>
          <w:highlight w:val="none"/>
        </w:rPr>
        <w:t>效益</w:t>
      </w:r>
    </w:p>
    <w:p w14:paraId="308729E9">
      <w:pPr>
        <w:pageBreakBefore w:val="0"/>
        <w:kinsoku/>
        <w:wordWrap/>
        <w:overflowPunct/>
        <w:topLinePunct w:val="0"/>
        <w:autoSpaceDE/>
        <w:autoSpaceDN/>
        <w:bidi w:val="0"/>
        <w:spacing w:line="560" w:lineRule="exact"/>
        <w:ind w:left="0" w:leftChars="0" w:right="0" w:rightChars="0" w:firstLine="640"/>
        <w:rPr>
          <w:rFonts w:eastAsia="仿宋_GB2312" w:cs="Times New Roman"/>
          <w:highlight w:val="none"/>
        </w:rPr>
      </w:pPr>
      <w:r>
        <w:rPr>
          <w:rFonts w:eastAsia="仿宋_GB2312" w:cs="Times New Roman"/>
          <w:highlight w:val="none"/>
        </w:rPr>
        <w:t>1.</w:t>
      </w:r>
      <w:r>
        <w:rPr>
          <w:rFonts w:hint="eastAsia" w:eastAsia="仿宋_GB2312" w:cs="Times New Roman"/>
          <w:highlight w:val="none"/>
        </w:rPr>
        <w:t>优化生态安全格局</w:t>
      </w:r>
    </w:p>
    <w:p w14:paraId="09E6EFE9">
      <w:pPr>
        <w:pageBreakBefore w:val="0"/>
        <w:kinsoku/>
        <w:wordWrap/>
        <w:overflowPunct/>
        <w:topLinePunct w:val="0"/>
        <w:autoSpaceDE/>
        <w:autoSpaceDN/>
        <w:bidi w:val="0"/>
        <w:spacing w:line="560" w:lineRule="exact"/>
        <w:ind w:left="0" w:leftChars="0" w:right="0" w:rightChars="0" w:firstLine="640"/>
        <w:rPr>
          <w:rFonts w:cs="Times New Roman"/>
          <w:highlight w:val="none"/>
        </w:rPr>
      </w:pPr>
      <w:r>
        <w:rPr>
          <w:rFonts w:hint="eastAsia" w:eastAsia="仿宋_GB2312" w:cs="Times New Roman"/>
          <w:highlight w:val="none"/>
        </w:rPr>
        <w:t>规划期间，通过实施国家生态公益林、封山育林等重点生态公益林保护工程，石漠化治理项目、主要河流</w:t>
      </w:r>
      <w:r>
        <w:rPr>
          <w:rFonts w:hint="eastAsia" w:eastAsia="仿宋_GB2312" w:cs="Times New Roman"/>
          <w:highlight w:val="none"/>
          <w:lang w:eastAsia="zh-CN"/>
        </w:rPr>
        <w:t>环保整治及</w:t>
      </w:r>
      <w:r>
        <w:rPr>
          <w:rFonts w:hint="eastAsia" w:eastAsia="仿宋_GB2312" w:cs="Times New Roman"/>
          <w:highlight w:val="none"/>
        </w:rPr>
        <w:t>两岸</w:t>
      </w:r>
      <w:r>
        <w:rPr>
          <w:rFonts w:hint="eastAsia" w:eastAsia="仿宋_GB2312" w:cs="Times New Roman"/>
          <w:highlight w:val="none"/>
          <w:lang w:eastAsia="zh-CN"/>
        </w:rPr>
        <w:t>生态绿化工程</w:t>
      </w:r>
      <w:r>
        <w:rPr>
          <w:rFonts w:hint="eastAsia" w:eastAsia="仿宋_GB2312" w:cs="Times New Roman"/>
          <w:highlight w:val="none"/>
        </w:rPr>
        <w:t>，以及矿山生态环境恢复与治理工程，森林覆盖率保持较高水平，石漠化及水土流失得到有效治理，岩溶地区和矿区退化的生态环境得到有效修复和重建，涵养水源和水土保持能力不断提高，生态屏障和生态功能不断增强。通过开展野生动植物保护工作，区域内的重点保护物种也将得到更好的保护</w:t>
      </w:r>
      <w:r>
        <w:rPr>
          <w:rFonts w:hint="eastAsia" w:eastAsia="仿宋_GB2312" w:cs="Times New Roman"/>
          <w:highlight w:val="none"/>
          <w:lang w:eastAsia="zh-CN"/>
        </w:rPr>
        <w:t>，改善区域生物多样性</w:t>
      </w:r>
      <w:r>
        <w:rPr>
          <w:rFonts w:hint="eastAsia" w:eastAsia="仿宋_GB2312" w:cs="Times New Roman"/>
          <w:highlight w:val="none"/>
        </w:rPr>
        <w:t>。</w:t>
      </w:r>
      <w:r>
        <w:rPr>
          <w:rFonts w:hint="eastAsia" w:eastAsia="仿宋_GB2312" w:cs="Times New Roman"/>
          <w:highlight w:val="none"/>
          <w:lang w:eastAsia="zh-CN"/>
        </w:rPr>
        <w:t>柳江区</w:t>
      </w:r>
      <w:r>
        <w:rPr>
          <w:rFonts w:hint="eastAsia" w:eastAsia="仿宋_GB2312" w:cs="Times New Roman"/>
          <w:highlight w:val="none"/>
        </w:rPr>
        <w:t>资源环境承载力进一步得到改善，提升</w:t>
      </w:r>
      <w:r>
        <w:rPr>
          <w:rFonts w:hint="eastAsia" w:eastAsia="仿宋_GB2312" w:cs="Times New Roman"/>
          <w:highlight w:val="none"/>
          <w:lang w:eastAsia="zh-CN"/>
        </w:rPr>
        <w:t>区域</w:t>
      </w:r>
      <w:r>
        <w:rPr>
          <w:rFonts w:hint="eastAsia" w:eastAsia="仿宋_GB2312" w:cs="Times New Roman"/>
          <w:highlight w:val="none"/>
        </w:rPr>
        <w:t>生态系统稳定性、多样性、持续性</w:t>
      </w:r>
      <w:r>
        <w:rPr>
          <w:rFonts w:eastAsia="仿宋_GB2312" w:cs="Times New Roman"/>
          <w:highlight w:val="none"/>
        </w:rPr>
        <w:t>。</w:t>
      </w:r>
    </w:p>
    <w:p w14:paraId="6FA00B7A">
      <w:pPr>
        <w:pageBreakBefore w:val="0"/>
        <w:kinsoku/>
        <w:wordWrap/>
        <w:overflowPunct/>
        <w:topLinePunct w:val="0"/>
        <w:autoSpaceDE/>
        <w:autoSpaceDN/>
        <w:bidi w:val="0"/>
        <w:spacing w:line="560" w:lineRule="exact"/>
        <w:ind w:left="0" w:leftChars="0" w:right="0" w:rightChars="0" w:firstLine="640"/>
        <w:rPr>
          <w:rFonts w:cs="Times New Roman"/>
          <w:b/>
          <w:bCs/>
          <w:highlight w:val="none"/>
        </w:rPr>
      </w:pPr>
      <w:r>
        <w:rPr>
          <w:rFonts w:eastAsia="仿宋_GB2312" w:cs="Times New Roman"/>
          <w:highlight w:val="none"/>
        </w:rPr>
        <w:t>2.</w:t>
      </w:r>
      <w:r>
        <w:rPr>
          <w:rFonts w:hint="eastAsia" w:eastAsia="仿宋_GB2312" w:cs="Times New Roman"/>
          <w:highlight w:val="none"/>
        </w:rPr>
        <w:t>提升生态环境质量</w:t>
      </w:r>
    </w:p>
    <w:p w14:paraId="72D508E8">
      <w:pPr>
        <w:pageBreakBefore w:val="0"/>
        <w:kinsoku/>
        <w:wordWrap/>
        <w:overflowPunct/>
        <w:topLinePunct w:val="0"/>
        <w:autoSpaceDE/>
        <w:autoSpaceDN/>
        <w:bidi w:val="0"/>
        <w:spacing w:line="560" w:lineRule="exact"/>
        <w:ind w:left="0" w:leftChars="0" w:right="0" w:rightChars="0" w:firstLine="640"/>
        <w:rPr>
          <w:rFonts w:cs="Times New Roman"/>
          <w:highlight w:val="none"/>
        </w:rPr>
      </w:pPr>
      <w:r>
        <w:rPr>
          <w:rFonts w:hint="eastAsia" w:eastAsia="仿宋_GB2312" w:cs="Times New Roman"/>
          <w:highlight w:val="none"/>
        </w:rPr>
        <w:t>通过</w:t>
      </w:r>
      <w:r>
        <w:rPr>
          <w:rFonts w:hint="eastAsia" w:eastAsia="仿宋_GB2312" w:cs="Times New Roman"/>
          <w:highlight w:val="none"/>
          <w:lang w:eastAsia="zh-CN"/>
        </w:rPr>
        <w:t>优化</w:t>
      </w:r>
      <w:r>
        <w:rPr>
          <w:rFonts w:hint="eastAsia" w:eastAsia="仿宋_GB2312" w:cs="Times New Roman"/>
          <w:highlight w:val="none"/>
        </w:rPr>
        <w:t>产业经济</w:t>
      </w:r>
      <w:r>
        <w:rPr>
          <w:rFonts w:hint="eastAsia" w:eastAsia="仿宋_GB2312" w:cs="Times New Roman"/>
          <w:highlight w:val="none"/>
          <w:lang w:eastAsia="zh-CN"/>
        </w:rPr>
        <w:t>结构和加强</w:t>
      </w:r>
      <w:r>
        <w:rPr>
          <w:rFonts w:hint="eastAsia" w:eastAsia="仿宋_GB2312" w:cs="Times New Roman"/>
          <w:highlight w:val="none"/>
        </w:rPr>
        <w:t>环境治理，实现天蓝、水清、安静、地绿、景美、宜居宜业的生态</w:t>
      </w:r>
      <w:r>
        <w:rPr>
          <w:rFonts w:hint="eastAsia" w:eastAsia="仿宋_GB2312" w:cs="Times New Roman"/>
          <w:highlight w:val="none"/>
          <w:lang w:eastAsia="zh-CN"/>
        </w:rPr>
        <w:t>柳江</w:t>
      </w:r>
      <w:r>
        <w:rPr>
          <w:rFonts w:hint="eastAsia" w:eastAsia="仿宋_GB2312" w:cs="Times New Roman"/>
          <w:highlight w:val="none"/>
        </w:rPr>
        <w:t>。改善能源消费结构，提高天然气、电力等清洁能源使用比例，提高产能效益，提高清洁燃料机动车的比例，提高油品质量，降低机动车尾气排放量，最大限度减少大气污染排放。固体废弃物全面得到安全处理处置，提升固体废弃物的资源化、减量化和无害化水平。持续推动生态环境进一步改善和提高，提升人居生活环境质量，促进人与自然和谐发展</w:t>
      </w:r>
      <w:r>
        <w:rPr>
          <w:rFonts w:eastAsia="仿宋_GB2312" w:cs="Times New Roman"/>
          <w:highlight w:val="none"/>
        </w:rPr>
        <w:t>。</w:t>
      </w:r>
    </w:p>
    <w:p w14:paraId="44253DBC">
      <w:pPr>
        <w:pageBreakBefore w:val="0"/>
        <w:kinsoku/>
        <w:wordWrap/>
        <w:overflowPunct/>
        <w:topLinePunct w:val="0"/>
        <w:autoSpaceDE/>
        <w:autoSpaceDN/>
        <w:bidi w:val="0"/>
        <w:spacing w:line="560" w:lineRule="exact"/>
        <w:ind w:left="0" w:leftChars="0" w:right="0" w:rightChars="0" w:firstLine="640"/>
        <w:rPr>
          <w:rFonts w:eastAsia="仿宋_GB2312" w:cs="Times New Roman"/>
          <w:highlight w:val="none"/>
        </w:rPr>
      </w:pPr>
      <w:r>
        <w:rPr>
          <w:rFonts w:eastAsia="仿宋_GB2312" w:cs="Times New Roman"/>
          <w:highlight w:val="none"/>
        </w:rPr>
        <w:t>3.</w:t>
      </w:r>
      <w:r>
        <w:rPr>
          <w:rFonts w:hint="eastAsia" w:eastAsia="仿宋_GB2312" w:cs="Times New Roman"/>
          <w:highlight w:val="none"/>
        </w:rPr>
        <w:t>形成绿色发展模式</w:t>
      </w:r>
    </w:p>
    <w:p w14:paraId="5026810D">
      <w:pPr>
        <w:pageBreakBefore w:val="0"/>
        <w:kinsoku/>
        <w:wordWrap/>
        <w:overflowPunct/>
        <w:topLinePunct w:val="0"/>
        <w:autoSpaceDE/>
        <w:autoSpaceDN/>
        <w:bidi w:val="0"/>
        <w:spacing w:line="560" w:lineRule="exact"/>
        <w:ind w:left="0" w:leftChars="0" w:right="0" w:rightChars="0" w:firstLine="640"/>
        <w:rPr>
          <w:rFonts w:eastAsia="仿宋_GB2312" w:cs="Times New Roman"/>
          <w:highlight w:val="none"/>
        </w:rPr>
      </w:pPr>
      <w:r>
        <w:rPr>
          <w:rFonts w:hint="eastAsia" w:eastAsia="仿宋_GB2312" w:cs="Times New Roman"/>
          <w:highlight w:val="none"/>
        </w:rPr>
        <w:t>推动产业结构优化升级，通过清洁能源、可再生能源、新能源替代化石能源，降低能源消耗总量和强度。采取清洁生产等技术提高能效，提高能源利用效率，减少碳排放。运用税收等财政金融政策加速技术改造进程，进一步优化资源配置，降低全社会减排成本。通过实施绿色生产、绿色消费、绿色生活、绿色文明四大绿色行动，进一步</w:t>
      </w:r>
      <w:r>
        <w:rPr>
          <w:rFonts w:hint="eastAsia" w:eastAsia="仿宋_GB2312" w:cs="Times New Roman"/>
          <w:highlight w:val="none"/>
          <w:lang w:eastAsia="zh-CN"/>
        </w:rPr>
        <w:t>增强</w:t>
      </w:r>
      <w:r>
        <w:rPr>
          <w:rFonts w:hint="eastAsia" w:eastAsia="仿宋_GB2312" w:cs="Times New Roman"/>
          <w:highlight w:val="none"/>
        </w:rPr>
        <w:t>绿色竞争力，</w:t>
      </w:r>
      <w:r>
        <w:rPr>
          <w:rFonts w:hint="eastAsia" w:eastAsia="仿宋_GB2312" w:cs="Times New Roman"/>
          <w:highlight w:val="none"/>
          <w:lang w:eastAsia="zh-CN"/>
        </w:rPr>
        <w:t>形成绿色发展模式</w:t>
      </w:r>
      <w:r>
        <w:rPr>
          <w:rFonts w:eastAsia="仿宋_GB2312" w:cs="Times New Roman"/>
          <w:highlight w:val="none"/>
        </w:rPr>
        <w:t>。</w:t>
      </w:r>
    </w:p>
    <w:p w14:paraId="62276603">
      <w:pPr>
        <w:pStyle w:val="9"/>
        <w:pageBreakBefore w:val="0"/>
        <w:kinsoku/>
        <w:wordWrap/>
        <w:overflowPunct/>
        <w:topLinePunct w:val="0"/>
        <w:autoSpaceDE/>
        <w:autoSpaceDN/>
        <w:bidi w:val="0"/>
        <w:spacing w:line="560" w:lineRule="exact"/>
        <w:ind w:left="0" w:leftChars="0" w:right="0" w:rightChars="0" w:firstLine="640"/>
        <w:rPr>
          <w:rFonts w:eastAsia="楷体_GB2312" w:cs="Times New Roman"/>
          <w:b/>
          <w:bCs w:val="0"/>
          <w:highlight w:val="none"/>
        </w:rPr>
      </w:pPr>
      <w:r>
        <w:rPr>
          <w:rFonts w:eastAsia="楷体_GB2312" w:cs="Times New Roman"/>
          <w:b/>
          <w:bCs w:val="0"/>
          <w:highlight w:val="none"/>
        </w:rPr>
        <w:t>（二）</w:t>
      </w:r>
      <w:r>
        <w:rPr>
          <w:rFonts w:hint="eastAsia" w:eastAsia="楷体_GB2312" w:cs="Times New Roman"/>
          <w:b/>
          <w:bCs w:val="0"/>
          <w:highlight w:val="none"/>
          <w:lang w:eastAsia="zh-CN"/>
        </w:rPr>
        <w:t>经济</w:t>
      </w:r>
      <w:r>
        <w:rPr>
          <w:rFonts w:eastAsia="楷体_GB2312" w:cs="Times New Roman"/>
          <w:b/>
          <w:bCs w:val="0"/>
          <w:highlight w:val="none"/>
        </w:rPr>
        <w:t>效益</w:t>
      </w:r>
    </w:p>
    <w:p w14:paraId="01EA187F">
      <w:pPr>
        <w:pageBreakBefore w:val="0"/>
        <w:kinsoku/>
        <w:wordWrap/>
        <w:overflowPunct/>
        <w:topLinePunct w:val="0"/>
        <w:autoSpaceDE/>
        <w:autoSpaceDN/>
        <w:bidi w:val="0"/>
        <w:spacing w:line="560" w:lineRule="exact"/>
        <w:ind w:left="0" w:leftChars="0" w:right="0" w:rightChars="0" w:firstLine="640"/>
        <w:rPr>
          <w:rFonts w:hint="eastAsia" w:eastAsia="仿宋_GB2312" w:cs="Times New Roman"/>
          <w:highlight w:val="none"/>
          <w:lang w:eastAsia="zh-CN"/>
        </w:rPr>
      </w:pPr>
      <w:r>
        <w:rPr>
          <w:rFonts w:eastAsia="仿宋_GB2312" w:cs="Times New Roman"/>
          <w:highlight w:val="none"/>
        </w:rPr>
        <w:t>1.</w:t>
      </w:r>
      <w:r>
        <w:rPr>
          <w:rFonts w:hint="eastAsia" w:eastAsia="仿宋_GB2312" w:cs="Times New Roman"/>
          <w:highlight w:val="none"/>
          <w:lang w:eastAsia="zh-CN"/>
        </w:rPr>
        <w:t>直接经济效益</w:t>
      </w:r>
    </w:p>
    <w:p w14:paraId="5305AF0D">
      <w:pPr>
        <w:pageBreakBefore w:val="0"/>
        <w:kinsoku/>
        <w:wordWrap/>
        <w:overflowPunct/>
        <w:topLinePunct w:val="0"/>
        <w:autoSpaceDE/>
        <w:autoSpaceDN/>
        <w:bidi w:val="0"/>
        <w:spacing w:line="560" w:lineRule="exact"/>
        <w:ind w:left="0" w:leftChars="0" w:right="0" w:rightChars="0" w:firstLine="640"/>
        <w:rPr>
          <w:rFonts w:eastAsia="仿宋_GB2312" w:cs="Times New Roman"/>
          <w:highlight w:val="none"/>
        </w:rPr>
      </w:pPr>
      <w:r>
        <w:rPr>
          <w:rFonts w:hint="eastAsia" w:eastAsia="仿宋_GB2312" w:cs="Times New Roman"/>
          <w:highlight w:val="none"/>
        </w:rPr>
        <w:t>规划的实施对区域内整体经济产生推动和促进。引导</w:t>
      </w:r>
      <w:r>
        <w:rPr>
          <w:rFonts w:hint="eastAsia" w:eastAsia="仿宋_GB2312" w:cs="Times New Roman"/>
          <w:highlight w:val="none"/>
          <w:lang w:eastAsia="zh-CN"/>
        </w:rPr>
        <w:t>柳江区</w:t>
      </w:r>
      <w:r>
        <w:rPr>
          <w:rFonts w:hint="eastAsia" w:eastAsia="仿宋_GB2312" w:cs="Times New Roman"/>
          <w:highlight w:val="none"/>
        </w:rPr>
        <w:t>走上保护第一、协调发展的轨道，实现环境保护与绿色发展一体化。良好的生态环境将增加城市魅力，从而拉动投资，激发经济活力。宜人的生态环境优化营商环境，推动各行业发展，在保护生态环境的前提下，合理利用生态景观资源，发展生态旅游，带动第三产业发展</w:t>
      </w:r>
      <w:r>
        <w:rPr>
          <w:rFonts w:eastAsia="仿宋_GB2312" w:cs="Times New Roman"/>
          <w:highlight w:val="none"/>
        </w:rPr>
        <w:t>。</w:t>
      </w:r>
    </w:p>
    <w:p w14:paraId="5AF347F9">
      <w:pPr>
        <w:pageBreakBefore w:val="0"/>
        <w:kinsoku/>
        <w:wordWrap/>
        <w:overflowPunct/>
        <w:topLinePunct w:val="0"/>
        <w:autoSpaceDE/>
        <w:autoSpaceDN/>
        <w:bidi w:val="0"/>
        <w:spacing w:line="560" w:lineRule="exact"/>
        <w:ind w:left="0" w:leftChars="0" w:right="0" w:rightChars="0" w:firstLine="640"/>
        <w:rPr>
          <w:rFonts w:eastAsia="仿宋_GB2312" w:cs="Times New Roman"/>
          <w:highlight w:val="none"/>
        </w:rPr>
      </w:pPr>
      <w:r>
        <w:rPr>
          <w:rFonts w:eastAsia="仿宋_GB2312" w:cs="Times New Roman"/>
          <w:highlight w:val="none"/>
        </w:rPr>
        <w:t>2.</w:t>
      </w:r>
      <w:r>
        <w:rPr>
          <w:rFonts w:hint="eastAsia" w:eastAsia="仿宋_GB2312" w:cs="Times New Roman"/>
          <w:highlight w:val="none"/>
          <w:lang w:eastAsia="zh-CN"/>
        </w:rPr>
        <w:t>间接经济效益</w:t>
      </w:r>
    </w:p>
    <w:p w14:paraId="2997162C">
      <w:pPr>
        <w:pageBreakBefore w:val="0"/>
        <w:kinsoku/>
        <w:wordWrap/>
        <w:overflowPunct/>
        <w:topLinePunct w:val="0"/>
        <w:autoSpaceDE/>
        <w:autoSpaceDN/>
        <w:bidi w:val="0"/>
        <w:spacing w:line="560" w:lineRule="exact"/>
        <w:ind w:left="0" w:leftChars="0" w:right="0" w:rightChars="0" w:firstLine="640"/>
        <w:rPr>
          <w:rFonts w:eastAsia="仿宋_GB2312" w:cs="Times New Roman"/>
          <w:highlight w:val="none"/>
        </w:rPr>
      </w:pPr>
      <w:r>
        <w:rPr>
          <w:rFonts w:hint="eastAsia" w:eastAsia="仿宋_GB2312" w:cs="Times New Roman"/>
          <w:highlight w:val="none"/>
        </w:rPr>
        <w:t>规划实施后，通过对生态系统和生物多样性的保护，进一步提升生态系统服务价值和生物多样性价值，丰富的动植物群落、珍贵的动植物种等，在自然科学教育和研究中都具有十分重要的作用</w:t>
      </w:r>
      <w:r>
        <w:rPr>
          <w:rFonts w:hint="eastAsia" w:eastAsia="仿宋_GB2312" w:cs="Times New Roman"/>
          <w:highlight w:val="none"/>
          <w:lang w:eastAsia="zh-CN"/>
        </w:rPr>
        <w:t>。此外，</w:t>
      </w:r>
      <w:r>
        <w:rPr>
          <w:rFonts w:hint="eastAsia" w:eastAsia="仿宋_GB2312" w:cs="Times New Roman"/>
          <w:highlight w:val="none"/>
        </w:rPr>
        <w:t>通过生态文明建设示范市创建，将大幅改善生态环境，提高环境质量，明显减少由于水土流失、石漠化、生态系统功能下降、环境污染事故等造成的经济损失</w:t>
      </w:r>
      <w:r>
        <w:rPr>
          <w:rFonts w:eastAsia="仿宋_GB2312" w:cs="Times New Roman"/>
          <w:highlight w:val="none"/>
        </w:rPr>
        <w:t>。</w:t>
      </w:r>
    </w:p>
    <w:p w14:paraId="2A6E6EF9">
      <w:pPr>
        <w:pStyle w:val="9"/>
        <w:pageBreakBefore w:val="0"/>
        <w:kinsoku/>
        <w:wordWrap/>
        <w:overflowPunct/>
        <w:topLinePunct w:val="0"/>
        <w:autoSpaceDE/>
        <w:autoSpaceDN/>
        <w:bidi w:val="0"/>
        <w:spacing w:line="560" w:lineRule="exact"/>
        <w:ind w:left="0" w:leftChars="0" w:right="0" w:rightChars="0" w:firstLine="640"/>
        <w:rPr>
          <w:rFonts w:eastAsia="楷体_GB2312" w:cs="Times New Roman"/>
          <w:b/>
          <w:bCs w:val="0"/>
          <w:highlight w:val="none"/>
        </w:rPr>
      </w:pPr>
      <w:r>
        <w:rPr>
          <w:rFonts w:eastAsia="楷体_GB2312" w:cs="Times New Roman"/>
          <w:b/>
          <w:bCs w:val="0"/>
          <w:highlight w:val="none"/>
        </w:rPr>
        <w:t>（三）社会效益</w:t>
      </w:r>
    </w:p>
    <w:p w14:paraId="004DFCA8">
      <w:pPr>
        <w:pageBreakBefore w:val="0"/>
        <w:kinsoku/>
        <w:wordWrap/>
        <w:overflowPunct/>
        <w:topLinePunct w:val="0"/>
        <w:autoSpaceDE/>
        <w:autoSpaceDN/>
        <w:bidi w:val="0"/>
        <w:spacing w:line="560" w:lineRule="exact"/>
        <w:ind w:left="0" w:leftChars="0" w:right="0" w:rightChars="0" w:firstLine="640"/>
        <w:rPr>
          <w:rFonts w:eastAsia="仿宋_GB2312" w:cs="Times New Roman"/>
          <w:highlight w:val="none"/>
        </w:rPr>
      </w:pPr>
      <w:r>
        <w:rPr>
          <w:rFonts w:eastAsia="仿宋_GB2312" w:cs="Times New Roman"/>
          <w:highlight w:val="none"/>
        </w:rPr>
        <w:t>1.</w:t>
      </w:r>
      <w:r>
        <w:rPr>
          <w:rFonts w:hint="eastAsia" w:eastAsia="仿宋_GB2312" w:cs="Times New Roman"/>
          <w:highlight w:val="none"/>
        </w:rPr>
        <w:t>改善居民生活品质</w:t>
      </w:r>
    </w:p>
    <w:p w14:paraId="28CAFE10">
      <w:pPr>
        <w:pageBreakBefore w:val="0"/>
        <w:kinsoku/>
        <w:wordWrap/>
        <w:overflowPunct/>
        <w:topLinePunct w:val="0"/>
        <w:autoSpaceDE/>
        <w:autoSpaceDN/>
        <w:bidi w:val="0"/>
        <w:spacing w:line="560" w:lineRule="exact"/>
        <w:ind w:left="0" w:leftChars="0" w:right="0" w:rightChars="0" w:firstLine="640"/>
        <w:rPr>
          <w:rFonts w:cs="Times New Roman"/>
          <w:highlight w:val="none"/>
        </w:rPr>
      </w:pPr>
      <w:r>
        <w:rPr>
          <w:rFonts w:eastAsia="仿宋_GB2312" w:cs="Times New Roman"/>
          <w:highlight w:val="none"/>
        </w:rPr>
        <w:t>通过生态文明建设示范</w:t>
      </w:r>
      <w:r>
        <w:rPr>
          <w:rFonts w:hint="eastAsia" w:eastAsia="仿宋_GB2312" w:cs="Times New Roman"/>
          <w:highlight w:val="none"/>
          <w:lang w:eastAsia="zh-CN"/>
        </w:rPr>
        <w:t>区</w:t>
      </w:r>
      <w:r>
        <w:rPr>
          <w:rFonts w:eastAsia="仿宋_GB2312" w:cs="Times New Roman"/>
          <w:highlight w:val="none"/>
        </w:rPr>
        <w:t>创建，</w:t>
      </w:r>
      <w:r>
        <w:rPr>
          <w:rFonts w:hint="eastAsia" w:eastAsia="仿宋_GB2312" w:cs="Times New Roman"/>
          <w:highlight w:val="none"/>
          <w:lang w:eastAsia="zh-CN"/>
        </w:rPr>
        <w:t>城乡</w:t>
      </w:r>
      <w:r>
        <w:rPr>
          <w:rFonts w:eastAsia="仿宋_GB2312" w:cs="Times New Roman"/>
          <w:highlight w:val="none"/>
        </w:rPr>
        <w:t>基础设施将更加完善，城乡环境面貌将进一步得到改善，人们居住的环境将更加舒适，人与自然的关系将更加和谐。随着交通、通讯、给排水、卫生等基础设施的不断完善以及城乡社会保障体系的日益完善，食品和饮用水安全得到有效保障，人民生活质量将得到显著提高。</w:t>
      </w:r>
    </w:p>
    <w:p w14:paraId="42892C3C">
      <w:pPr>
        <w:pageBreakBefore w:val="0"/>
        <w:kinsoku/>
        <w:wordWrap/>
        <w:overflowPunct/>
        <w:topLinePunct w:val="0"/>
        <w:autoSpaceDE/>
        <w:autoSpaceDN/>
        <w:bidi w:val="0"/>
        <w:spacing w:line="560" w:lineRule="exact"/>
        <w:ind w:left="0" w:leftChars="0" w:right="0" w:rightChars="0" w:firstLine="640"/>
        <w:rPr>
          <w:rFonts w:eastAsia="仿宋_GB2312" w:cs="Times New Roman"/>
          <w:highlight w:val="none"/>
        </w:rPr>
      </w:pPr>
      <w:r>
        <w:rPr>
          <w:rFonts w:eastAsia="仿宋_GB2312" w:cs="Times New Roman"/>
          <w:highlight w:val="none"/>
        </w:rPr>
        <w:t>2.</w:t>
      </w:r>
      <w:r>
        <w:rPr>
          <w:rFonts w:hint="eastAsia" w:eastAsia="仿宋_GB2312" w:cs="Times New Roman"/>
          <w:highlight w:val="none"/>
          <w:lang w:eastAsia="zh-CN"/>
        </w:rPr>
        <w:t>维护</w:t>
      </w:r>
      <w:r>
        <w:rPr>
          <w:rFonts w:eastAsia="仿宋_GB2312" w:cs="Times New Roman"/>
          <w:highlight w:val="none"/>
        </w:rPr>
        <w:t>社会稳定</w:t>
      </w:r>
    </w:p>
    <w:p w14:paraId="28396C69">
      <w:pPr>
        <w:pageBreakBefore w:val="0"/>
        <w:kinsoku/>
        <w:wordWrap/>
        <w:overflowPunct/>
        <w:topLinePunct w:val="0"/>
        <w:autoSpaceDE/>
        <w:autoSpaceDN/>
        <w:bidi w:val="0"/>
        <w:spacing w:line="560" w:lineRule="exact"/>
        <w:ind w:left="0" w:leftChars="0" w:right="0" w:rightChars="0" w:firstLine="640"/>
        <w:rPr>
          <w:rFonts w:eastAsia="仿宋_GB2312" w:cs="Times New Roman"/>
          <w:highlight w:val="none"/>
        </w:rPr>
      </w:pPr>
      <w:r>
        <w:rPr>
          <w:rFonts w:eastAsia="仿宋_GB2312" w:cs="Times New Roman"/>
          <w:highlight w:val="none"/>
        </w:rPr>
        <w:t>通过生态文明建设示范市</w:t>
      </w:r>
      <w:r>
        <w:rPr>
          <w:rFonts w:hint="eastAsia" w:eastAsia="仿宋_GB2312" w:cs="Times New Roman"/>
          <w:highlight w:val="none"/>
        </w:rPr>
        <w:t>创建</w:t>
      </w:r>
      <w:r>
        <w:rPr>
          <w:rFonts w:eastAsia="仿宋_GB2312" w:cs="Times New Roman"/>
          <w:highlight w:val="none"/>
        </w:rPr>
        <w:t>，城乡基础设施将更加完善，环境将更加优美，提升整个城市的品位和形象，投资环境的竞争力大大增强，给经济发展带来更强劲的推动力。</w:t>
      </w:r>
      <w:r>
        <w:rPr>
          <w:rFonts w:hint="eastAsia" w:eastAsia="仿宋_GB2312" w:cs="Times New Roman"/>
          <w:highlight w:val="none"/>
          <w:lang w:eastAsia="zh-CN"/>
        </w:rPr>
        <w:t>同时，生态</w:t>
      </w:r>
      <w:r>
        <w:rPr>
          <w:rFonts w:hint="eastAsia" w:eastAsia="仿宋_GB2312" w:cs="Times New Roman"/>
          <w:highlight w:val="none"/>
        </w:rPr>
        <w:t>环境改善将带动旅游行业发展，优化第三产业结构，多方位增加就业机会，增加群众收入，促进经济增长。规划实施后，</w:t>
      </w:r>
      <w:r>
        <w:rPr>
          <w:rFonts w:hint="eastAsia" w:eastAsia="仿宋_GB2312" w:cs="Times New Roman"/>
          <w:highlight w:val="none"/>
          <w:lang w:eastAsia="zh-CN"/>
        </w:rPr>
        <w:t>全区</w:t>
      </w:r>
      <w:r>
        <w:rPr>
          <w:rFonts w:hint="eastAsia" w:eastAsia="仿宋_GB2312" w:cs="Times New Roman"/>
          <w:highlight w:val="none"/>
        </w:rPr>
        <w:t>生态环境得到改善，人民的生活、生产条件改善，对维护社会稳定、构建和谐社会起到重要作用</w:t>
      </w:r>
      <w:r>
        <w:rPr>
          <w:rFonts w:eastAsia="仿宋_GB2312" w:cs="Times New Roman"/>
          <w:highlight w:val="none"/>
        </w:rPr>
        <w:t>。</w:t>
      </w:r>
    </w:p>
    <w:p w14:paraId="3B554C3A">
      <w:pPr>
        <w:pageBreakBefore w:val="0"/>
        <w:kinsoku/>
        <w:wordWrap/>
        <w:overflowPunct/>
        <w:topLinePunct w:val="0"/>
        <w:autoSpaceDE/>
        <w:autoSpaceDN/>
        <w:bidi w:val="0"/>
        <w:spacing w:line="560" w:lineRule="exact"/>
        <w:ind w:left="0" w:leftChars="0" w:right="0" w:rightChars="0" w:firstLine="640"/>
        <w:rPr>
          <w:rFonts w:eastAsia="仿宋_GB2312" w:cs="Times New Roman"/>
          <w:highlight w:val="none"/>
        </w:rPr>
      </w:pPr>
      <w:r>
        <w:rPr>
          <w:rFonts w:eastAsia="仿宋_GB2312" w:cs="Times New Roman"/>
          <w:highlight w:val="none"/>
        </w:rPr>
        <w:t>3.增强公众生态环保意识</w:t>
      </w:r>
    </w:p>
    <w:p w14:paraId="54FE93C1">
      <w:pPr>
        <w:pageBreakBefore w:val="0"/>
        <w:kinsoku/>
        <w:wordWrap/>
        <w:overflowPunct/>
        <w:topLinePunct w:val="0"/>
        <w:autoSpaceDE/>
        <w:autoSpaceDN/>
        <w:bidi w:val="0"/>
        <w:spacing w:line="560" w:lineRule="exact"/>
        <w:ind w:left="0" w:leftChars="0" w:right="0" w:rightChars="0" w:firstLine="640"/>
        <w:rPr>
          <w:rFonts w:eastAsia="仿宋_GB2312" w:cs="Times New Roman"/>
          <w:highlight w:val="none"/>
        </w:rPr>
      </w:pPr>
      <w:r>
        <w:rPr>
          <w:rFonts w:eastAsia="仿宋_GB2312" w:cs="Times New Roman"/>
          <w:highlight w:val="none"/>
        </w:rPr>
        <w:t>通过生态文化建设，有利于不断提高居民受教育人口比例和受教育程度，有利促进整个社会生态文明程度和提高人口素质，使普通百姓形成文明、健康、科学、环保的生产和生活方式，养成节约资源和保护环境的生活生产习惯，树立尊重自然、顺应自然和保护自然的生态价值观念，可产生较为明显的社会效益。</w:t>
      </w:r>
    </w:p>
    <w:p w14:paraId="32A5EE48">
      <w:pPr>
        <w:pageBreakBefore w:val="0"/>
        <w:kinsoku/>
        <w:wordWrap/>
        <w:overflowPunct/>
        <w:topLinePunct w:val="0"/>
        <w:autoSpaceDE/>
        <w:autoSpaceDN/>
        <w:bidi w:val="0"/>
        <w:spacing w:line="560" w:lineRule="exact"/>
        <w:ind w:left="0" w:leftChars="0" w:right="0" w:rightChars="0" w:firstLine="640"/>
        <w:rPr>
          <w:highlight w:val="yellow"/>
        </w:rPr>
      </w:pPr>
    </w:p>
    <w:p w14:paraId="38BB5A73">
      <w:pPr>
        <w:pageBreakBefore w:val="0"/>
        <w:kinsoku/>
        <w:wordWrap/>
        <w:overflowPunct/>
        <w:topLinePunct w:val="0"/>
        <w:autoSpaceDE/>
        <w:autoSpaceDN/>
        <w:bidi w:val="0"/>
        <w:spacing w:line="560" w:lineRule="exact"/>
        <w:ind w:left="0" w:leftChars="0" w:right="0" w:rightChars="0" w:firstLine="640"/>
        <w:rPr>
          <w:highlight w:val="yellow"/>
        </w:rPr>
        <w:sectPr>
          <w:pgSz w:w="11905" w:h="16838"/>
          <w:pgMar w:top="2098" w:right="1474" w:bottom="1984" w:left="1587" w:header="1417" w:footer="1304" w:gutter="0"/>
          <w:pgNumType w:fmt="decimal"/>
          <w:cols w:space="0" w:num="1"/>
          <w:rtlGutter w:val="0"/>
          <w:docGrid w:type="linesAndChars" w:linePitch="439" w:charSpace="1433"/>
        </w:sectPr>
      </w:pPr>
      <w:r>
        <w:rPr>
          <w:highlight w:val="yellow"/>
        </w:rPr>
        <w:br w:type="page"/>
      </w:r>
    </w:p>
    <w:p w14:paraId="10C5AC98">
      <w:pPr>
        <w:pStyle w:val="7"/>
        <w:pageBreakBefore w:val="0"/>
        <w:kinsoku/>
        <w:wordWrap/>
        <w:overflowPunct/>
        <w:topLinePunct w:val="0"/>
        <w:autoSpaceDE/>
        <w:autoSpaceDN/>
        <w:bidi w:val="0"/>
        <w:spacing w:line="560" w:lineRule="exact"/>
        <w:ind w:left="0" w:leftChars="0" w:right="0" w:rightChars="0" w:firstLine="0" w:firstLineChars="0"/>
        <w:jc w:val="center"/>
        <w:rPr>
          <w:rFonts w:hint="eastAsia" w:ascii="方正小标宋简体" w:hAnsi="方正小标宋简体" w:eastAsia="方正小标宋简体" w:cs="方正小标宋简体"/>
          <w:b w:val="0"/>
          <w:bCs w:val="0"/>
          <w:highlight w:val="none"/>
        </w:rPr>
      </w:pPr>
      <w:bookmarkStart w:id="188" w:name="_Toc10561"/>
      <w:bookmarkStart w:id="189" w:name="_Toc15922"/>
      <w:bookmarkStart w:id="190" w:name="_Toc9829"/>
      <w:bookmarkStart w:id="191" w:name="_Toc26022"/>
      <w:bookmarkStart w:id="192" w:name="_Toc7898"/>
      <w:bookmarkStart w:id="193" w:name="_Toc18805"/>
      <w:bookmarkStart w:id="194" w:name="_Toc19056"/>
      <w:bookmarkStart w:id="195" w:name="_Toc15705"/>
      <w:r>
        <w:rPr>
          <w:rFonts w:hint="eastAsia" w:ascii="方正小标宋简体" w:hAnsi="方正小标宋简体" w:eastAsia="方正小标宋简体" w:cs="方正小标宋简体"/>
          <w:b w:val="0"/>
          <w:bCs w:val="0"/>
          <w:highlight w:val="none"/>
        </w:rPr>
        <w:t>第</w:t>
      </w:r>
      <w:r>
        <w:rPr>
          <w:rFonts w:hint="eastAsia" w:ascii="方正小标宋简体" w:hAnsi="方正小标宋简体" w:eastAsia="方正小标宋简体" w:cs="方正小标宋简体"/>
          <w:b w:val="0"/>
          <w:bCs w:val="0"/>
          <w:highlight w:val="none"/>
          <w:lang w:eastAsia="zh-CN"/>
        </w:rPr>
        <w:t>五</w:t>
      </w:r>
      <w:r>
        <w:rPr>
          <w:rFonts w:hint="eastAsia" w:ascii="方正小标宋简体" w:hAnsi="方正小标宋简体" w:eastAsia="方正小标宋简体" w:cs="方正小标宋简体"/>
          <w:b w:val="0"/>
          <w:bCs w:val="0"/>
          <w:highlight w:val="none"/>
        </w:rPr>
        <w:t>章  保障措施</w:t>
      </w:r>
      <w:bookmarkEnd w:id="188"/>
      <w:bookmarkEnd w:id="189"/>
      <w:bookmarkEnd w:id="190"/>
      <w:bookmarkEnd w:id="191"/>
      <w:bookmarkEnd w:id="192"/>
      <w:bookmarkEnd w:id="193"/>
      <w:bookmarkEnd w:id="194"/>
      <w:bookmarkEnd w:id="195"/>
    </w:p>
    <w:p w14:paraId="255A7B97">
      <w:pPr>
        <w:pStyle w:val="8"/>
        <w:pageBreakBefore w:val="0"/>
        <w:kinsoku/>
        <w:wordWrap/>
        <w:overflowPunct/>
        <w:topLinePunct w:val="0"/>
        <w:autoSpaceDE/>
        <w:autoSpaceDN/>
        <w:bidi w:val="0"/>
        <w:spacing w:line="560" w:lineRule="exact"/>
        <w:ind w:left="0" w:leftChars="0" w:right="0" w:rightChars="0" w:firstLine="640"/>
        <w:rPr>
          <w:rFonts w:hint="eastAsia" w:ascii="Times New Roman" w:hAnsi="Times New Roman" w:eastAsia="黑体" w:cs="Times New Roman"/>
          <w:b w:val="0"/>
          <w:bCs w:val="0"/>
          <w:highlight w:val="none"/>
          <w:lang w:eastAsia="zh-CN"/>
        </w:rPr>
      </w:pPr>
      <w:bookmarkStart w:id="196" w:name="_Toc29226"/>
      <w:bookmarkStart w:id="197" w:name="_Toc20617"/>
      <w:bookmarkStart w:id="198" w:name="_Toc14456"/>
      <w:bookmarkStart w:id="199" w:name="_Toc2391"/>
      <w:bookmarkStart w:id="200" w:name="_Toc8922"/>
      <w:bookmarkStart w:id="201" w:name="_Toc491434495"/>
      <w:bookmarkStart w:id="202" w:name="_Toc25562"/>
      <w:bookmarkStart w:id="203" w:name="_Toc18886"/>
      <w:bookmarkStart w:id="204" w:name="_Toc491434553"/>
      <w:bookmarkStart w:id="205" w:name="_Toc5273"/>
      <w:r>
        <w:rPr>
          <w:rFonts w:ascii="Times New Roman" w:hAnsi="Times New Roman" w:cs="Times New Roman"/>
          <w:b w:val="0"/>
          <w:bCs w:val="0"/>
          <w:highlight w:val="none"/>
        </w:rPr>
        <w:t>一、</w:t>
      </w:r>
      <w:bookmarkEnd w:id="196"/>
      <w:bookmarkEnd w:id="197"/>
      <w:bookmarkEnd w:id="198"/>
      <w:bookmarkEnd w:id="199"/>
      <w:bookmarkEnd w:id="200"/>
      <w:bookmarkEnd w:id="201"/>
      <w:bookmarkEnd w:id="202"/>
      <w:bookmarkEnd w:id="203"/>
      <w:bookmarkEnd w:id="204"/>
      <w:r>
        <w:rPr>
          <w:rFonts w:hint="eastAsia" w:ascii="Times New Roman" w:hAnsi="Times New Roman" w:cs="Times New Roman"/>
          <w:b w:val="0"/>
          <w:bCs w:val="0"/>
          <w:highlight w:val="none"/>
          <w:lang w:eastAsia="zh-CN"/>
        </w:rPr>
        <w:t>组织领导</w:t>
      </w:r>
      <w:bookmarkEnd w:id="205"/>
    </w:p>
    <w:p w14:paraId="36577A46">
      <w:pPr>
        <w:pageBreakBefore w:val="0"/>
        <w:kinsoku/>
        <w:wordWrap/>
        <w:overflowPunct/>
        <w:topLinePunct w:val="0"/>
        <w:autoSpaceDE/>
        <w:autoSpaceDN/>
        <w:bidi w:val="0"/>
        <w:spacing w:line="560" w:lineRule="exact"/>
        <w:ind w:left="0" w:leftChars="0" w:right="0" w:rightChars="0" w:firstLine="640"/>
        <w:rPr>
          <w:rFonts w:hint="eastAsia" w:eastAsia="仿宋_GB2312" w:cs="Times New Roman"/>
          <w:highlight w:val="none"/>
        </w:rPr>
      </w:pPr>
      <w:r>
        <w:rPr>
          <w:rFonts w:hint="eastAsia" w:eastAsia="仿宋_GB2312" w:cs="Times New Roman"/>
          <w:highlight w:val="none"/>
        </w:rPr>
        <w:t>建立生态文明建设示范</w:t>
      </w:r>
      <w:r>
        <w:rPr>
          <w:rFonts w:hint="eastAsia" w:eastAsia="仿宋_GB2312" w:cs="Times New Roman"/>
          <w:highlight w:val="none"/>
          <w:lang w:eastAsia="zh-CN"/>
        </w:rPr>
        <w:t>区</w:t>
      </w:r>
      <w:r>
        <w:rPr>
          <w:rFonts w:hint="eastAsia" w:eastAsia="仿宋_GB2312" w:cs="Times New Roman"/>
          <w:highlight w:val="none"/>
        </w:rPr>
        <w:t>创建的组织领导管理体系，建立健全各项制度，使生态文明建设示范</w:t>
      </w:r>
      <w:r>
        <w:rPr>
          <w:rFonts w:hint="eastAsia" w:eastAsia="仿宋_GB2312" w:cs="Times New Roman"/>
          <w:highlight w:val="none"/>
          <w:lang w:eastAsia="zh-CN"/>
        </w:rPr>
        <w:t>区</w:t>
      </w:r>
      <w:r>
        <w:rPr>
          <w:rFonts w:hint="eastAsia" w:eastAsia="仿宋_GB2312" w:cs="Times New Roman"/>
          <w:highlight w:val="none"/>
        </w:rPr>
        <w:t>创建全面有序地展开，达到规划所预定目标，使创建工作制度化、规范化，以保障生态文明建设示范</w:t>
      </w:r>
      <w:r>
        <w:rPr>
          <w:rFonts w:hint="eastAsia" w:eastAsia="仿宋_GB2312" w:cs="Times New Roman"/>
          <w:highlight w:val="none"/>
          <w:lang w:eastAsia="zh-CN"/>
        </w:rPr>
        <w:t>区</w:t>
      </w:r>
      <w:r>
        <w:rPr>
          <w:rFonts w:hint="eastAsia" w:eastAsia="仿宋_GB2312" w:cs="Times New Roman"/>
          <w:highlight w:val="none"/>
        </w:rPr>
        <w:t>创建的顺利实施。生态文明建设示范</w:t>
      </w:r>
      <w:r>
        <w:rPr>
          <w:rFonts w:hint="eastAsia" w:eastAsia="仿宋_GB2312" w:cs="Times New Roman"/>
          <w:highlight w:val="none"/>
          <w:lang w:eastAsia="zh-CN"/>
        </w:rPr>
        <w:t>区</w:t>
      </w:r>
      <w:r>
        <w:rPr>
          <w:rFonts w:hint="eastAsia" w:eastAsia="仿宋_GB2312" w:cs="Times New Roman"/>
          <w:highlight w:val="none"/>
        </w:rPr>
        <w:t>的创建涉及多个部门，政府必须充分发挥协调作用，加强各单位之间的配合、联系和协调，形成分工明确、相互配合、良性互动的工作运行机制。</w:t>
      </w:r>
    </w:p>
    <w:p w14:paraId="60DE8379">
      <w:pPr>
        <w:pageBreakBefore w:val="0"/>
        <w:kinsoku/>
        <w:wordWrap/>
        <w:overflowPunct/>
        <w:topLinePunct w:val="0"/>
        <w:autoSpaceDE/>
        <w:autoSpaceDN/>
        <w:bidi w:val="0"/>
        <w:spacing w:line="560" w:lineRule="exact"/>
        <w:ind w:left="0" w:leftChars="0" w:right="0" w:rightChars="0" w:firstLine="640"/>
        <w:rPr>
          <w:rFonts w:hint="eastAsia" w:eastAsia="仿宋_GB2312" w:cs="Times New Roman"/>
          <w:highlight w:val="none"/>
        </w:rPr>
      </w:pPr>
      <w:r>
        <w:rPr>
          <w:rFonts w:hint="eastAsia" w:eastAsia="仿宋_GB2312" w:cs="Times New Roman"/>
          <w:highlight w:val="none"/>
        </w:rPr>
        <w:t>加强部门间的协商沟通，建立部门联席会议制度，定期召开会议协调解决生态文明示范区建设过程中的跨部门重大问题。加强生态文明建设示范县（区）规划与相关规划的协调衔接，实现生态文明建设示范区规划与国民经济和社会发展规划、城市总体规划、土地利用总体规划、城市环境总体规划的“多规融合”，推动规划目标任务的全面转化和落实。</w:t>
      </w:r>
    </w:p>
    <w:p w14:paraId="4B2A30DF">
      <w:pPr>
        <w:pageBreakBefore w:val="0"/>
        <w:kinsoku/>
        <w:wordWrap/>
        <w:overflowPunct/>
        <w:topLinePunct w:val="0"/>
        <w:autoSpaceDE/>
        <w:autoSpaceDN/>
        <w:bidi w:val="0"/>
        <w:spacing w:line="560" w:lineRule="exact"/>
        <w:ind w:left="0" w:leftChars="0" w:right="0" w:rightChars="0" w:firstLine="640"/>
        <w:rPr>
          <w:rFonts w:cs="Times New Roman"/>
          <w:highlight w:val="none"/>
        </w:rPr>
      </w:pPr>
      <w:r>
        <w:rPr>
          <w:rFonts w:hint="eastAsia" w:eastAsia="仿宋_GB2312" w:cs="Times New Roman"/>
          <w:highlight w:val="none"/>
        </w:rPr>
        <w:t>分解落实目标责任。制定生态文明示范区建设任务分解方案，将生态文明示范区建设的目标、任务及重点工程分解到各级政府与部门，细化落实责任。每年制定生态文明建设年度行动计划，细化目标，分解任务，并将任务列入责任单位绩效考核目标，推动生态文明建设取得实效。各级政府与部门要把生态文明示范区建设工作放在突出位置，切实履行职责，加强对规划的组织落实，建立主要领导亲自抓，分管领导具体抓，一级抓一级、层层抓落实的工作格局</w:t>
      </w:r>
      <w:r>
        <w:rPr>
          <w:rFonts w:eastAsia="仿宋_GB2312" w:cs="Times New Roman"/>
          <w:highlight w:val="none"/>
        </w:rPr>
        <w:t>。</w:t>
      </w:r>
    </w:p>
    <w:p w14:paraId="354C37C3">
      <w:pPr>
        <w:pStyle w:val="8"/>
        <w:pageBreakBefore w:val="0"/>
        <w:kinsoku/>
        <w:wordWrap/>
        <w:overflowPunct/>
        <w:topLinePunct w:val="0"/>
        <w:autoSpaceDE/>
        <w:autoSpaceDN/>
        <w:bidi w:val="0"/>
        <w:spacing w:line="560" w:lineRule="exact"/>
        <w:ind w:left="0" w:leftChars="0" w:right="0" w:rightChars="0" w:firstLine="640"/>
        <w:rPr>
          <w:rFonts w:ascii="Times New Roman" w:hAnsi="Times New Roman" w:cs="Times New Roman"/>
          <w:b w:val="0"/>
          <w:bCs w:val="0"/>
          <w:highlight w:val="none"/>
        </w:rPr>
      </w:pPr>
      <w:bookmarkStart w:id="206" w:name="_Toc877"/>
      <w:bookmarkStart w:id="207" w:name="_Toc15983"/>
      <w:bookmarkStart w:id="208" w:name="_Toc10301"/>
      <w:bookmarkStart w:id="209" w:name="_Toc6519"/>
      <w:bookmarkStart w:id="210" w:name="_Toc8347"/>
      <w:bookmarkStart w:id="211" w:name="_Toc28230"/>
      <w:bookmarkStart w:id="212" w:name="_Toc15271"/>
      <w:bookmarkStart w:id="213" w:name="_Toc12658"/>
      <w:bookmarkStart w:id="214" w:name="_Toc491434496"/>
      <w:bookmarkStart w:id="215" w:name="_Toc491434554"/>
      <w:r>
        <w:rPr>
          <w:rFonts w:ascii="Times New Roman" w:hAnsi="Times New Roman" w:cs="Times New Roman"/>
          <w:b w:val="0"/>
          <w:bCs w:val="0"/>
          <w:highlight w:val="none"/>
        </w:rPr>
        <w:t>二、</w:t>
      </w:r>
      <w:r>
        <w:rPr>
          <w:rFonts w:hint="eastAsia" w:ascii="Times New Roman" w:hAnsi="Times New Roman" w:cs="Times New Roman"/>
          <w:b w:val="0"/>
          <w:bCs w:val="0"/>
          <w:highlight w:val="none"/>
          <w:lang w:eastAsia="zh-CN"/>
        </w:rPr>
        <w:t>监督考核</w:t>
      </w:r>
      <w:bookmarkEnd w:id="206"/>
      <w:bookmarkEnd w:id="207"/>
      <w:bookmarkEnd w:id="208"/>
      <w:bookmarkEnd w:id="209"/>
      <w:bookmarkEnd w:id="210"/>
      <w:bookmarkEnd w:id="211"/>
      <w:bookmarkEnd w:id="212"/>
      <w:bookmarkEnd w:id="213"/>
      <w:bookmarkEnd w:id="214"/>
      <w:bookmarkEnd w:id="215"/>
    </w:p>
    <w:p w14:paraId="08A6CDD0">
      <w:pPr>
        <w:pageBreakBefore w:val="0"/>
        <w:kinsoku/>
        <w:wordWrap/>
        <w:overflowPunct/>
        <w:topLinePunct w:val="0"/>
        <w:autoSpaceDE/>
        <w:autoSpaceDN/>
        <w:bidi w:val="0"/>
        <w:spacing w:line="560" w:lineRule="exact"/>
        <w:ind w:left="0" w:leftChars="0" w:right="0" w:rightChars="0" w:firstLine="640"/>
        <w:rPr>
          <w:rFonts w:eastAsia="仿宋_GB2312" w:cs="Times New Roman"/>
          <w:highlight w:val="none"/>
        </w:rPr>
      </w:pPr>
      <w:r>
        <w:rPr>
          <w:rFonts w:hint="eastAsia" w:eastAsia="仿宋_GB2312" w:cs="Times New Roman"/>
          <w:highlight w:val="none"/>
        </w:rPr>
        <w:t>将生态文明建设工作纳入</w:t>
      </w:r>
      <w:r>
        <w:rPr>
          <w:rFonts w:hint="eastAsia" w:eastAsia="仿宋_GB2312" w:cs="Times New Roman"/>
          <w:highlight w:val="none"/>
          <w:lang w:eastAsia="zh-CN"/>
        </w:rPr>
        <w:t>柳江区</w:t>
      </w:r>
      <w:r>
        <w:rPr>
          <w:rFonts w:hint="eastAsia" w:eastAsia="仿宋_GB2312" w:cs="Times New Roman"/>
          <w:highlight w:val="none"/>
        </w:rPr>
        <w:t>发展绩效考核，围绕重要项目、重大工作、重点任务抓督查，抓推进。加强目标任务完成情况的调度、督查力度，督促各责任单位抓好工作任务落实。进一步强化生态文明建设考核结果运用，让督查考核在抓落实中发挥“标尺”和“指航灯”作用。要将生态文明建设考核结果作为评优评先的重要依据，对落实有力、成效显著的要给予表扬奖励，对工作不到位的要严格追责，用考核倒逼任务落实，激励广大党员干部敢干实干快干会干，助力各项工作落实</w:t>
      </w:r>
      <w:r>
        <w:rPr>
          <w:rFonts w:eastAsia="仿宋_GB2312" w:cs="Times New Roman"/>
          <w:highlight w:val="none"/>
        </w:rPr>
        <w:t>。</w:t>
      </w:r>
    </w:p>
    <w:p w14:paraId="08B98E8F">
      <w:pPr>
        <w:pStyle w:val="8"/>
        <w:pageBreakBefore w:val="0"/>
        <w:kinsoku/>
        <w:wordWrap/>
        <w:overflowPunct/>
        <w:topLinePunct w:val="0"/>
        <w:autoSpaceDE/>
        <w:autoSpaceDN/>
        <w:bidi w:val="0"/>
        <w:spacing w:line="560" w:lineRule="exact"/>
        <w:ind w:left="0" w:leftChars="0" w:right="0" w:rightChars="0" w:firstLine="640"/>
        <w:rPr>
          <w:rFonts w:ascii="Times New Roman" w:hAnsi="Times New Roman" w:cs="Times New Roman"/>
          <w:b w:val="0"/>
          <w:bCs w:val="0"/>
          <w:highlight w:val="none"/>
        </w:rPr>
      </w:pPr>
      <w:bookmarkStart w:id="216" w:name="_Toc491434497"/>
      <w:bookmarkStart w:id="217" w:name="_Toc23780"/>
      <w:bookmarkStart w:id="218" w:name="_Toc30297"/>
      <w:bookmarkStart w:id="219" w:name="_Toc27509"/>
      <w:bookmarkStart w:id="220" w:name="_Toc26496"/>
      <w:bookmarkStart w:id="221" w:name="_Toc491434555"/>
      <w:bookmarkStart w:id="222" w:name="_Toc4831"/>
      <w:bookmarkStart w:id="223" w:name="_Toc23421"/>
      <w:bookmarkStart w:id="224" w:name="_Toc32758"/>
      <w:bookmarkStart w:id="225" w:name="_Toc32451"/>
      <w:r>
        <w:rPr>
          <w:rFonts w:ascii="Times New Roman" w:hAnsi="Times New Roman" w:cs="Times New Roman"/>
          <w:b w:val="0"/>
          <w:bCs w:val="0"/>
          <w:highlight w:val="none"/>
        </w:rPr>
        <w:t>三、资金</w:t>
      </w:r>
      <w:r>
        <w:rPr>
          <w:rFonts w:hint="eastAsia" w:ascii="Times New Roman" w:hAnsi="Times New Roman" w:cs="Times New Roman"/>
          <w:b w:val="0"/>
          <w:bCs w:val="0"/>
          <w:highlight w:val="none"/>
          <w:lang w:eastAsia="zh-CN"/>
        </w:rPr>
        <w:t>统筹</w:t>
      </w:r>
      <w:bookmarkEnd w:id="216"/>
      <w:bookmarkEnd w:id="217"/>
      <w:bookmarkEnd w:id="218"/>
      <w:bookmarkEnd w:id="219"/>
      <w:bookmarkEnd w:id="220"/>
      <w:bookmarkEnd w:id="221"/>
      <w:bookmarkEnd w:id="222"/>
      <w:bookmarkEnd w:id="223"/>
      <w:bookmarkEnd w:id="224"/>
      <w:bookmarkEnd w:id="225"/>
    </w:p>
    <w:p w14:paraId="0E3D003E">
      <w:pPr>
        <w:pageBreakBefore w:val="0"/>
        <w:kinsoku/>
        <w:wordWrap/>
        <w:overflowPunct/>
        <w:topLinePunct w:val="0"/>
        <w:autoSpaceDE/>
        <w:autoSpaceDN/>
        <w:bidi w:val="0"/>
        <w:spacing w:line="560" w:lineRule="exact"/>
        <w:ind w:left="0" w:leftChars="0" w:right="0" w:rightChars="0" w:firstLine="640"/>
        <w:rPr>
          <w:rFonts w:hint="eastAsia" w:eastAsia="仿宋_GB2312" w:cs="Times New Roman"/>
          <w:highlight w:val="none"/>
        </w:rPr>
      </w:pPr>
      <w:r>
        <w:rPr>
          <w:rFonts w:hint="eastAsia" w:eastAsia="仿宋_GB2312" w:cs="Times New Roman"/>
          <w:highlight w:val="none"/>
        </w:rPr>
        <w:t>加大生态文明建设的投入，制定政府主导、企业与社会共担、投入与效益共享的资金筹措与融资的渠道，确保生态文明建设项目的实施。</w:t>
      </w:r>
    </w:p>
    <w:p w14:paraId="49986FAE">
      <w:pPr>
        <w:pageBreakBefore w:val="0"/>
        <w:kinsoku/>
        <w:wordWrap/>
        <w:overflowPunct/>
        <w:topLinePunct w:val="0"/>
        <w:autoSpaceDE/>
        <w:autoSpaceDN/>
        <w:bidi w:val="0"/>
        <w:spacing w:line="560" w:lineRule="exact"/>
        <w:ind w:left="0" w:leftChars="0" w:right="0" w:rightChars="0" w:firstLine="640"/>
        <w:rPr>
          <w:rFonts w:hint="eastAsia" w:eastAsia="仿宋_GB2312" w:cs="Times New Roman"/>
          <w:highlight w:val="none"/>
          <w:lang w:eastAsia="zh-CN"/>
        </w:rPr>
      </w:pPr>
      <w:r>
        <w:rPr>
          <w:rFonts w:hint="eastAsia" w:eastAsia="仿宋_GB2312" w:cs="Times New Roman"/>
          <w:highlight w:val="none"/>
        </w:rPr>
        <w:t>把生态文明建设作为公共财政支出的重要内容，统筹整合利用中央、自治区财政安排的补助资金，优先用于重要生态功能区保护、突出环境问题治理等生态文明建设内容。争取并落实国家、自治区和柳州市有关环境保护的各项税收优惠政策和专项资金，对柳</w:t>
      </w:r>
      <w:r>
        <w:rPr>
          <w:rFonts w:hint="eastAsia" w:eastAsia="仿宋_GB2312" w:cs="Times New Roman"/>
          <w:highlight w:val="none"/>
          <w:lang w:eastAsia="zh-CN"/>
        </w:rPr>
        <w:t>江区</w:t>
      </w:r>
      <w:r>
        <w:rPr>
          <w:rFonts w:hint="eastAsia" w:eastAsia="仿宋_GB2312" w:cs="Times New Roman"/>
          <w:highlight w:val="none"/>
        </w:rPr>
        <w:t>节能减排、循环经济、清洁生产、新能源和可再生能源开发利用、生态系统修复、水利建设、文化遗产保护、美丽乡村、能力建设等方面给予政策和资金扶持</w:t>
      </w:r>
      <w:r>
        <w:rPr>
          <w:rFonts w:hint="eastAsia" w:eastAsia="仿宋_GB2312" w:cs="Times New Roman"/>
          <w:highlight w:val="none"/>
          <w:lang w:eastAsia="zh-CN"/>
        </w:rPr>
        <w:t>。</w:t>
      </w:r>
    </w:p>
    <w:p w14:paraId="125CC369">
      <w:pPr>
        <w:pageBreakBefore w:val="0"/>
        <w:kinsoku/>
        <w:wordWrap/>
        <w:overflowPunct/>
        <w:topLinePunct w:val="0"/>
        <w:autoSpaceDE/>
        <w:autoSpaceDN/>
        <w:bidi w:val="0"/>
        <w:spacing w:line="560" w:lineRule="exact"/>
        <w:ind w:left="0" w:leftChars="0" w:right="0" w:rightChars="0" w:firstLine="640"/>
        <w:rPr>
          <w:rFonts w:hint="eastAsia" w:eastAsia="仿宋_GB2312" w:cs="Times New Roman"/>
          <w:highlight w:val="none"/>
        </w:rPr>
      </w:pPr>
      <w:r>
        <w:rPr>
          <w:rFonts w:hint="eastAsia" w:eastAsia="仿宋_GB2312" w:cs="Times New Roman"/>
          <w:highlight w:val="none"/>
        </w:rPr>
        <w:t>加大生态文明建设财政投入力度。生态文明建设重点项目，应优先纳入国民经济和社会发展计划，统筹安排，认真组织实施。生态文明建设公益性部分建设经费应列入财政预算，确保生态文明建设工作正常开展。进一步完善环境设施使用和服务收费制度，依法征收城镇污水、垃圾、废物等收集和处置费，实行统一收集、专项使用。财政每年安排一定的资金，用于发展生态产业、旅游产业、生态环境等重点示范项目。</w:t>
      </w:r>
    </w:p>
    <w:p w14:paraId="3002F44B">
      <w:pPr>
        <w:pageBreakBefore w:val="0"/>
        <w:kinsoku/>
        <w:wordWrap/>
        <w:overflowPunct/>
        <w:topLinePunct w:val="0"/>
        <w:autoSpaceDE/>
        <w:autoSpaceDN/>
        <w:bidi w:val="0"/>
        <w:spacing w:line="560" w:lineRule="exact"/>
        <w:ind w:left="0" w:leftChars="0" w:right="0" w:rightChars="0" w:firstLine="640"/>
        <w:rPr>
          <w:rFonts w:cs="Times New Roman"/>
          <w:highlight w:val="none"/>
        </w:rPr>
      </w:pPr>
      <w:r>
        <w:rPr>
          <w:rFonts w:hint="eastAsia" w:eastAsia="仿宋_GB2312" w:cs="Times New Roman"/>
          <w:highlight w:val="none"/>
        </w:rPr>
        <w:t>充分调动全社会积极性，按照“政府引导、社会参与、市场运作”的要求，鼓励不同经济成份和各类投资主体，以多种形式参与生态文明工程建设。推进垃圾、污水集中处理和环保设施的市场化运作，积极引进、鼓励和支持有利于生态文明建设的项目，采取更灵活的政策，充分发挥市场机制在生态资源配置中的作用</w:t>
      </w:r>
      <w:r>
        <w:rPr>
          <w:rFonts w:eastAsia="仿宋_GB2312" w:cs="Times New Roman"/>
          <w:highlight w:val="none"/>
        </w:rPr>
        <w:t>。</w:t>
      </w:r>
    </w:p>
    <w:p w14:paraId="04CA9AC1">
      <w:pPr>
        <w:pStyle w:val="8"/>
        <w:pageBreakBefore w:val="0"/>
        <w:kinsoku/>
        <w:wordWrap/>
        <w:overflowPunct/>
        <w:topLinePunct w:val="0"/>
        <w:autoSpaceDE/>
        <w:autoSpaceDN/>
        <w:bidi w:val="0"/>
        <w:spacing w:line="560" w:lineRule="exact"/>
        <w:ind w:left="0" w:leftChars="0" w:right="0" w:rightChars="0" w:firstLine="640"/>
        <w:rPr>
          <w:rFonts w:ascii="Times New Roman" w:hAnsi="Times New Roman" w:cs="Times New Roman"/>
          <w:b w:val="0"/>
          <w:bCs w:val="0"/>
          <w:highlight w:val="none"/>
        </w:rPr>
      </w:pPr>
      <w:bookmarkStart w:id="226" w:name="_Toc26702"/>
      <w:bookmarkStart w:id="227" w:name="_Toc22830"/>
      <w:bookmarkStart w:id="228" w:name="_Toc10659"/>
      <w:bookmarkStart w:id="229" w:name="_Toc4500"/>
      <w:bookmarkStart w:id="230" w:name="_Toc491434556"/>
      <w:bookmarkStart w:id="231" w:name="_Toc491434498"/>
      <w:bookmarkStart w:id="232" w:name="_Toc10000"/>
      <w:bookmarkStart w:id="233" w:name="_Toc27311"/>
      <w:bookmarkStart w:id="234" w:name="_Toc9182"/>
      <w:bookmarkStart w:id="235" w:name="_Toc15455"/>
      <w:r>
        <w:rPr>
          <w:rFonts w:ascii="Times New Roman" w:hAnsi="Times New Roman" w:cs="Times New Roman"/>
          <w:b w:val="0"/>
          <w:bCs w:val="0"/>
          <w:highlight w:val="none"/>
        </w:rPr>
        <w:t>四、</w:t>
      </w:r>
      <w:r>
        <w:rPr>
          <w:rFonts w:hint="eastAsia" w:ascii="Times New Roman" w:hAnsi="Times New Roman" w:cs="Times New Roman"/>
          <w:b w:val="0"/>
          <w:bCs w:val="0"/>
          <w:highlight w:val="none"/>
          <w:lang w:eastAsia="zh-CN"/>
        </w:rPr>
        <w:t>科技创新</w:t>
      </w:r>
      <w:bookmarkEnd w:id="226"/>
      <w:bookmarkEnd w:id="227"/>
      <w:bookmarkEnd w:id="228"/>
      <w:bookmarkEnd w:id="229"/>
      <w:bookmarkEnd w:id="230"/>
      <w:bookmarkEnd w:id="231"/>
      <w:bookmarkEnd w:id="232"/>
      <w:bookmarkEnd w:id="233"/>
      <w:bookmarkEnd w:id="234"/>
      <w:bookmarkEnd w:id="235"/>
    </w:p>
    <w:p w14:paraId="38A30C5A">
      <w:pPr>
        <w:pStyle w:val="9"/>
        <w:pageBreakBefore w:val="0"/>
        <w:kinsoku/>
        <w:wordWrap/>
        <w:overflowPunct/>
        <w:topLinePunct w:val="0"/>
        <w:autoSpaceDE/>
        <w:autoSpaceDN/>
        <w:bidi w:val="0"/>
        <w:spacing w:line="560" w:lineRule="exact"/>
        <w:ind w:left="0" w:leftChars="0" w:right="0" w:rightChars="0" w:firstLine="640"/>
        <w:rPr>
          <w:rFonts w:eastAsia="楷体_GB2312" w:cs="Times New Roman"/>
          <w:b/>
          <w:bCs w:val="0"/>
          <w:highlight w:val="none"/>
        </w:rPr>
      </w:pPr>
      <w:r>
        <w:rPr>
          <w:rFonts w:eastAsia="楷体_GB2312" w:cs="Times New Roman"/>
          <w:b/>
          <w:bCs w:val="0"/>
          <w:highlight w:val="none"/>
        </w:rPr>
        <w:t>（一）</w:t>
      </w:r>
      <w:r>
        <w:rPr>
          <w:rFonts w:hint="eastAsia" w:eastAsia="楷体_GB2312" w:cs="Times New Roman"/>
          <w:b/>
          <w:bCs w:val="0"/>
          <w:highlight w:val="none"/>
          <w:lang w:eastAsia="zh-CN"/>
        </w:rPr>
        <w:t>建立科技支撑保障体系</w:t>
      </w:r>
    </w:p>
    <w:p w14:paraId="66D84FB4">
      <w:pPr>
        <w:pageBreakBefore w:val="0"/>
        <w:kinsoku/>
        <w:wordWrap/>
        <w:overflowPunct/>
        <w:topLinePunct w:val="0"/>
        <w:autoSpaceDE/>
        <w:autoSpaceDN/>
        <w:bidi w:val="0"/>
        <w:spacing w:line="560" w:lineRule="exact"/>
        <w:ind w:left="0" w:leftChars="0" w:right="0" w:rightChars="0" w:firstLine="640"/>
        <w:rPr>
          <w:rFonts w:eastAsia="仿宋_GB2312" w:cs="Times New Roman"/>
          <w:highlight w:val="none"/>
        </w:rPr>
      </w:pPr>
      <w:r>
        <w:rPr>
          <w:rFonts w:hint="eastAsia" w:eastAsia="仿宋_GB2312" w:cs="Times New Roman"/>
          <w:highlight w:val="none"/>
        </w:rPr>
        <w:t>着力培养一批懂生态保护、懂经营、善管理的中青年科技骨干，同时积极引进高技术人才，形成一支强大的生态环境建设，科技生力军，积极探索和推广生态环境保护和建设的科学研究成果，建立起为生态文明示范区建设服务的科技支撑体系</w:t>
      </w:r>
      <w:r>
        <w:rPr>
          <w:rFonts w:eastAsia="仿宋_GB2312" w:cs="Times New Roman"/>
          <w:highlight w:val="none"/>
        </w:rPr>
        <w:t>。</w:t>
      </w:r>
    </w:p>
    <w:p w14:paraId="0C770F97">
      <w:pPr>
        <w:pStyle w:val="9"/>
        <w:pageBreakBefore w:val="0"/>
        <w:kinsoku/>
        <w:wordWrap/>
        <w:overflowPunct/>
        <w:topLinePunct w:val="0"/>
        <w:autoSpaceDE/>
        <w:autoSpaceDN/>
        <w:bidi w:val="0"/>
        <w:spacing w:line="560" w:lineRule="exact"/>
        <w:ind w:left="0" w:leftChars="0" w:right="0" w:rightChars="0" w:firstLine="640"/>
        <w:rPr>
          <w:rFonts w:eastAsia="楷体_GB2312" w:cs="Times New Roman"/>
          <w:b/>
          <w:bCs w:val="0"/>
          <w:highlight w:val="none"/>
        </w:rPr>
      </w:pPr>
      <w:r>
        <w:rPr>
          <w:rFonts w:eastAsia="楷体_GB2312" w:cs="Times New Roman"/>
          <w:b/>
          <w:bCs w:val="0"/>
          <w:highlight w:val="none"/>
        </w:rPr>
        <w:t>（二）</w:t>
      </w:r>
      <w:r>
        <w:rPr>
          <w:rFonts w:hint="eastAsia" w:eastAsia="楷体_GB2312" w:cs="Times New Roman"/>
          <w:b/>
          <w:bCs w:val="0"/>
          <w:highlight w:val="none"/>
          <w:lang w:eastAsia="zh-CN"/>
        </w:rPr>
        <w:t>加强科研和技术开发应用</w:t>
      </w:r>
    </w:p>
    <w:p w14:paraId="226DCA71">
      <w:pPr>
        <w:pageBreakBefore w:val="0"/>
        <w:kinsoku/>
        <w:wordWrap/>
        <w:overflowPunct/>
        <w:topLinePunct w:val="0"/>
        <w:autoSpaceDE/>
        <w:autoSpaceDN/>
        <w:bidi w:val="0"/>
        <w:spacing w:line="560" w:lineRule="exact"/>
        <w:ind w:left="0" w:leftChars="0" w:right="0" w:rightChars="0" w:firstLine="640"/>
        <w:rPr>
          <w:rFonts w:cs="Times New Roman"/>
          <w:highlight w:val="none"/>
        </w:rPr>
      </w:pPr>
      <w:r>
        <w:rPr>
          <w:rFonts w:hint="eastAsia" w:eastAsia="仿宋_GB2312" w:cs="Times New Roman"/>
          <w:highlight w:val="none"/>
        </w:rPr>
        <w:t>积极发展和培育科技市场，健全技术市场功能，扩大科技使用交流渠道，促进生态文明建设示范区创建。加强生态文明建设示范区创建的科学研究，鼓励科技创新，加强农村、农业生态环境保护、生态恢复、生态工业、生物多样性保护和水土保护等重点领域的技术开发和推广工作，在引进外地科技成果的同时，积极开展技术开发和应用</w:t>
      </w:r>
      <w:r>
        <w:rPr>
          <w:rFonts w:hint="eastAsia" w:eastAsia="仿宋_GB2312" w:cs="Times New Roman"/>
          <w:highlight w:val="none"/>
          <w:lang w:eastAsia="zh-CN"/>
        </w:rPr>
        <w:t>，</w:t>
      </w:r>
      <w:r>
        <w:rPr>
          <w:rFonts w:hint="eastAsia" w:eastAsia="仿宋_GB2312" w:cs="Times New Roman"/>
          <w:highlight w:val="none"/>
        </w:rPr>
        <w:t>提高各个领域的科技含量和水平</w:t>
      </w:r>
      <w:r>
        <w:rPr>
          <w:rFonts w:eastAsia="仿宋_GB2312" w:cs="Times New Roman"/>
          <w:highlight w:val="none"/>
        </w:rPr>
        <w:t>。</w:t>
      </w:r>
    </w:p>
    <w:p w14:paraId="5273BF6A">
      <w:pPr>
        <w:pStyle w:val="9"/>
        <w:pageBreakBefore w:val="0"/>
        <w:kinsoku/>
        <w:wordWrap/>
        <w:overflowPunct/>
        <w:topLinePunct w:val="0"/>
        <w:autoSpaceDE/>
        <w:autoSpaceDN/>
        <w:bidi w:val="0"/>
        <w:spacing w:line="560" w:lineRule="exact"/>
        <w:ind w:left="0" w:leftChars="0" w:right="0" w:rightChars="0" w:firstLine="640"/>
        <w:rPr>
          <w:rFonts w:eastAsia="楷体_GB2312" w:cs="Times New Roman"/>
          <w:b/>
          <w:bCs w:val="0"/>
          <w:highlight w:val="none"/>
        </w:rPr>
      </w:pPr>
      <w:r>
        <w:rPr>
          <w:rFonts w:eastAsia="楷体_GB2312" w:cs="Times New Roman"/>
          <w:b/>
          <w:bCs w:val="0"/>
          <w:highlight w:val="none"/>
        </w:rPr>
        <w:t>（三）增强科技服务能力</w:t>
      </w:r>
    </w:p>
    <w:p w14:paraId="484AD0F8">
      <w:pPr>
        <w:pageBreakBefore w:val="0"/>
        <w:kinsoku/>
        <w:wordWrap/>
        <w:overflowPunct/>
        <w:topLinePunct w:val="0"/>
        <w:autoSpaceDE/>
        <w:autoSpaceDN/>
        <w:bidi w:val="0"/>
        <w:spacing w:line="560" w:lineRule="exact"/>
        <w:ind w:left="0" w:leftChars="0" w:right="0" w:rightChars="0" w:firstLine="640"/>
        <w:rPr>
          <w:rFonts w:hint="eastAsia" w:eastAsia="仿宋_GB2312" w:cs="Times New Roman"/>
          <w:highlight w:val="none"/>
        </w:rPr>
      </w:pPr>
      <w:r>
        <w:rPr>
          <w:rFonts w:hint="eastAsia" w:eastAsia="仿宋_GB2312" w:cs="Times New Roman"/>
          <w:highlight w:val="none"/>
        </w:rPr>
        <w:t>以生态文明建设工作为契机，抓紧培养专业化人才，分期培训党政机关人员、企业负责人、管理人员和工程技术人员，学习新理念、新方法和新技术，提高业务素质。</w:t>
      </w:r>
      <w:r>
        <w:rPr>
          <w:rFonts w:hint="eastAsia" w:eastAsia="仿宋_GB2312" w:cs="Times New Roman"/>
          <w:highlight w:val="none"/>
          <w:lang w:eastAsia="zh-CN"/>
        </w:rPr>
        <w:t>同时</w:t>
      </w:r>
      <w:r>
        <w:rPr>
          <w:rFonts w:hint="eastAsia" w:eastAsia="仿宋_GB2312" w:cs="Times New Roman"/>
          <w:highlight w:val="none"/>
        </w:rPr>
        <w:t>加大科技投入，保障科技投入的逐年只增不减，向生态文明建设示范</w:t>
      </w:r>
      <w:r>
        <w:rPr>
          <w:rFonts w:hint="eastAsia" w:eastAsia="仿宋_GB2312" w:cs="Times New Roman"/>
          <w:highlight w:val="none"/>
          <w:lang w:eastAsia="zh-CN"/>
        </w:rPr>
        <w:t>区</w:t>
      </w:r>
      <w:r>
        <w:rPr>
          <w:rFonts w:hint="eastAsia" w:eastAsia="仿宋_GB2312" w:cs="Times New Roman"/>
          <w:highlight w:val="none"/>
        </w:rPr>
        <w:t>创建的科学研究项目进行倾斜。要加强科技推广和咨询活动，加快科技体制改革，增强科技服务能力。引导农民依靠科技种田、造林、发展经济，保护生态环境。</w:t>
      </w:r>
    </w:p>
    <w:p w14:paraId="52ACF4B3">
      <w:pPr>
        <w:pageBreakBefore w:val="0"/>
        <w:kinsoku/>
        <w:wordWrap/>
        <w:overflowPunct/>
        <w:topLinePunct w:val="0"/>
        <w:autoSpaceDE/>
        <w:autoSpaceDN/>
        <w:bidi w:val="0"/>
        <w:spacing w:line="560" w:lineRule="exact"/>
        <w:ind w:left="0" w:leftChars="0" w:right="0" w:rightChars="0" w:firstLine="640"/>
        <w:rPr>
          <w:rFonts w:eastAsia="仿宋_GB2312" w:cs="Times New Roman"/>
          <w:highlight w:val="none"/>
        </w:rPr>
      </w:pPr>
      <w:r>
        <w:rPr>
          <w:rFonts w:hint="eastAsia" w:eastAsia="仿宋_GB2312" w:cs="Times New Roman"/>
          <w:highlight w:val="none"/>
        </w:rPr>
        <w:t>积极与</w:t>
      </w:r>
      <w:r>
        <w:rPr>
          <w:rFonts w:hint="eastAsia" w:eastAsia="仿宋_GB2312" w:cs="Times New Roman"/>
          <w:highlight w:val="none"/>
          <w:lang w:eastAsia="zh-CN"/>
        </w:rPr>
        <w:t>市级</w:t>
      </w:r>
      <w:r>
        <w:rPr>
          <w:rFonts w:hint="eastAsia" w:eastAsia="仿宋_GB2312" w:cs="Times New Roman"/>
          <w:highlight w:val="none"/>
        </w:rPr>
        <w:t>科研院所、大专院校开展形式多样化的技术合作，形成良好的产学研联合机制，对涉及生态建设和环境保护的优先领域和关键技术进行重点研究，</w:t>
      </w:r>
      <w:r>
        <w:rPr>
          <w:rFonts w:eastAsia="仿宋_GB2312" w:cs="Times New Roman"/>
          <w:highlight w:val="none"/>
        </w:rPr>
        <w:t>引进开发清洁生产、环境保护、资源综合利用、废弃物资源化、生态产业等方面的新技术、新工艺、新产品。</w:t>
      </w:r>
      <w:r>
        <w:rPr>
          <w:rFonts w:hint="eastAsia" w:eastAsia="仿宋_GB2312" w:cs="Times New Roman"/>
          <w:highlight w:val="none"/>
        </w:rPr>
        <w:t>组织实施全</w:t>
      </w:r>
      <w:r>
        <w:rPr>
          <w:rFonts w:hint="eastAsia" w:eastAsia="仿宋_GB2312" w:cs="Times New Roman"/>
          <w:highlight w:val="none"/>
          <w:lang w:eastAsia="zh-CN"/>
        </w:rPr>
        <w:t>区</w:t>
      </w:r>
      <w:r>
        <w:rPr>
          <w:rFonts w:hint="eastAsia" w:eastAsia="仿宋_GB2312" w:cs="Times New Roman"/>
          <w:highlight w:val="none"/>
        </w:rPr>
        <w:t>可持续发展的重大科技和工程项目，构建生态文明的科技支撑体系，建立专家智囊团，指导生态文明建设的全过程</w:t>
      </w:r>
      <w:r>
        <w:rPr>
          <w:rFonts w:eastAsia="仿宋_GB2312" w:cs="Times New Roman"/>
          <w:highlight w:val="none"/>
        </w:rPr>
        <w:t>。</w:t>
      </w:r>
    </w:p>
    <w:p w14:paraId="19D4A4EF">
      <w:pPr>
        <w:pStyle w:val="8"/>
        <w:pageBreakBefore w:val="0"/>
        <w:kinsoku/>
        <w:wordWrap/>
        <w:overflowPunct/>
        <w:topLinePunct w:val="0"/>
        <w:autoSpaceDE/>
        <w:autoSpaceDN/>
        <w:bidi w:val="0"/>
        <w:spacing w:line="560" w:lineRule="exact"/>
        <w:ind w:left="0" w:leftChars="0" w:right="0" w:rightChars="0" w:firstLine="640"/>
        <w:rPr>
          <w:rFonts w:ascii="Times New Roman" w:hAnsi="Times New Roman" w:cs="Times New Roman"/>
          <w:b w:val="0"/>
          <w:bCs w:val="0"/>
          <w:highlight w:val="none"/>
        </w:rPr>
      </w:pPr>
      <w:bookmarkStart w:id="236" w:name="_Toc32747"/>
      <w:bookmarkStart w:id="237" w:name="_Toc4730"/>
      <w:bookmarkStart w:id="238" w:name="_Toc491434557"/>
      <w:bookmarkStart w:id="239" w:name="_Toc9053"/>
      <w:bookmarkStart w:id="240" w:name="_Toc7673"/>
      <w:bookmarkStart w:id="241" w:name="_Toc24600"/>
      <w:bookmarkStart w:id="242" w:name="_Toc18830"/>
      <w:bookmarkStart w:id="243" w:name="_Toc491434499"/>
      <w:bookmarkStart w:id="244" w:name="_Toc29071"/>
      <w:bookmarkStart w:id="245" w:name="_Toc25382"/>
      <w:r>
        <w:rPr>
          <w:rFonts w:ascii="Times New Roman" w:hAnsi="Times New Roman" w:cs="Times New Roman"/>
          <w:b w:val="0"/>
          <w:bCs w:val="0"/>
          <w:highlight w:val="none"/>
        </w:rPr>
        <w:t>五、社会</w:t>
      </w:r>
      <w:r>
        <w:rPr>
          <w:rFonts w:hint="eastAsia" w:ascii="Times New Roman" w:hAnsi="Times New Roman" w:cs="Times New Roman"/>
          <w:b w:val="0"/>
          <w:bCs w:val="0"/>
          <w:highlight w:val="none"/>
          <w:lang w:eastAsia="zh-CN"/>
        </w:rPr>
        <w:t>参与</w:t>
      </w:r>
      <w:bookmarkEnd w:id="236"/>
      <w:bookmarkEnd w:id="237"/>
      <w:bookmarkEnd w:id="238"/>
      <w:bookmarkEnd w:id="239"/>
      <w:bookmarkEnd w:id="240"/>
      <w:bookmarkEnd w:id="241"/>
      <w:bookmarkEnd w:id="242"/>
      <w:bookmarkEnd w:id="243"/>
      <w:bookmarkEnd w:id="244"/>
      <w:bookmarkEnd w:id="245"/>
    </w:p>
    <w:p w14:paraId="039A1588">
      <w:pPr>
        <w:pStyle w:val="9"/>
        <w:pageBreakBefore w:val="0"/>
        <w:kinsoku/>
        <w:wordWrap/>
        <w:overflowPunct/>
        <w:topLinePunct w:val="0"/>
        <w:autoSpaceDE/>
        <w:autoSpaceDN/>
        <w:bidi w:val="0"/>
        <w:spacing w:line="560" w:lineRule="exact"/>
        <w:ind w:left="0" w:leftChars="0" w:right="0" w:rightChars="0" w:firstLine="640"/>
        <w:rPr>
          <w:rFonts w:eastAsia="楷体_GB2312" w:cs="Times New Roman"/>
          <w:b/>
          <w:bCs w:val="0"/>
          <w:highlight w:val="none"/>
        </w:rPr>
      </w:pPr>
      <w:r>
        <w:rPr>
          <w:rFonts w:eastAsia="楷体_GB2312" w:cs="Times New Roman"/>
          <w:b/>
          <w:bCs w:val="0"/>
          <w:highlight w:val="none"/>
        </w:rPr>
        <w:t>（一）加大生态文明建设宣传教育力度</w:t>
      </w:r>
    </w:p>
    <w:p w14:paraId="3F5D29C3">
      <w:pPr>
        <w:pageBreakBefore w:val="0"/>
        <w:kinsoku/>
        <w:wordWrap/>
        <w:overflowPunct/>
        <w:topLinePunct w:val="0"/>
        <w:autoSpaceDE/>
        <w:autoSpaceDN/>
        <w:bidi w:val="0"/>
        <w:spacing w:line="560" w:lineRule="exact"/>
        <w:ind w:left="0" w:leftChars="0" w:right="0" w:rightChars="0" w:firstLine="640"/>
        <w:rPr>
          <w:rFonts w:eastAsia="仿宋_GB2312" w:cs="Times New Roman"/>
          <w:highlight w:val="none"/>
        </w:rPr>
      </w:pPr>
      <w:r>
        <w:rPr>
          <w:rFonts w:hint="default" w:eastAsia="仿宋_GB2312" w:cs="Times New Roman"/>
          <w:highlight w:val="none"/>
          <w:lang w:eastAsia="zh-CN"/>
        </w:rPr>
        <w:t>开展对各级行政领导的可持续发展战略培训教育，切实增强生态文明建设示范区创建战略意义的认识；积极参加柳州市开展的各种技术讲座、培训，提高可持续发展和生态保护意识；通过各新闻媒体开展形式多样的宣传，开展中小学的生态文明宣传教育，提高参与可持续发展的能力；</w:t>
      </w:r>
      <w:r>
        <w:rPr>
          <w:rFonts w:hint="default" w:eastAsia="仿宋_GB2312" w:cs="Times New Roman"/>
          <w:highlight w:val="none"/>
        </w:rPr>
        <w:t>开展多层次、多形式的舆论宣传和科普教育，综合运用广播、电视、报纸等自媒体以及发放环保知识宣传手册等形式加大宣传，让群众充分认识生态文明建设的重要性，全力营造全民响应生态</w:t>
      </w:r>
      <w:r>
        <w:rPr>
          <w:rFonts w:hint="default" w:eastAsia="仿宋_GB2312" w:cs="Times New Roman"/>
          <w:highlight w:val="none"/>
          <w:lang w:eastAsia="zh-CN"/>
        </w:rPr>
        <w:t>文明建设工作</w:t>
      </w:r>
      <w:r>
        <w:rPr>
          <w:rFonts w:hint="default" w:eastAsia="仿宋_GB2312" w:cs="Times New Roman"/>
          <w:highlight w:val="none"/>
        </w:rPr>
        <w:t>的良好氛围</w:t>
      </w:r>
      <w:r>
        <w:rPr>
          <w:rFonts w:eastAsia="仿宋_GB2312" w:cs="Times New Roman"/>
          <w:highlight w:val="none"/>
        </w:rPr>
        <w:t>。</w:t>
      </w:r>
    </w:p>
    <w:p w14:paraId="370AF4A4">
      <w:pPr>
        <w:pStyle w:val="9"/>
        <w:pageBreakBefore w:val="0"/>
        <w:kinsoku/>
        <w:wordWrap/>
        <w:overflowPunct/>
        <w:topLinePunct w:val="0"/>
        <w:autoSpaceDE/>
        <w:autoSpaceDN/>
        <w:bidi w:val="0"/>
        <w:spacing w:line="560" w:lineRule="exact"/>
        <w:ind w:left="0" w:leftChars="0" w:right="0" w:rightChars="0" w:firstLine="640"/>
        <w:rPr>
          <w:rFonts w:eastAsia="楷体_GB2312" w:cs="Times New Roman"/>
          <w:b/>
          <w:bCs w:val="0"/>
          <w:highlight w:val="none"/>
        </w:rPr>
      </w:pPr>
      <w:r>
        <w:rPr>
          <w:rFonts w:eastAsia="楷体_GB2312" w:cs="Times New Roman"/>
          <w:b/>
          <w:bCs w:val="0"/>
          <w:highlight w:val="none"/>
        </w:rPr>
        <w:t>（二）</w:t>
      </w:r>
      <w:r>
        <w:rPr>
          <w:rFonts w:hint="default" w:eastAsia="楷体_GB2312" w:cs="Times New Roman"/>
          <w:b/>
          <w:bCs w:val="0"/>
          <w:highlight w:val="none"/>
          <w:lang w:eastAsia="zh-CN"/>
        </w:rPr>
        <w:t>加强生态文明建设指导和培训</w:t>
      </w:r>
    </w:p>
    <w:p w14:paraId="4E36A988">
      <w:pPr>
        <w:pageBreakBefore w:val="0"/>
        <w:kinsoku/>
        <w:wordWrap/>
        <w:overflowPunct/>
        <w:topLinePunct w:val="0"/>
        <w:autoSpaceDE/>
        <w:autoSpaceDN/>
        <w:bidi w:val="0"/>
        <w:spacing w:line="560" w:lineRule="exact"/>
        <w:ind w:left="0" w:leftChars="0" w:right="0" w:rightChars="0" w:firstLine="640"/>
        <w:rPr>
          <w:rFonts w:cs="Times New Roman"/>
          <w:highlight w:val="none"/>
        </w:rPr>
      </w:pPr>
      <w:r>
        <w:rPr>
          <w:rFonts w:hint="default" w:eastAsia="仿宋_GB2312" w:cs="Times New Roman"/>
          <w:highlight w:val="none"/>
        </w:rPr>
        <w:t>指导和帮助申报创建的镇、村庄制定生态文明示范乡镇、生态村创建方案，明确创建思路和目标，完善创建措施，开展相关项目建设。组织全区镇、村委会干部进行示范乡镇、示范村建设工作业务培训。通过培训，推动镇、村委会建设人员熟悉建设程序及建设考核指标要求，增强建设责任意识；重视高级技术人才引进，扩大技术交流合作的领域和范围；以示范乡镇、示范村建设为抓手和载体，加强农村环境综合整治，改善农村生态环境</w:t>
      </w:r>
      <w:r>
        <w:rPr>
          <w:rFonts w:eastAsia="仿宋_GB2312" w:cs="Times New Roman"/>
          <w:highlight w:val="none"/>
        </w:rPr>
        <w:t>。</w:t>
      </w:r>
      <w:bookmarkEnd w:id="15"/>
      <w:bookmarkEnd w:id="16"/>
    </w:p>
    <w:p w14:paraId="7C1A46BE">
      <w:pPr>
        <w:pStyle w:val="9"/>
        <w:pageBreakBefore w:val="0"/>
        <w:kinsoku/>
        <w:wordWrap/>
        <w:overflowPunct/>
        <w:topLinePunct w:val="0"/>
        <w:autoSpaceDE/>
        <w:autoSpaceDN/>
        <w:bidi w:val="0"/>
        <w:spacing w:line="560" w:lineRule="exact"/>
        <w:ind w:left="0" w:leftChars="0" w:right="0" w:rightChars="0" w:firstLine="640"/>
        <w:rPr>
          <w:rFonts w:eastAsia="楷体_GB2312" w:cs="Times New Roman"/>
          <w:b/>
          <w:bCs w:val="0"/>
          <w:highlight w:val="none"/>
        </w:rPr>
      </w:pPr>
      <w:r>
        <w:rPr>
          <w:rFonts w:eastAsia="楷体_GB2312" w:cs="Times New Roman"/>
          <w:b/>
          <w:bCs w:val="0"/>
          <w:highlight w:val="none"/>
        </w:rPr>
        <w:t>（</w:t>
      </w:r>
      <w:r>
        <w:rPr>
          <w:rFonts w:hint="eastAsia" w:eastAsia="楷体_GB2312" w:cs="Times New Roman"/>
          <w:b/>
          <w:bCs w:val="0"/>
          <w:highlight w:val="none"/>
          <w:lang w:eastAsia="zh-CN"/>
        </w:rPr>
        <w:t>三</w:t>
      </w:r>
      <w:r>
        <w:rPr>
          <w:rFonts w:eastAsia="楷体_GB2312" w:cs="Times New Roman"/>
          <w:b/>
          <w:bCs w:val="0"/>
          <w:highlight w:val="none"/>
        </w:rPr>
        <w:t>）</w:t>
      </w:r>
      <w:r>
        <w:rPr>
          <w:rFonts w:hint="default" w:eastAsia="楷体_GB2312" w:cs="Times New Roman"/>
          <w:b/>
          <w:bCs w:val="0"/>
          <w:highlight w:val="none"/>
          <w:lang w:eastAsia="zh-CN"/>
        </w:rPr>
        <w:t>强化公众</w:t>
      </w:r>
      <w:r>
        <w:rPr>
          <w:rFonts w:hint="eastAsia" w:eastAsia="楷体_GB2312" w:cs="Times New Roman"/>
          <w:b/>
          <w:bCs w:val="0"/>
          <w:highlight w:val="none"/>
          <w:lang w:eastAsia="zh-CN"/>
        </w:rPr>
        <w:t>监督参与和环境信息公开</w:t>
      </w:r>
    </w:p>
    <w:p w14:paraId="2412A5D3">
      <w:pPr>
        <w:pageBreakBefore w:val="0"/>
        <w:kinsoku/>
        <w:wordWrap/>
        <w:overflowPunct/>
        <w:topLinePunct w:val="0"/>
        <w:autoSpaceDE/>
        <w:autoSpaceDN/>
        <w:bidi w:val="0"/>
        <w:ind w:left="0" w:leftChars="0" w:right="0" w:rightChars="0" w:firstLine="640"/>
        <w:rPr>
          <w:highlight w:val="none"/>
        </w:rPr>
        <w:sectPr>
          <w:pgSz w:w="11905" w:h="16838"/>
          <w:pgMar w:top="2098" w:right="1474" w:bottom="1984" w:left="1587" w:header="1417" w:footer="1304" w:gutter="0"/>
          <w:pgNumType w:fmt="decimal"/>
          <w:cols w:space="0" w:num="1"/>
          <w:rtlGutter w:val="0"/>
          <w:docGrid w:type="linesAndChars" w:linePitch="439" w:charSpace="1433"/>
        </w:sectPr>
      </w:pPr>
      <w:r>
        <w:rPr>
          <w:rFonts w:hint="eastAsia" w:eastAsia="仿宋_GB2312" w:cs="Times New Roman"/>
          <w:highlight w:val="none"/>
          <w:lang w:eastAsia="zh-CN"/>
        </w:rPr>
        <w:t>通过电子政务建设，进一步完善环境政务公开制度，为公众参与提供信息渠道支持；逐步形成以公民监督举报、听证、新闻舆论监督、公益诉讼等为主要内容的公众监督制度，保障公众全过程参与生态文明建设规划、决策、实施、监督和评估的全过程；建立生态文明建设工作问卷调查制度，完善群众信访的办理制度；充分发挥新闻记者的舆论监督作用，明确公众参与是环境决策、生态文明建设的必经程序，完善环境状况公布工作，实施政务公开制度；</w:t>
      </w:r>
      <w:r>
        <w:rPr>
          <w:rFonts w:eastAsia="仿宋_GB2312" w:cs="Times New Roman"/>
          <w:highlight w:val="none"/>
        </w:rPr>
        <w:t>积极发动、组织引导群众参与生态文明建创建工作，建立和完善公众参与制度，形成人人关心、共同参与的公众参与和监督机制。</w:t>
      </w:r>
    </w:p>
    <w:p w14:paraId="0DEA1407">
      <w:pPr>
        <w:pStyle w:val="63"/>
        <w:pageBreakBefore w:val="0"/>
        <w:kinsoku/>
        <w:wordWrap/>
        <w:overflowPunct/>
        <w:topLinePunct w:val="0"/>
        <w:autoSpaceDE/>
        <w:autoSpaceDN/>
        <w:bidi w:val="0"/>
        <w:spacing w:line="560" w:lineRule="exact"/>
        <w:ind w:left="0" w:leftChars="0" w:right="0" w:rightChars="0"/>
        <w:rPr>
          <w:rFonts w:eastAsia="方正小标宋简体" w:cs="Times New Roman"/>
          <w:highlight w:val="none"/>
        </w:rPr>
      </w:pPr>
      <w:bookmarkStart w:id="246" w:name="_Toc6838"/>
      <w:bookmarkStart w:id="247" w:name="_Toc19044"/>
      <w:bookmarkStart w:id="248" w:name="_Toc3920"/>
      <w:bookmarkStart w:id="249" w:name="_Toc26511"/>
      <w:bookmarkStart w:id="250" w:name="_Toc28774"/>
      <w:bookmarkStart w:id="251" w:name="_Toc21280"/>
      <w:bookmarkStart w:id="252" w:name="_Toc314"/>
      <w:bookmarkStart w:id="253" w:name="_Toc11608"/>
      <w:r>
        <w:rPr>
          <w:rFonts w:eastAsia="方正小标宋简体" w:cs="Times New Roman"/>
          <w:highlight w:val="none"/>
        </w:rPr>
        <w:t xml:space="preserve">附表1  </w:t>
      </w:r>
      <w:bookmarkEnd w:id="246"/>
      <w:r>
        <w:rPr>
          <w:rFonts w:hint="eastAsia" w:eastAsia="方正小标宋简体" w:cs="Times New Roman"/>
          <w:highlight w:val="none"/>
          <w:lang w:eastAsia="zh-CN"/>
        </w:rPr>
        <w:t>柳江区生态文明建设规划重点工程项目表</w:t>
      </w:r>
      <w:bookmarkEnd w:id="247"/>
      <w:bookmarkEnd w:id="248"/>
      <w:bookmarkEnd w:id="249"/>
      <w:bookmarkEnd w:id="250"/>
      <w:bookmarkEnd w:id="251"/>
      <w:bookmarkEnd w:id="252"/>
      <w:bookmarkEnd w:id="253"/>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01"/>
        <w:gridCol w:w="2653"/>
        <w:gridCol w:w="637"/>
        <w:gridCol w:w="4715"/>
        <w:gridCol w:w="1135"/>
        <w:gridCol w:w="975"/>
        <w:gridCol w:w="1125"/>
        <w:gridCol w:w="945"/>
      </w:tblGrid>
      <w:tr w14:paraId="09672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40" w:hRule="atLeast"/>
          <w:tblHeader/>
          <w:jc w:val="center"/>
        </w:trPr>
        <w:tc>
          <w:tcPr>
            <w:tcW w:w="235" w:type="pct"/>
            <w:noWrap w:val="0"/>
            <w:vAlign w:val="center"/>
          </w:tcPr>
          <w:p w14:paraId="717E91AD">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b/>
                <w:bCs/>
                <w:sz w:val="24"/>
                <w:szCs w:val="24"/>
                <w:highlight w:val="none"/>
                <w:lang w:eastAsia="zh-CN"/>
              </w:rPr>
            </w:pPr>
            <w:r>
              <w:rPr>
                <w:rFonts w:hint="default" w:eastAsia="仿宋_GB2312" w:cs="Times New Roman"/>
                <w:b/>
                <w:bCs/>
                <w:sz w:val="24"/>
                <w:szCs w:val="24"/>
                <w:highlight w:val="none"/>
                <w:lang w:eastAsia="zh-CN"/>
              </w:rPr>
              <w:t>序号</w:t>
            </w:r>
          </w:p>
        </w:tc>
        <w:tc>
          <w:tcPr>
            <w:tcW w:w="1037" w:type="pct"/>
            <w:noWrap w:val="0"/>
            <w:vAlign w:val="center"/>
          </w:tcPr>
          <w:p w14:paraId="62A6175F">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b/>
                <w:bCs/>
                <w:sz w:val="24"/>
                <w:szCs w:val="24"/>
                <w:highlight w:val="none"/>
                <w:lang w:eastAsia="zh-CN"/>
              </w:rPr>
            </w:pPr>
            <w:r>
              <w:rPr>
                <w:rFonts w:hint="default" w:eastAsia="仿宋_GB2312" w:cs="Times New Roman"/>
                <w:b/>
                <w:bCs/>
                <w:sz w:val="24"/>
                <w:szCs w:val="24"/>
                <w:highlight w:val="none"/>
                <w:lang w:eastAsia="zh-CN"/>
              </w:rPr>
              <w:t>项目名称</w:t>
            </w:r>
          </w:p>
        </w:tc>
        <w:tc>
          <w:tcPr>
            <w:tcW w:w="249" w:type="pct"/>
            <w:noWrap w:val="0"/>
            <w:vAlign w:val="center"/>
          </w:tcPr>
          <w:p w14:paraId="442AC3DC">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b/>
                <w:bCs/>
                <w:sz w:val="24"/>
                <w:szCs w:val="24"/>
                <w:highlight w:val="none"/>
                <w:lang w:eastAsia="zh-CN"/>
              </w:rPr>
            </w:pPr>
            <w:r>
              <w:rPr>
                <w:rFonts w:hint="default" w:eastAsia="仿宋_GB2312" w:cs="Times New Roman"/>
                <w:b/>
                <w:bCs/>
                <w:sz w:val="24"/>
                <w:szCs w:val="24"/>
                <w:highlight w:val="none"/>
                <w:lang w:eastAsia="zh-CN"/>
              </w:rPr>
              <w:t>项目性质</w:t>
            </w:r>
          </w:p>
        </w:tc>
        <w:tc>
          <w:tcPr>
            <w:tcW w:w="1843" w:type="pct"/>
            <w:noWrap w:val="0"/>
            <w:vAlign w:val="center"/>
          </w:tcPr>
          <w:p w14:paraId="6A083CAC">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b/>
                <w:bCs/>
                <w:sz w:val="24"/>
                <w:szCs w:val="24"/>
                <w:highlight w:val="none"/>
                <w:lang w:eastAsia="zh-CN"/>
              </w:rPr>
            </w:pPr>
            <w:r>
              <w:rPr>
                <w:rFonts w:hint="default" w:eastAsia="仿宋_GB2312" w:cs="Times New Roman"/>
                <w:b/>
                <w:bCs/>
                <w:sz w:val="24"/>
                <w:szCs w:val="24"/>
                <w:highlight w:val="none"/>
                <w:lang w:eastAsia="zh-CN"/>
              </w:rPr>
              <w:t>主要建设内容及规模</w:t>
            </w:r>
          </w:p>
        </w:tc>
        <w:tc>
          <w:tcPr>
            <w:tcW w:w="443" w:type="pct"/>
            <w:noWrap w:val="0"/>
            <w:vAlign w:val="center"/>
          </w:tcPr>
          <w:p w14:paraId="1F132CB5">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b/>
                <w:bCs/>
                <w:sz w:val="24"/>
                <w:szCs w:val="24"/>
                <w:highlight w:val="none"/>
                <w:lang w:eastAsia="zh-CN"/>
              </w:rPr>
            </w:pPr>
            <w:r>
              <w:rPr>
                <w:rFonts w:hint="default" w:eastAsia="仿宋_GB2312" w:cs="Times New Roman"/>
                <w:b/>
                <w:bCs/>
                <w:sz w:val="24"/>
                <w:szCs w:val="24"/>
                <w:highlight w:val="none"/>
                <w:lang w:eastAsia="zh-CN"/>
              </w:rPr>
              <w:t>建设起止年限</w:t>
            </w:r>
          </w:p>
        </w:tc>
        <w:tc>
          <w:tcPr>
            <w:tcW w:w="381" w:type="pct"/>
            <w:noWrap w:val="0"/>
            <w:vAlign w:val="center"/>
          </w:tcPr>
          <w:p w14:paraId="25FF6043">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b/>
                <w:bCs/>
                <w:sz w:val="24"/>
                <w:szCs w:val="24"/>
                <w:highlight w:val="none"/>
                <w:lang w:eastAsia="zh-CN"/>
              </w:rPr>
            </w:pPr>
            <w:r>
              <w:rPr>
                <w:rFonts w:hint="default" w:eastAsia="仿宋_GB2312" w:cs="Times New Roman"/>
                <w:b/>
                <w:bCs/>
                <w:sz w:val="24"/>
                <w:szCs w:val="24"/>
                <w:highlight w:val="none"/>
                <w:lang w:eastAsia="zh-CN"/>
              </w:rPr>
              <w:t>计划总投资（万元）</w:t>
            </w:r>
          </w:p>
        </w:tc>
        <w:tc>
          <w:tcPr>
            <w:tcW w:w="439" w:type="pct"/>
            <w:noWrap w:val="0"/>
            <w:vAlign w:val="center"/>
          </w:tcPr>
          <w:p w14:paraId="3147EAB9">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b/>
                <w:bCs/>
                <w:sz w:val="24"/>
                <w:szCs w:val="24"/>
                <w:highlight w:val="none"/>
                <w:lang w:eastAsia="zh-CN"/>
              </w:rPr>
            </w:pPr>
            <w:r>
              <w:rPr>
                <w:rFonts w:hint="default" w:eastAsia="仿宋_GB2312" w:cs="Times New Roman"/>
                <w:b/>
                <w:bCs/>
                <w:sz w:val="24"/>
                <w:szCs w:val="24"/>
                <w:highlight w:val="none"/>
                <w:lang w:eastAsia="zh-CN"/>
              </w:rPr>
              <w:t>资金来源</w:t>
            </w:r>
          </w:p>
        </w:tc>
        <w:tc>
          <w:tcPr>
            <w:tcW w:w="369" w:type="pct"/>
            <w:noWrap w:val="0"/>
            <w:vAlign w:val="center"/>
          </w:tcPr>
          <w:p w14:paraId="48E25799">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b/>
                <w:bCs/>
                <w:sz w:val="24"/>
                <w:szCs w:val="24"/>
                <w:highlight w:val="none"/>
                <w:lang w:eastAsia="zh-CN"/>
              </w:rPr>
            </w:pPr>
            <w:r>
              <w:rPr>
                <w:rFonts w:hint="default" w:eastAsia="仿宋_GB2312" w:cs="Times New Roman"/>
                <w:b/>
                <w:bCs/>
                <w:sz w:val="24"/>
                <w:szCs w:val="24"/>
                <w:highlight w:val="none"/>
                <w:lang w:eastAsia="zh-CN"/>
              </w:rPr>
              <w:t>责任单位</w:t>
            </w:r>
          </w:p>
        </w:tc>
      </w:tr>
      <w:tr w14:paraId="27395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40" w:hRule="atLeast"/>
          <w:jc w:val="center"/>
        </w:trPr>
        <w:tc>
          <w:tcPr>
            <w:tcW w:w="235" w:type="pct"/>
            <w:noWrap w:val="0"/>
            <w:vAlign w:val="center"/>
          </w:tcPr>
          <w:p w14:paraId="64DCCF59">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b/>
                <w:bCs/>
                <w:sz w:val="24"/>
                <w:szCs w:val="24"/>
                <w:highlight w:val="none"/>
                <w:lang w:eastAsia="zh-CN"/>
              </w:rPr>
            </w:pPr>
            <w:r>
              <w:rPr>
                <w:rFonts w:hint="default" w:eastAsia="仿宋_GB2312" w:cs="Times New Roman"/>
                <w:b/>
                <w:bCs/>
                <w:sz w:val="24"/>
                <w:szCs w:val="24"/>
                <w:highlight w:val="none"/>
                <w:lang w:eastAsia="zh-CN"/>
              </w:rPr>
              <w:t>一、</w:t>
            </w:r>
          </w:p>
        </w:tc>
        <w:tc>
          <w:tcPr>
            <w:tcW w:w="1037" w:type="pct"/>
            <w:noWrap w:val="0"/>
            <w:vAlign w:val="center"/>
          </w:tcPr>
          <w:p w14:paraId="194A0D4E">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b/>
                <w:bCs/>
                <w:sz w:val="24"/>
                <w:szCs w:val="24"/>
                <w:highlight w:val="none"/>
                <w:lang w:eastAsia="zh-CN"/>
              </w:rPr>
            </w:pPr>
            <w:r>
              <w:rPr>
                <w:rFonts w:hint="default" w:eastAsia="仿宋_GB2312" w:cs="Times New Roman"/>
                <w:b/>
                <w:bCs/>
                <w:sz w:val="24"/>
                <w:szCs w:val="24"/>
                <w:highlight w:val="none"/>
                <w:lang w:eastAsia="zh-CN"/>
              </w:rPr>
              <w:t>生态制度体系建设项目</w:t>
            </w:r>
          </w:p>
        </w:tc>
        <w:tc>
          <w:tcPr>
            <w:tcW w:w="249" w:type="pct"/>
            <w:noWrap w:val="0"/>
            <w:vAlign w:val="center"/>
          </w:tcPr>
          <w:p w14:paraId="43B67A3A">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b/>
                <w:bCs/>
                <w:sz w:val="24"/>
                <w:szCs w:val="24"/>
                <w:highlight w:val="none"/>
                <w:lang w:eastAsia="zh-CN"/>
              </w:rPr>
            </w:pPr>
          </w:p>
        </w:tc>
        <w:tc>
          <w:tcPr>
            <w:tcW w:w="1843" w:type="pct"/>
            <w:noWrap w:val="0"/>
            <w:vAlign w:val="center"/>
          </w:tcPr>
          <w:p w14:paraId="3678496A">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b/>
                <w:bCs/>
                <w:sz w:val="24"/>
                <w:szCs w:val="24"/>
                <w:highlight w:val="none"/>
                <w:lang w:eastAsia="zh-CN"/>
              </w:rPr>
            </w:pPr>
          </w:p>
        </w:tc>
        <w:tc>
          <w:tcPr>
            <w:tcW w:w="443" w:type="pct"/>
            <w:noWrap w:val="0"/>
            <w:vAlign w:val="center"/>
          </w:tcPr>
          <w:p w14:paraId="27600FCD">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b/>
                <w:bCs/>
                <w:sz w:val="24"/>
                <w:szCs w:val="24"/>
                <w:highlight w:val="none"/>
                <w:lang w:eastAsia="zh-CN"/>
              </w:rPr>
            </w:pPr>
          </w:p>
        </w:tc>
        <w:tc>
          <w:tcPr>
            <w:tcW w:w="381" w:type="pct"/>
            <w:noWrap w:val="0"/>
            <w:vAlign w:val="center"/>
          </w:tcPr>
          <w:p w14:paraId="38DEA13E">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b/>
                <w:bCs/>
                <w:sz w:val="24"/>
                <w:szCs w:val="24"/>
                <w:highlight w:val="none"/>
                <w:lang w:eastAsia="zh-CN"/>
              </w:rPr>
            </w:pPr>
          </w:p>
        </w:tc>
        <w:tc>
          <w:tcPr>
            <w:tcW w:w="439" w:type="pct"/>
            <w:noWrap w:val="0"/>
            <w:vAlign w:val="center"/>
          </w:tcPr>
          <w:p w14:paraId="6EDC8FEF">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b/>
                <w:bCs/>
                <w:sz w:val="24"/>
                <w:szCs w:val="24"/>
                <w:highlight w:val="none"/>
                <w:lang w:eastAsia="zh-CN"/>
              </w:rPr>
            </w:pPr>
          </w:p>
        </w:tc>
        <w:tc>
          <w:tcPr>
            <w:tcW w:w="369" w:type="pct"/>
            <w:noWrap w:val="0"/>
            <w:vAlign w:val="center"/>
          </w:tcPr>
          <w:p w14:paraId="0C3A2C0D">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b/>
                <w:bCs/>
                <w:sz w:val="24"/>
                <w:szCs w:val="24"/>
                <w:highlight w:val="none"/>
                <w:lang w:eastAsia="zh-CN"/>
              </w:rPr>
            </w:pPr>
          </w:p>
        </w:tc>
      </w:tr>
      <w:tr w14:paraId="65618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40" w:hRule="atLeast"/>
          <w:jc w:val="center"/>
        </w:trPr>
        <w:tc>
          <w:tcPr>
            <w:tcW w:w="235" w:type="pct"/>
            <w:noWrap w:val="0"/>
            <w:vAlign w:val="center"/>
          </w:tcPr>
          <w:p w14:paraId="24E28B86">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eastAsia="zh-CN"/>
              </w:rPr>
            </w:pPr>
            <w:r>
              <w:rPr>
                <w:rFonts w:hint="default" w:eastAsia="仿宋_GB2312" w:cs="Times New Roman"/>
                <w:sz w:val="24"/>
                <w:szCs w:val="24"/>
                <w:highlight w:val="none"/>
                <w:lang w:eastAsia="zh-CN"/>
              </w:rPr>
              <w:t>1</w:t>
            </w:r>
          </w:p>
        </w:tc>
        <w:tc>
          <w:tcPr>
            <w:tcW w:w="1037" w:type="pct"/>
            <w:noWrap w:val="0"/>
            <w:vAlign w:val="center"/>
          </w:tcPr>
          <w:p w14:paraId="5672678A">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eastAsia="zh-CN"/>
              </w:rPr>
            </w:pPr>
            <w:r>
              <w:rPr>
                <w:rFonts w:hint="default" w:eastAsia="仿宋_GB2312" w:cs="Times New Roman"/>
                <w:sz w:val="24"/>
                <w:szCs w:val="24"/>
                <w:highlight w:val="none"/>
                <w:lang w:eastAsia="zh-CN"/>
              </w:rPr>
              <w:t>《柳江区国家生态文明建设示范区规划》编制项目</w:t>
            </w:r>
          </w:p>
        </w:tc>
        <w:tc>
          <w:tcPr>
            <w:tcW w:w="249" w:type="pct"/>
            <w:noWrap w:val="0"/>
            <w:vAlign w:val="center"/>
          </w:tcPr>
          <w:p w14:paraId="04B07CF9">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eastAsia="zh-CN"/>
              </w:rPr>
            </w:pPr>
            <w:r>
              <w:rPr>
                <w:rFonts w:hint="default" w:eastAsia="仿宋_GB2312" w:cs="Times New Roman"/>
                <w:sz w:val="24"/>
                <w:szCs w:val="24"/>
                <w:highlight w:val="none"/>
                <w:lang w:eastAsia="zh-CN"/>
              </w:rPr>
              <w:t>新建</w:t>
            </w:r>
          </w:p>
        </w:tc>
        <w:tc>
          <w:tcPr>
            <w:tcW w:w="1843" w:type="pct"/>
            <w:noWrap w:val="0"/>
            <w:vAlign w:val="center"/>
          </w:tcPr>
          <w:p w14:paraId="67062CFE">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eastAsia="zh-CN"/>
              </w:rPr>
            </w:pPr>
            <w:r>
              <w:rPr>
                <w:rFonts w:hint="default" w:eastAsia="仿宋_GB2312" w:cs="Times New Roman"/>
                <w:sz w:val="24"/>
                <w:szCs w:val="24"/>
                <w:highlight w:val="none"/>
                <w:lang w:eastAsia="zh-CN"/>
              </w:rPr>
              <w:t>在对自然条件、生态环境、社会经济发展状况调查评估的基础上，结合柳江区的发展特点，从生态制度完善、生态环境改善、生态空间优化、生态经济发展、生态生活提升、生态文化传承等方面制定建设措施，指导柳江区创建“国家级生态文明建设示范区”。</w:t>
            </w:r>
          </w:p>
        </w:tc>
        <w:tc>
          <w:tcPr>
            <w:tcW w:w="443" w:type="pct"/>
            <w:noWrap w:val="0"/>
            <w:vAlign w:val="center"/>
          </w:tcPr>
          <w:p w14:paraId="47E97B50">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eastAsia="zh-CN"/>
              </w:rPr>
            </w:pPr>
            <w:r>
              <w:rPr>
                <w:rFonts w:hint="default" w:eastAsia="仿宋_GB2312" w:cs="Times New Roman"/>
                <w:sz w:val="24"/>
                <w:szCs w:val="24"/>
                <w:highlight w:val="none"/>
                <w:lang w:eastAsia="zh-CN"/>
              </w:rPr>
              <w:t>202</w:t>
            </w:r>
            <w:r>
              <w:rPr>
                <w:rFonts w:hint="default" w:eastAsia="仿宋_GB2312" w:cs="Times New Roman"/>
                <w:sz w:val="24"/>
                <w:szCs w:val="24"/>
                <w:highlight w:val="none"/>
                <w:lang w:val="en-US" w:eastAsia="zh-CN"/>
              </w:rPr>
              <w:t>2</w:t>
            </w:r>
            <w:r>
              <w:rPr>
                <w:rFonts w:hint="default" w:eastAsia="仿宋_GB2312" w:cs="Times New Roman"/>
                <w:sz w:val="24"/>
                <w:szCs w:val="24"/>
                <w:highlight w:val="none"/>
                <w:lang w:eastAsia="zh-CN"/>
              </w:rPr>
              <w:t>-202</w:t>
            </w:r>
            <w:r>
              <w:rPr>
                <w:rFonts w:hint="default" w:eastAsia="仿宋_GB2312" w:cs="Times New Roman"/>
                <w:sz w:val="24"/>
                <w:szCs w:val="24"/>
                <w:highlight w:val="none"/>
                <w:lang w:val="en-US" w:eastAsia="zh-CN"/>
              </w:rPr>
              <w:t>3</w:t>
            </w:r>
          </w:p>
        </w:tc>
        <w:tc>
          <w:tcPr>
            <w:tcW w:w="381" w:type="pct"/>
            <w:noWrap w:val="0"/>
            <w:vAlign w:val="center"/>
          </w:tcPr>
          <w:p w14:paraId="4B21FF68">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28</w:t>
            </w:r>
          </w:p>
        </w:tc>
        <w:tc>
          <w:tcPr>
            <w:tcW w:w="439" w:type="pct"/>
            <w:noWrap w:val="0"/>
            <w:vAlign w:val="center"/>
          </w:tcPr>
          <w:p w14:paraId="43999DD7">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eastAsia="zh-CN"/>
              </w:rPr>
            </w:pPr>
            <w:r>
              <w:rPr>
                <w:rFonts w:hint="default" w:eastAsia="仿宋_GB2312" w:cs="Times New Roman"/>
                <w:sz w:val="24"/>
                <w:szCs w:val="24"/>
                <w:highlight w:val="none"/>
                <w:lang w:eastAsia="zh-CN"/>
              </w:rPr>
              <w:t>其他资金（包括PPP、银行贷款、自筹等）</w:t>
            </w:r>
          </w:p>
        </w:tc>
        <w:tc>
          <w:tcPr>
            <w:tcW w:w="369" w:type="pct"/>
            <w:noWrap w:val="0"/>
            <w:vAlign w:val="center"/>
          </w:tcPr>
          <w:p w14:paraId="1FA9C340">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eastAsia="zh-CN"/>
              </w:rPr>
            </w:pPr>
            <w:r>
              <w:rPr>
                <w:rFonts w:hint="default" w:eastAsia="仿宋_GB2312" w:cs="Times New Roman"/>
                <w:sz w:val="24"/>
                <w:szCs w:val="24"/>
                <w:highlight w:val="none"/>
                <w:lang w:eastAsia="zh-CN"/>
              </w:rPr>
              <w:t>柳州市柳江生态环境局</w:t>
            </w:r>
          </w:p>
        </w:tc>
      </w:tr>
      <w:tr w14:paraId="0BD18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40" w:hRule="atLeast"/>
          <w:jc w:val="center"/>
        </w:trPr>
        <w:tc>
          <w:tcPr>
            <w:tcW w:w="235" w:type="pct"/>
            <w:noWrap w:val="0"/>
            <w:vAlign w:val="center"/>
          </w:tcPr>
          <w:p w14:paraId="62E1CC06">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b/>
                <w:bCs/>
                <w:sz w:val="24"/>
                <w:szCs w:val="24"/>
                <w:highlight w:val="none"/>
                <w:lang w:eastAsia="zh-CN"/>
              </w:rPr>
            </w:pPr>
            <w:r>
              <w:rPr>
                <w:rFonts w:hint="default" w:eastAsia="仿宋_GB2312" w:cs="Times New Roman"/>
                <w:b/>
                <w:bCs/>
                <w:sz w:val="24"/>
                <w:szCs w:val="24"/>
                <w:highlight w:val="none"/>
                <w:lang w:eastAsia="zh-CN"/>
              </w:rPr>
              <w:t>二、</w:t>
            </w:r>
          </w:p>
        </w:tc>
        <w:tc>
          <w:tcPr>
            <w:tcW w:w="1037" w:type="pct"/>
            <w:noWrap w:val="0"/>
            <w:vAlign w:val="center"/>
          </w:tcPr>
          <w:p w14:paraId="0644B2C8">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b/>
                <w:bCs/>
                <w:sz w:val="24"/>
                <w:szCs w:val="24"/>
                <w:highlight w:val="none"/>
                <w:lang w:eastAsia="zh-CN"/>
              </w:rPr>
            </w:pPr>
            <w:r>
              <w:rPr>
                <w:rFonts w:hint="default" w:eastAsia="仿宋_GB2312" w:cs="Times New Roman"/>
                <w:b/>
                <w:bCs/>
                <w:sz w:val="24"/>
                <w:szCs w:val="24"/>
                <w:highlight w:val="none"/>
                <w:lang w:eastAsia="zh-CN"/>
              </w:rPr>
              <w:t>生态安全体系建设项目</w:t>
            </w:r>
          </w:p>
        </w:tc>
        <w:tc>
          <w:tcPr>
            <w:tcW w:w="249" w:type="pct"/>
            <w:noWrap w:val="0"/>
            <w:vAlign w:val="center"/>
          </w:tcPr>
          <w:p w14:paraId="55D3030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仿宋" w:cs="Times New Roman"/>
                <w:sz w:val="24"/>
                <w:szCs w:val="24"/>
                <w:highlight w:val="yellow"/>
              </w:rPr>
            </w:pPr>
          </w:p>
        </w:tc>
        <w:tc>
          <w:tcPr>
            <w:tcW w:w="1843" w:type="pct"/>
            <w:noWrap w:val="0"/>
            <w:vAlign w:val="center"/>
          </w:tcPr>
          <w:p w14:paraId="0CAF7DF6">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default" w:eastAsia="仿宋_GB2312" w:cs="Times New Roman"/>
                <w:sz w:val="24"/>
                <w:szCs w:val="24"/>
                <w:highlight w:val="none"/>
                <w:lang w:eastAsia="zh-CN"/>
              </w:rPr>
            </w:pPr>
          </w:p>
        </w:tc>
        <w:tc>
          <w:tcPr>
            <w:tcW w:w="443" w:type="pct"/>
            <w:noWrap w:val="0"/>
            <w:vAlign w:val="center"/>
          </w:tcPr>
          <w:p w14:paraId="1BF1B7B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仿宋" w:cs="Times New Roman"/>
                <w:sz w:val="24"/>
                <w:szCs w:val="24"/>
                <w:highlight w:val="yellow"/>
              </w:rPr>
            </w:pPr>
          </w:p>
        </w:tc>
        <w:tc>
          <w:tcPr>
            <w:tcW w:w="381" w:type="pct"/>
            <w:noWrap w:val="0"/>
            <w:vAlign w:val="center"/>
          </w:tcPr>
          <w:p w14:paraId="673A2EC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仿宋" w:cs="Times New Roman"/>
                <w:b/>
                <w:bCs/>
                <w:sz w:val="24"/>
                <w:szCs w:val="24"/>
                <w:highlight w:val="yellow"/>
              </w:rPr>
            </w:pPr>
          </w:p>
        </w:tc>
        <w:tc>
          <w:tcPr>
            <w:tcW w:w="439" w:type="pct"/>
            <w:noWrap w:val="0"/>
            <w:vAlign w:val="center"/>
          </w:tcPr>
          <w:p w14:paraId="2529C5D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仿宋" w:cs="Times New Roman"/>
                <w:b/>
                <w:bCs/>
                <w:sz w:val="24"/>
                <w:szCs w:val="24"/>
                <w:highlight w:val="yellow"/>
              </w:rPr>
            </w:pPr>
          </w:p>
        </w:tc>
        <w:tc>
          <w:tcPr>
            <w:tcW w:w="369" w:type="pct"/>
            <w:noWrap w:val="0"/>
            <w:vAlign w:val="center"/>
          </w:tcPr>
          <w:p w14:paraId="19B99C7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仿宋" w:cs="Times New Roman"/>
                <w:sz w:val="24"/>
                <w:szCs w:val="24"/>
                <w:highlight w:val="yellow"/>
              </w:rPr>
            </w:pPr>
          </w:p>
        </w:tc>
      </w:tr>
      <w:tr w14:paraId="646C8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40" w:hRule="atLeast"/>
          <w:jc w:val="center"/>
        </w:trPr>
        <w:tc>
          <w:tcPr>
            <w:tcW w:w="235" w:type="pct"/>
            <w:noWrap w:val="0"/>
            <w:vAlign w:val="center"/>
          </w:tcPr>
          <w:p w14:paraId="0DDA61FD">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1</w:t>
            </w:r>
          </w:p>
        </w:tc>
        <w:tc>
          <w:tcPr>
            <w:tcW w:w="1037" w:type="pct"/>
            <w:noWrap w:val="0"/>
            <w:vAlign w:val="center"/>
          </w:tcPr>
          <w:p w14:paraId="53B9C38B">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柳江区2023年三千河整治工程项目</w:t>
            </w:r>
          </w:p>
        </w:tc>
        <w:tc>
          <w:tcPr>
            <w:tcW w:w="249" w:type="pct"/>
            <w:noWrap w:val="0"/>
            <w:vAlign w:val="center"/>
          </w:tcPr>
          <w:p w14:paraId="30231FE8">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eastAsia="zh-CN"/>
              </w:rPr>
            </w:pPr>
            <w:r>
              <w:rPr>
                <w:rFonts w:hint="default" w:eastAsia="仿宋_GB2312" w:cs="Times New Roman"/>
                <w:sz w:val="24"/>
                <w:szCs w:val="24"/>
                <w:highlight w:val="none"/>
                <w:lang w:eastAsia="zh-CN"/>
              </w:rPr>
              <w:t>新建</w:t>
            </w:r>
          </w:p>
        </w:tc>
        <w:tc>
          <w:tcPr>
            <w:tcW w:w="1843" w:type="pct"/>
            <w:noWrap w:val="0"/>
            <w:vAlign w:val="center"/>
          </w:tcPr>
          <w:p w14:paraId="640A1AA2">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eastAsia="zh-CN"/>
              </w:rPr>
            </w:pPr>
            <w:r>
              <w:rPr>
                <w:rFonts w:hint="default" w:eastAsia="仿宋_GB2312" w:cs="Times New Roman"/>
                <w:sz w:val="24"/>
                <w:szCs w:val="24"/>
                <w:highlight w:val="none"/>
                <w:lang w:eastAsia="zh-CN"/>
              </w:rPr>
              <w:t>治理河长35.903公里，主要包括河道清淤、岸坡防护、堤坡面绿化。</w:t>
            </w:r>
          </w:p>
        </w:tc>
        <w:tc>
          <w:tcPr>
            <w:tcW w:w="443" w:type="pct"/>
            <w:noWrap w:val="0"/>
            <w:vAlign w:val="center"/>
          </w:tcPr>
          <w:p w14:paraId="431C7845">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eastAsia="zh-CN"/>
              </w:rPr>
            </w:pPr>
            <w:r>
              <w:rPr>
                <w:rFonts w:hint="default" w:eastAsia="仿宋_GB2312" w:cs="Times New Roman"/>
                <w:sz w:val="24"/>
                <w:szCs w:val="24"/>
                <w:highlight w:val="none"/>
                <w:lang w:eastAsia="zh-CN"/>
              </w:rPr>
              <w:t>2023-2024</w:t>
            </w:r>
          </w:p>
        </w:tc>
        <w:tc>
          <w:tcPr>
            <w:tcW w:w="381" w:type="pct"/>
            <w:noWrap w:val="0"/>
            <w:vAlign w:val="center"/>
          </w:tcPr>
          <w:p w14:paraId="0E3D8A26">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eastAsia="zh-CN"/>
              </w:rPr>
            </w:pPr>
            <w:r>
              <w:rPr>
                <w:rFonts w:hint="default" w:eastAsia="仿宋_GB2312" w:cs="Times New Roman"/>
                <w:sz w:val="24"/>
                <w:szCs w:val="24"/>
                <w:highlight w:val="none"/>
                <w:lang w:eastAsia="zh-CN"/>
              </w:rPr>
              <w:t>12234.59</w:t>
            </w:r>
          </w:p>
        </w:tc>
        <w:tc>
          <w:tcPr>
            <w:tcW w:w="439" w:type="pct"/>
            <w:noWrap w:val="0"/>
            <w:vAlign w:val="center"/>
          </w:tcPr>
          <w:p w14:paraId="22864D95">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eastAsia="zh-CN"/>
              </w:rPr>
            </w:pPr>
            <w:r>
              <w:rPr>
                <w:rFonts w:hint="default" w:eastAsia="仿宋_GB2312" w:cs="Times New Roman"/>
                <w:sz w:val="24"/>
                <w:szCs w:val="24"/>
                <w:highlight w:val="none"/>
                <w:lang w:eastAsia="zh-CN"/>
              </w:rPr>
              <w:t>上级资金</w:t>
            </w:r>
          </w:p>
        </w:tc>
        <w:tc>
          <w:tcPr>
            <w:tcW w:w="369" w:type="pct"/>
            <w:noWrap w:val="0"/>
            <w:vAlign w:val="center"/>
          </w:tcPr>
          <w:p w14:paraId="0F4DC574">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eastAsia="zh-CN"/>
              </w:rPr>
            </w:pPr>
            <w:r>
              <w:rPr>
                <w:rFonts w:hint="default" w:eastAsia="仿宋_GB2312" w:cs="Times New Roman"/>
                <w:sz w:val="24"/>
                <w:szCs w:val="24"/>
                <w:highlight w:val="none"/>
                <w:lang w:eastAsia="zh-CN"/>
              </w:rPr>
              <w:t>柳江区水利局</w:t>
            </w:r>
          </w:p>
        </w:tc>
      </w:tr>
      <w:tr w14:paraId="64882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40" w:hRule="atLeast"/>
          <w:jc w:val="center"/>
        </w:trPr>
        <w:tc>
          <w:tcPr>
            <w:tcW w:w="235" w:type="pct"/>
            <w:noWrap w:val="0"/>
            <w:vAlign w:val="center"/>
          </w:tcPr>
          <w:p w14:paraId="17A28630">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2</w:t>
            </w:r>
          </w:p>
        </w:tc>
        <w:tc>
          <w:tcPr>
            <w:tcW w:w="1037" w:type="pct"/>
            <w:noWrap w:val="0"/>
            <w:vAlign w:val="center"/>
          </w:tcPr>
          <w:p w14:paraId="720C7A87">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eastAsia="zh-CN"/>
              </w:rPr>
            </w:pPr>
            <w:r>
              <w:rPr>
                <w:rFonts w:hint="default" w:eastAsia="仿宋_GB2312" w:cs="Times New Roman"/>
                <w:sz w:val="24"/>
                <w:szCs w:val="24"/>
                <w:highlight w:val="none"/>
                <w:lang w:eastAsia="zh-CN"/>
              </w:rPr>
              <w:t>柳江区森林病虫害防治中心（柳江区公共实训中心项目）</w:t>
            </w:r>
          </w:p>
        </w:tc>
        <w:tc>
          <w:tcPr>
            <w:tcW w:w="249" w:type="pct"/>
            <w:noWrap w:val="0"/>
            <w:vAlign w:val="center"/>
          </w:tcPr>
          <w:p w14:paraId="715E51F5">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eastAsia="zh-CN"/>
              </w:rPr>
            </w:pPr>
            <w:r>
              <w:rPr>
                <w:rFonts w:hint="default" w:eastAsia="仿宋_GB2312" w:cs="Times New Roman"/>
                <w:sz w:val="24"/>
                <w:szCs w:val="24"/>
                <w:highlight w:val="none"/>
                <w:lang w:eastAsia="zh-CN"/>
              </w:rPr>
              <w:t>新建</w:t>
            </w:r>
          </w:p>
        </w:tc>
        <w:tc>
          <w:tcPr>
            <w:tcW w:w="1843" w:type="pct"/>
            <w:noWrap w:val="0"/>
            <w:vAlign w:val="center"/>
          </w:tcPr>
          <w:p w14:paraId="543CDC38">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eastAsia="zh-CN"/>
              </w:rPr>
            </w:pPr>
            <w:r>
              <w:rPr>
                <w:rFonts w:hint="default" w:eastAsia="仿宋_GB2312" w:cs="Times New Roman"/>
                <w:sz w:val="24"/>
                <w:szCs w:val="24"/>
                <w:highlight w:val="none"/>
                <w:lang w:eastAsia="zh-CN"/>
              </w:rPr>
              <w:t>项目选址柳江毅德城附近，总用地面积约10066.73平方米（折合约15.1亩），总建筑面积约5801.85平方米，其中综合楼建筑面积约2637.03平方米，训练馆建筑面积约3098.76平方米，车库建筑面积约54.82平方米，大门约11.24平方米。</w:t>
            </w:r>
          </w:p>
        </w:tc>
        <w:tc>
          <w:tcPr>
            <w:tcW w:w="443" w:type="pct"/>
            <w:noWrap w:val="0"/>
            <w:vAlign w:val="center"/>
          </w:tcPr>
          <w:p w14:paraId="6D7125BB">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eastAsia="zh-CN"/>
              </w:rPr>
            </w:pPr>
            <w:r>
              <w:rPr>
                <w:rFonts w:hint="default" w:eastAsia="仿宋_GB2312" w:cs="Times New Roman"/>
                <w:sz w:val="24"/>
                <w:szCs w:val="24"/>
                <w:highlight w:val="none"/>
                <w:lang w:eastAsia="zh-CN"/>
              </w:rPr>
              <w:t>2023-2024</w:t>
            </w:r>
          </w:p>
        </w:tc>
        <w:tc>
          <w:tcPr>
            <w:tcW w:w="381" w:type="pct"/>
            <w:noWrap w:val="0"/>
            <w:vAlign w:val="center"/>
          </w:tcPr>
          <w:p w14:paraId="0B65D3F9">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eastAsia="zh-CN"/>
              </w:rPr>
            </w:pPr>
            <w:r>
              <w:rPr>
                <w:rFonts w:hint="default" w:eastAsia="仿宋_GB2312" w:cs="Times New Roman"/>
                <w:sz w:val="24"/>
                <w:szCs w:val="24"/>
                <w:highlight w:val="none"/>
                <w:lang w:eastAsia="zh-CN"/>
              </w:rPr>
              <w:t>6718</w:t>
            </w:r>
          </w:p>
        </w:tc>
        <w:tc>
          <w:tcPr>
            <w:tcW w:w="439" w:type="pct"/>
            <w:noWrap w:val="0"/>
            <w:vAlign w:val="center"/>
          </w:tcPr>
          <w:p w14:paraId="31736F42">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eastAsia="zh-CN"/>
              </w:rPr>
            </w:pPr>
            <w:r>
              <w:rPr>
                <w:rFonts w:hint="default" w:eastAsia="仿宋_GB2312" w:cs="Times New Roman"/>
                <w:sz w:val="24"/>
                <w:szCs w:val="24"/>
                <w:highlight w:val="none"/>
                <w:lang w:eastAsia="zh-CN"/>
              </w:rPr>
              <w:t>其他资金（包括PPP、银行贷款、自筹等）</w:t>
            </w:r>
          </w:p>
        </w:tc>
        <w:tc>
          <w:tcPr>
            <w:tcW w:w="369" w:type="pct"/>
            <w:noWrap w:val="0"/>
            <w:vAlign w:val="center"/>
          </w:tcPr>
          <w:p w14:paraId="5E401D9B">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eastAsia="zh-CN"/>
              </w:rPr>
            </w:pPr>
            <w:r>
              <w:rPr>
                <w:rFonts w:hint="default" w:eastAsia="仿宋_GB2312" w:cs="Times New Roman"/>
                <w:sz w:val="24"/>
                <w:szCs w:val="24"/>
                <w:highlight w:val="none"/>
                <w:lang w:eastAsia="zh-CN"/>
              </w:rPr>
              <w:t>柳江区自然资源局</w:t>
            </w:r>
          </w:p>
        </w:tc>
      </w:tr>
      <w:tr w14:paraId="31EE9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40" w:hRule="atLeast"/>
          <w:jc w:val="center"/>
        </w:trPr>
        <w:tc>
          <w:tcPr>
            <w:tcW w:w="235" w:type="pct"/>
            <w:noWrap w:val="0"/>
            <w:vAlign w:val="center"/>
          </w:tcPr>
          <w:p w14:paraId="3FF74D39">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3</w:t>
            </w:r>
          </w:p>
        </w:tc>
        <w:tc>
          <w:tcPr>
            <w:tcW w:w="1037" w:type="pct"/>
            <w:noWrap w:val="0"/>
            <w:vAlign w:val="center"/>
          </w:tcPr>
          <w:p w14:paraId="6693C5D3">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柳江区森林防火指挥中心项目（柳江区应急指挥中心项目）</w:t>
            </w:r>
          </w:p>
        </w:tc>
        <w:tc>
          <w:tcPr>
            <w:tcW w:w="249" w:type="pct"/>
            <w:noWrap w:val="0"/>
            <w:vAlign w:val="center"/>
          </w:tcPr>
          <w:p w14:paraId="182CD9BD">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新建</w:t>
            </w:r>
          </w:p>
        </w:tc>
        <w:tc>
          <w:tcPr>
            <w:tcW w:w="1843" w:type="pct"/>
            <w:noWrap w:val="0"/>
            <w:vAlign w:val="center"/>
          </w:tcPr>
          <w:p w14:paraId="45954358">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项目选址柳江毅德城附近，总用地面积约6666.32平方米（折合约10亩），总建筑面积约11306.88平方米，其中综合楼建筑面积约6785.16平方米，裙房建筑面积约885.72平方米，大门约18平方米。</w:t>
            </w:r>
          </w:p>
        </w:tc>
        <w:tc>
          <w:tcPr>
            <w:tcW w:w="443" w:type="pct"/>
            <w:noWrap w:val="0"/>
            <w:vAlign w:val="center"/>
          </w:tcPr>
          <w:p w14:paraId="542B12D1">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2023-2024</w:t>
            </w:r>
          </w:p>
        </w:tc>
        <w:tc>
          <w:tcPr>
            <w:tcW w:w="381" w:type="pct"/>
            <w:noWrap w:val="0"/>
            <w:vAlign w:val="center"/>
          </w:tcPr>
          <w:p w14:paraId="0EDD856E">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7030.7</w:t>
            </w:r>
          </w:p>
        </w:tc>
        <w:tc>
          <w:tcPr>
            <w:tcW w:w="439" w:type="pct"/>
            <w:noWrap w:val="0"/>
            <w:vAlign w:val="center"/>
          </w:tcPr>
          <w:p w14:paraId="4080C6E3">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其他资金（包括PPP、银行贷款、自筹等）</w:t>
            </w:r>
          </w:p>
        </w:tc>
        <w:tc>
          <w:tcPr>
            <w:tcW w:w="369" w:type="pct"/>
            <w:noWrap w:val="0"/>
            <w:vAlign w:val="center"/>
          </w:tcPr>
          <w:p w14:paraId="1899C185">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柳江区自然资源局</w:t>
            </w:r>
          </w:p>
        </w:tc>
      </w:tr>
      <w:tr w14:paraId="0F8DC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40" w:hRule="atLeast"/>
          <w:jc w:val="center"/>
        </w:trPr>
        <w:tc>
          <w:tcPr>
            <w:tcW w:w="235" w:type="pct"/>
            <w:noWrap w:val="0"/>
            <w:vAlign w:val="center"/>
          </w:tcPr>
          <w:p w14:paraId="79580911">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4</w:t>
            </w:r>
          </w:p>
        </w:tc>
        <w:tc>
          <w:tcPr>
            <w:tcW w:w="1037" w:type="pct"/>
            <w:noWrap w:val="0"/>
            <w:vAlign w:val="center"/>
          </w:tcPr>
          <w:p w14:paraId="7FBBEAD2">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九曲河水环境综合治理项目</w:t>
            </w:r>
          </w:p>
        </w:tc>
        <w:tc>
          <w:tcPr>
            <w:tcW w:w="249" w:type="pct"/>
            <w:noWrap w:val="0"/>
            <w:vAlign w:val="center"/>
          </w:tcPr>
          <w:p w14:paraId="26C6A201">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续建</w:t>
            </w:r>
          </w:p>
        </w:tc>
        <w:tc>
          <w:tcPr>
            <w:tcW w:w="1843" w:type="pct"/>
            <w:noWrap w:val="0"/>
            <w:vAlign w:val="center"/>
          </w:tcPr>
          <w:p w14:paraId="5AECE233">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项目选址柳江新城中心片区，河道整治设计长度为3862米，主要建设环境景观工程和河道治理工程，其中河道治理工程面积240572.72平方米，包含岸坡整治、河道清淤、滚水坝拆除重建等。环境景观工程包含河道两岸进行休闲绿地、活动场地、服务建筑、配套环境设施及附属道路建设。</w:t>
            </w:r>
          </w:p>
        </w:tc>
        <w:tc>
          <w:tcPr>
            <w:tcW w:w="443" w:type="pct"/>
            <w:noWrap w:val="0"/>
            <w:vAlign w:val="center"/>
          </w:tcPr>
          <w:p w14:paraId="5C98F4A8">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2020-2025</w:t>
            </w:r>
          </w:p>
        </w:tc>
        <w:tc>
          <w:tcPr>
            <w:tcW w:w="381" w:type="pct"/>
            <w:noWrap w:val="0"/>
            <w:vAlign w:val="center"/>
          </w:tcPr>
          <w:p w14:paraId="4D3B2B89">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49534</w:t>
            </w:r>
          </w:p>
        </w:tc>
        <w:tc>
          <w:tcPr>
            <w:tcW w:w="439" w:type="pct"/>
            <w:noWrap w:val="0"/>
            <w:vAlign w:val="center"/>
          </w:tcPr>
          <w:p w14:paraId="5AD6D360">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其他资金（包括PPP、银行贷款、自筹等）</w:t>
            </w:r>
          </w:p>
        </w:tc>
        <w:tc>
          <w:tcPr>
            <w:tcW w:w="369" w:type="pct"/>
            <w:noWrap w:val="0"/>
            <w:vAlign w:val="center"/>
          </w:tcPr>
          <w:p w14:paraId="371EF083">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柳江新城管委会</w:t>
            </w:r>
          </w:p>
        </w:tc>
      </w:tr>
      <w:tr w14:paraId="1AD90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40" w:hRule="atLeast"/>
          <w:jc w:val="center"/>
        </w:trPr>
        <w:tc>
          <w:tcPr>
            <w:tcW w:w="235" w:type="pct"/>
            <w:noWrap w:val="0"/>
            <w:vAlign w:val="center"/>
          </w:tcPr>
          <w:p w14:paraId="0ED01559">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5</w:t>
            </w:r>
          </w:p>
        </w:tc>
        <w:tc>
          <w:tcPr>
            <w:tcW w:w="1037" w:type="pct"/>
            <w:noWrap w:val="0"/>
            <w:vAlign w:val="center"/>
          </w:tcPr>
          <w:p w14:paraId="03543FF7">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保村河、进德河河道综合整治工程</w:t>
            </w:r>
          </w:p>
        </w:tc>
        <w:tc>
          <w:tcPr>
            <w:tcW w:w="249" w:type="pct"/>
            <w:noWrap w:val="0"/>
            <w:vAlign w:val="center"/>
          </w:tcPr>
          <w:p w14:paraId="28737032">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新建</w:t>
            </w:r>
          </w:p>
        </w:tc>
        <w:tc>
          <w:tcPr>
            <w:tcW w:w="1843" w:type="pct"/>
            <w:noWrap w:val="0"/>
            <w:vAlign w:val="center"/>
          </w:tcPr>
          <w:p w14:paraId="7C7C6E83">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项目选址柳江新城区，河道整治涉及两条河道总长约3.82千米，其中保村河长约2.19千米、进德河长约1.63千米，主要建设内容包括生态护坡工程、沿岸人工湿地建设工程。生态护坡工程包括河岸护坡、河底清淤、防洪设计等内容，沿岸湿地建设包括对河道两岸陆地进行休闲绿地、活动场地、服务建筑、配套环境设施及停车场建设。</w:t>
            </w:r>
          </w:p>
        </w:tc>
        <w:tc>
          <w:tcPr>
            <w:tcW w:w="443" w:type="pct"/>
            <w:noWrap w:val="0"/>
            <w:vAlign w:val="center"/>
          </w:tcPr>
          <w:p w14:paraId="4E221BEB">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2023-2025</w:t>
            </w:r>
          </w:p>
        </w:tc>
        <w:tc>
          <w:tcPr>
            <w:tcW w:w="381" w:type="pct"/>
            <w:noWrap w:val="0"/>
            <w:vAlign w:val="center"/>
          </w:tcPr>
          <w:p w14:paraId="29A57E7D">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45000</w:t>
            </w:r>
          </w:p>
        </w:tc>
        <w:tc>
          <w:tcPr>
            <w:tcW w:w="439" w:type="pct"/>
            <w:noWrap w:val="0"/>
            <w:vAlign w:val="center"/>
          </w:tcPr>
          <w:p w14:paraId="29049A9F">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其他资金（包括PPP、银行贷款、自筹等）</w:t>
            </w:r>
          </w:p>
        </w:tc>
        <w:tc>
          <w:tcPr>
            <w:tcW w:w="369" w:type="pct"/>
            <w:noWrap w:val="0"/>
            <w:vAlign w:val="center"/>
          </w:tcPr>
          <w:p w14:paraId="1C1944FD">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柳江新城管委会</w:t>
            </w:r>
          </w:p>
        </w:tc>
      </w:tr>
      <w:tr w14:paraId="48845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40" w:hRule="atLeast"/>
          <w:jc w:val="center"/>
        </w:trPr>
        <w:tc>
          <w:tcPr>
            <w:tcW w:w="235" w:type="pct"/>
            <w:noWrap w:val="0"/>
            <w:vAlign w:val="center"/>
          </w:tcPr>
          <w:p w14:paraId="3629B795">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6</w:t>
            </w:r>
          </w:p>
        </w:tc>
        <w:tc>
          <w:tcPr>
            <w:tcW w:w="1037" w:type="pct"/>
            <w:noWrap w:val="0"/>
            <w:vAlign w:val="center"/>
          </w:tcPr>
          <w:p w14:paraId="4ED6AFC1">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柳江区农村黑臭水体治理工程</w:t>
            </w:r>
          </w:p>
        </w:tc>
        <w:tc>
          <w:tcPr>
            <w:tcW w:w="249" w:type="pct"/>
            <w:noWrap w:val="0"/>
            <w:vAlign w:val="center"/>
          </w:tcPr>
          <w:p w14:paraId="22EA59AD">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新建</w:t>
            </w:r>
          </w:p>
        </w:tc>
        <w:tc>
          <w:tcPr>
            <w:tcW w:w="1843" w:type="pct"/>
            <w:noWrap w:val="0"/>
            <w:vAlign w:val="center"/>
          </w:tcPr>
          <w:p w14:paraId="51403325">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实施农村黑臭水塘、水池进行治理。</w:t>
            </w:r>
          </w:p>
        </w:tc>
        <w:tc>
          <w:tcPr>
            <w:tcW w:w="443" w:type="pct"/>
            <w:noWrap w:val="0"/>
            <w:vAlign w:val="center"/>
          </w:tcPr>
          <w:p w14:paraId="064292D6">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2021-2025</w:t>
            </w:r>
          </w:p>
        </w:tc>
        <w:tc>
          <w:tcPr>
            <w:tcW w:w="381" w:type="pct"/>
            <w:noWrap w:val="0"/>
            <w:vAlign w:val="center"/>
          </w:tcPr>
          <w:p w14:paraId="20C182DC">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500</w:t>
            </w:r>
          </w:p>
        </w:tc>
        <w:tc>
          <w:tcPr>
            <w:tcW w:w="439" w:type="pct"/>
            <w:noWrap w:val="0"/>
            <w:vAlign w:val="center"/>
          </w:tcPr>
          <w:p w14:paraId="3E59DB2F">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上级资金、区财政资金</w:t>
            </w:r>
          </w:p>
        </w:tc>
        <w:tc>
          <w:tcPr>
            <w:tcW w:w="369" w:type="pct"/>
            <w:noWrap w:val="0"/>
            <w:vAlign w:val="center"/>
          </w:tcPr>
          <w:p w14:paraId="48C93738">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柳江区水利局</w:t>
            </w:r>
          </w:p>
        </w:tc>
      </w:tr>
      <w:tr w14:paraId="20EC1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90" w:hRule="atLeast"/>
          <w:jc w:val="center"/>
        </w:trPr>
        <w:tc>
          <w:tcPr>
            <w:tcW w:w="235" w:type="pct"/>
            <w:noWrap w:val="0"/>
            <w:vAlign w:val="center"/>
          </w:tcPr>
          <w:p w14:paraId="55B7CE31">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b/>
                <w:bCs/>
                <w:sz w:val="24"/>
                <w:szCs w:val="24"/>
                <w:highlight w:val="none"/>
                <w:lang w:eastAsia="zh-CN"/>
              </w:rPr>
            </w:pPr>
            <w:r>
              <w:rPr>
                <w:rFonts w:hint="default" w:eastAsia="仿宋_GB2312" w:cs="Times New Roman"/>
                <w:b/>
                <w:bCs/>
                <w:sz w:val="24"/>
                <w:szCs w:val="24"/>
                <w:highlight w:val="none"/>
                <w:lang w:eastAsia="zh-CN"/>
              </w:rPr>
              <w:t>三、</w:t>
            </w:r>
          </w:p>
        </w:tc>
        <w:tc>
          <w:tcPr>
            <w:tcW w:w="1037" w:type="pct"/>
            <w:noWrap w:val="0"/>
            <w:vAlign w:val="center"/>
          </w:tcPr>
          <w:p w14:paraId="54FA786F">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b/>
                <w:bCs/>
                <w:sz w:val="24"/>
                <w:szCs w:val="24"/>
                <w:highlight w:val="none"/>
                <w:lang w:eastAsia="zh-CN"/>
              </w:rPr>
            </w:pPr>
            <w:r>
              <w:rPr>
                <w:rFonts w:hint="default" w:eastAsia="仿宋_GB2312" w:cs="Times New Roman"/>
                <w:b/>
                <w:bCs/>
                <w:sz w:val="24"/>
                <w:szCs w:val="24"/>
                <w:highlight w:val="none"/>
                <w:lang w:eastAsia="zh-CN"/>
              </w:rPr>
              <w:t>生态空间体系建设项目</w:t>
            </w:r>
          </w:p>
        </w:tc>
        <w:tc>
          <w:tcPr>
            <w:tcW w:w="249" w:type="pct"/>
            <w:noWrap w:val="0"/>
            <w:vAlign w:val="center"/>
          </w:tcPr>
          <w:p w14:paraId="6C19B064">
            <w:pPr>
              <w:keepNext w:val="0"/>
              <w:keepLines w:val="0"/>
              <w:pageBreakBefore w:val="0"/>
              <w:kinsoku/>
              <w:wordWrap/>
              <w:overflowPunct/>
              <w:topLinePunct w:val="0"/>
              <w:autoSpaceDE/>
              <w:autoSpaceDN/>
              <w:bidi w:val="0"/>
              <w:adjustRightInd w:val="0"/>
              <w:snapToGrid w:val="0"/>
              <w:spacing w:line="360" w:lineRule="exact"/>
              <w:ind w:firstLine="0" w:firstLineChars="0"/>
              <w:jc w:val="center"/>
              <w:textAlignment w:val="center"/>
              <w:rPr>
                <w:rFonts w:hint="default" w:ascii="Times New Roman" w:hAnsi="Times New Roman" w:eastAsia="仿宋" w:cs="Times New Roman"/>
                <w:sz w:val="24"/>
                <w:szCs w:val="24"/>
                <w:highlight w:val="yellow"/>
              </w:rPr>
            </w:pPr>
          </w:p>
        </w:tc>
        <w:tc>
          <w:tcPr>
            <w:tcW w:w="1843" w:type="pct"/>
            <w:noWrap w:val="0"/>
            <w:vAlign w:val="center"/>
          </w:tcPr>
          <w:p w14:paraId="0E353465">
            <w:pPr>
              <w:keepNext w:val="0"/>
              <w:keepLines w:val="0"/>
              <w:pageBreakBefore w:val="0"/>
              <w:kinsoku/>
              <w:wordWrap/>
              <w:overflowPunct/>
              <w:topLinePunct w:val="0"/>
              <w:autoSpaceDE/>
              <w:autoSpaceDN/>
              <w:bidi w:val="0"/>
              <w:adjustRightInd w:val="0"/>
              <w:snapToGrid w:val="0"/>
              <w:spacing w:line="360" w:lineRule="exact"/>
              <w:ind w:firstLine="0" w:firstLineChars="0"/>
              <w:textAlignment w:val="center"/>
              <w:rPr>
                <w:rFonts w:hint="default" w:ascii="Times New Roman" w:hAnsi="Times New Roman" w:eastAsia="仿宋" w:cs="Times New Roman"/>
                <w:sz w:val="24"/>
                <w:szCs w:val="24"/>
                <w:highlight w:val="yellow"/>
              </w:rPr>
            </w:pPr>
          </w:p>
        </w:tc>
        <w:tc>
          <w:tcPr>
            <w:tcW w:w="443" w:type="pct"/>
            <w:noWrap w:val="0"/>
            <w:vAlign w:val="center"/>
          </w:tcPr>
          <w:p w14:paraId="4C3CAF47">
            <w:pPr>
              <w:keepNext w:val="0"/>
              <w:keepLines w:val="0"/>
              <w:pageBreakBefore w:val="0"/>
              <w:kinsoku/>
              <w:wordWrap/>
              <w:overflowPunct/>
              <w:topLinePunct w:val="0"/>
              <w:autoSpaceDE/>
              <w:autoSpaceDN/>
              <w:bidi w:val="0"/>
              <w:adjustRightInd w:val="0"/>
              <w:snapToGrid w:val="0"/>
              <w:spacing w:line="360" w:lineRule="exact"/>
              <w:ind w:firstLine="0" w:firstLineChars="0"/>
              <w:jc w:val="center"/>
              <w:textAlignment w:val="center"/>
              <w:rPr>
                <w:rFonts w:hint="default" w:ascii="Times New Roman" w:hAnsi="Times New Roman" w:eastAsia="仿宋" w:cs="Times New Roman"/>
                <w:sz w:val="24"/>
                <w:szCs w:val="24"/>
                <w:highlight w:val="yellow"/>
              </w:rPr>
            </w:pPr>
          </w:p>
        </w:tc>
        <w:tc>
          <w:tcPr>
            <w:tcW w:w="381" w:type="pct"/>
            <w:noWrap w:val="0"/>
            <w:vAlign w:val="center"/>
          </w:tcPr>
          <w:p w14:paraId="0A215563">
            <w:pPr>
              <w:keepNext w:val="0"/>
              <w:keepLines w:val="0"/>
              <w:pageBreakBefore w:val="0"/>
              <w:widowControl/>
              <w:kinsoku/>
              <w:wordWrap/>
              <w:overflowPunct/>
              <w:topLinePunct w:val="0"/>
              <w:autoSpaceDE/>
              <w:autoSpaceDN/>
              <w:bidi w:val="0"/>
              <w:spacing w:line="360" w:lineRule="exact"/>
              <w:ind w:firstLine="0" w:firstLineChars="0"/>
              <w:jc w:val="center"/>
              <w:textAlignment w:val="center"/>
              <w:rPr>
                <w:rFonts w:hint="default" w:ascii="Times New Roman" w:hAnsi="Times New Roman" w:eastAsia="仿宋" w:cs="Times New Roman"/>
                <w:b/>
                <w:bCs/>
                <w:sz w:val="24"/>
                <w:szCs w:val="24"/>
                <w:highlight w:val="yellow"/>
              </w:rPr>
            </w:pPr>
          </w:p>
        </w:tc>
        <w:tc>
          <w:tcPr>
            <w:tcW w:w="439" w:type="pct"/>
            <w:noWrap w:val="0"/>
            <w:vAlign w:val="center"/>
          </w:tcPr>
          <w:p w14:paraId="41DEAA8E">
            <w:pPr>
              <w:keepNext w:val="0"/>
              <w:keepLines w:val="0"/>
              <w:pageBreakBefore w:val="0"/>
              <w:widowControl/>
              <w:kinsoku/>
              <w:wordWrap/>
              <w:overflowPunct/>
              <w:topLinePunct w:val="0"/>
              <w:autoSpaceDE/>
              <w:autoSpaceDN/>
              <w:bidi w:val="0"/>
              <w:spacing w:line="360" w:lineRule="exact"/>
              <w:ind w:firstLine="0" w:firstLineChars="0"/>
              <w:jc w:val="center"/>
              <w:textAlignment w:val="center"/>
              <w:rPr>
                <w:rFonts w:hint="default" w:ascii="Times New Roman" w:hAnsi="Times New Roman" w:eastAsia="仿宋" w:cs="Times New Roman"/>
                <w:b/>
                <w:bCs/>
                <w:sz w:val="24"/>
                <w:szCs w:val="24"/>
                <w:highlight w:val="yellow"/>
              </w:rPr>
            </w:pPr>
          </w:p>
        </w:tc>
        <w:tc>
          <w:tcPr>
            <w:tcW w:w="369" w:type="pct"/>
            <w:noWrap w:val="0"/>
            <w:vAlign w:val="center"/>
          </w:tcPr>
          <w:p w14:paraId="32BAEEBD">
            <w:pPr>
              <w:keepNext w:val="0"/>
              <w:keepLines w:val="0"/>
              <w:pageBreakBefore w:val="0"/>
              <w:kinsoku/>
              <w:wordWrap/>
              <w:overflowPunct/>
              <w:topLinePunct w:val="0"/>
              <w:autoSpaceDE/>
              <w:autoSpaceDN/>
              <w:bidi w:val="0"/>
              <w:adjustRightInd w:val="0"/>
              <w:snapToGrid w:val="0"/>
              <w:spacing w:line="360" w:lineRule="exact"/>
              <w:ind w:firstLine="0" w:firstLineChars="0"/>
              <w:jc w:val="center"/>
              <w:textAlignment w:val="center"/>
              <w:rPr>
                <w:rFonts w:hint="default" w:ascii="Times New Roman" w:hAnsi="Times New Roman" w:eastAsia="仿宋" w:cs="Times New Roman"/>
                <w:kern w:val="0"/>
                <w:sz w:val="24"/>
                <w:szCs w:val="24"/>
                <w:highlight w:val="yellow"/>
                <w:lang w:bidi="ar"/>
              </w:rPr>
            </w:pPr>
          </w:p>
        </w:tc>
      </w:tr>
      <w:tr w14:paraId="521CC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40" w:hRule="atLeast"/>
          <w:jc w:val="center"/>
        </w:trPr>
        <w:tc>
          <w:tcPr>
            <w:tcW w:w="235" w:type="pct"/>
            <w:noWrap w:val="0"/>
            <w:vAlign w:val="center"/>
          </w:tcPr>
          <w:p w14:paraId="2E3BE754">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1</w:t>
            </w:r>
          </w:p>
        </w:tc>
        <w:tc>
          <w:tcPr>
            <w:tcW w:w="1037" w:type="pct"/>
            <w:noWrap w:val="0"/>
            <w:vAlign w:val="center"/>
          </w:tcPr>
          <w:p w14:paraId="497CCE84">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柳江区土地综合整治项目</w:t>
            </w:r>
          </w:p>
        </w:tc>
        <w:tc>
          <w:tcPr>
            <w:tcW w:w="249" w:type="pct"/>
            <w:noWrap w:val="0"/>
            <w:vAlign w:val="center"/>
          </w:tcPr>
          <w:p w14:paraId="15A6F494">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续建</w:t>
            </w:r>
          </w:p>
        </w:tc>
        <w:tc>
          <w:tcPr>
            <w:tcW w:w="1843" w:type="pct"/>
            <w:noWrap w:val="0"/>
            <w:vAlign w:val="center"/>
          </w:tcPr>
          <w:p w14:paraId="5874F528">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1.实施耕地提质改造（“旱改水”）项目约9000亩，由里高、穿山、成团、百朋、进德、拉堡、三都、土博土地综合整治项目组成；2.实施百朋全域土地综合整治与生态修复项目。建设内容为土地平整、灌溉与排水工程、田间道路、其他工程等。</w:t>
            </w:r>
          </w:p>
        </w:tc>
        <w:tc>
          <w:tcPr>
            <w:tcW w:w="443" w:type="pct"/>
            <w:noWrap w:val="0"/>
            <w:vAlign w:val="center"/>
          </w:tcPr>
          <w:p w14:paraId="676F4870">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2019-2024</w:t>
            </w:r>
          </w:p>
        </w:tc>
        <w:tc>
          <w:tcPr>
            <w:tcW w:w="381" w:type="pct"/>
            <w:noWrap w:val="0"/>
            <w:vAlign w:val="center"/>
          </w:tcPr>
          <w:p w14:paraId="1D29DD05">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45000</w:t>
            </w:r>
          </w:p>
        </w:tc>
        <w:tc>
          <w:tcPr>
            <w:tcW w:w="439" w:type="pct"/>
            <w:noWrap w:val="0"/>
            <w:vAlign w:val="center"/>
          </w:tcPr>
          <w:p w14:paraId="2518B51D">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其他资金（包括PPP、银行贷款、自筹等）</w:t>
            </w:r>
          </w:p>
        </w:tc>
        <w:tc>
          <w:tcPr>
            <w:tcW w:w="369" w:type="pct"/>
            <w:noWrap w:val="0"/>
            <w:vAlign w:val="center"/>
          </w:tcPr>
          <w:p w14:paraId="6D04F350">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柳江区自然资源局</w:t>
            </w:r>
          </w:p>
        </w:tc>
      </w:tr>
      <w:tr w14:paraId="798BA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40" w:hRule="atLeast"/>
          <w:jc w:val="center"/>
        </w:trPr>
        <w:tc>
          <w:tcPr>
            <w:tcW w:w="235" w:type="pct"/>
            <w:noWrap w:val="0"/>
            <w:vAlign w:val="center"/>
          </w:tcPr>
          <w:p w14:paraId="14AC1029">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2</w:t>
            </w:r>
          </w:p>
        </w:tc>
        <w:tc>
          <w:tcPr>
            <w:tcW w:w="1037" w:type="pct"/>
            <w:noWrap w:val="0"/>
            <w:vAlign w:val="center"/>
          </w:tcPr>
          <w:p w14:paraId="0B282C76">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柳江区石漠化综合治理工程</w:t>
            </w:r>
          </w:p>
        </w:tc>
        <w:tc>
          <w:tcPr>
            <w:tcW w:w="249" w:type="pct"/>
            <w:noWrap w:val="0"/>
            <w:vAlign w:val="center"/>
          </w:tcPr>
          <w:p w14:paraId="164919D2">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新建</w:t>
            </w:r>
          </w:p>
        </w:tc>
        <w:tc>
          <w:tcPr>
            <w:tcW w:w="1843" w:type="pct"/>
            <w:noWrap w:val="0"/>
            <w:vAlign w:val="center"/>
          </w:tcPr>
          <w:p w14:paraId="30435DCE">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治理岩溶土地面积115平方公里，治理石漠化面积45平方公里。</w:t>
            </w:r>
          </w:p>
        </w:tc>
        <w:tc>
          <w:tcPr>
            <w:tcW w:w="443" w:type="pct"/>
            <w:noWrap w:val="0"/>
            <w:vAlign w:val="center"/>
          </w:tcPr>
          <w:p w14:paraId="5AB456E7">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2021-2025</w:t>
            </w:r>
          </w:p>
        </w:tc>
        <w:tc>
          <w:tcPr>
            <w:tcW w:w="381" w:type="pct"/>
            <w:noWrap w:val="0"/>
            <w:vAlign w:val="center"/>
          </w:tcPr>
          <w:p w14:paraId="5E564F33">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5000</w:t>
            </w:r>
          </w:p>
        </w:tc>
        <w:tc>
          <w:tcPr>
            <w:tcW w:w="439" w:type="pct"/>
            <w:noWrap w:val="0"/>
            <w:vAlign w:val="center"/>
          </w:tcPr>
          <w:p w14:paraId="47576724">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上级资金</w:t>
            </w:r>
          </w:p>
        </w:tc>
        <w:tc>
          <w:tcPr>
            <w:tcW w:w="369" w:type="pct"/>
            <w:noWrap w:val="0"/>
            <w:vAlign w:val="center"/>
          </w:tcPr>
          <w:p w14:paraId="405CE8EC">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柳江区发改局</w:t>
            </w:r>
          </w:p>
        </w:tc>
      </w:tr>
      <w:tr w14:paraId="7001D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40" w:hRule="atLeast"/>
          <w:jc w:val="center"/>
        </w:trPr>
        <w:tc>
          <w:tcPr>
            <w:tcW w:w="235" w:type="pct"/>
            <w:noWrap w:val="0"/>
            <w:vAlign w:val="center"/>
          </w:tcPr>
          <w:p w14:paraId="70A6EBE0">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b/>
                <w:bCs/>
                <w:sz w:val="24"/>
                <w:szCs w:val="24"/>
                <w:highlight w:val="none"/>
                <w:lang w:eastAsia="zh-CN"/>
              </w:rPr>
            </w:pPr>
            <w:r>
              <w:rPr>
                <w:rFonts w:hint="default" w:eastAsia="仿宋_GB2312" w:cs="Times New Roman"/>
                <w:b/>
                <w:bCs/>
                <w:sz w:val="24"/>
                <w:szCs w:val="24"/>
                <w:highlight w:val="none"/>
                <w:lang w:eastAsia="zh-CN"/>
              </w:rPr>
              <w:t>四、</w:t>
            </w:r>
          </w:p>
        </w:tc>
        <w:tc>
          <w:tcPr>
            <w:tcW w:w="1037" w:type="pct"/>
            <w:noWrap w:val="0"/>
            <w:vAlign w:val="center"/>
          </w:tcPr>
          <w:p w14:paraId="74F32563">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b/>
                <w:bCs/>
                <w:sz w:val="24"/>
                <w:szCs w:val="24"/>
                <w:highlight w:val="none"/>
                <w:lang w:eastAsia="zh-CN"/>
              </w:rPr>
            </w:pPr>
            <w:r>
              <w:rPr>
                <w:rFonts w:hint="default" w:eastAsia="仿宋_GB2312" w:cs="Times New Roman"/>
                <w:b/>
                <w:bCs/>
                <w:sz w:val="24"/>
                <w:szCs w:val="24"/>
                <w:highlight w:val="none"/>
                <w:lang w:eastAsia="zh-CN"/>
              </w:rPr>
              <w:t>生态经济体系建设项目</w:t>
            </w:r>
          </w:p>
        </w:tc>
        <w:tc>
          <w:tcPr>
            <w:tcW w:w="249" w:type="pct"/>
            <w:noWrap w:val="0"/>
            <w:vAlign w:val="center"/>
          </w:tcPr>
          <w:p w14:paraId="1F07E92A">
            <w:pPr>
              <w:keepNext w:val="0"/>
              <w:keepLines w:val="0"/>
              <w:pageBreakBefore w:val="0"/>
              <w:kinsoku/>
              <w:wordWrap/>
              <w:overflowPunct/>
              <w:topLinePunct w:val="0"/>
              <w:autoSpaceDE/>
              <w:autoSpaceDN/>
              <w:bidi w:val="0"/>
              <w:adjustRightInd w:val="0"/>
              <w:snapToGrid w:val="0"/>
              <w:spacing w:line="360" w:lineRule="exact"/>
              <w:ind w:firstLine="0" w:firstLineChars="0"/>
              <w:jc w:val="center"/>
              <w:textAlignment w:val="center"/>
              <w:rPr>
                <w:rFonts w:hint="default" w:ascii="Times New Roman" w:hAnsi="Times New Roman" w:eastAsia="仿宋" w:cs="Times New Roman"/>
                <w:sz w:val="24"/>
                <w:szCs w:val="24"/>
                <w:highlight w:val="yellow"/>
              </w:rPr>
            </w:pPr>
          </w:p>
        </w:tc>
        <w:tc>
          <w:tcPr>
            <w:tcW w:w="1843" w:type="pct"/>
            <w:noWrap w:val="0"/>
            <w:vAlign w:val="center"/>
          </w:tcPr>
          <w:p w14:paraId="3EEE8B1A">
            <w:pPr>
              <w:keepNext w:val="0"/>
              <w:keepLines w:val="0"/>
              <w:pageBreakBefore w:val="0"/>
              <w:kinsoku/>
              <w:wordWrap/>
              <w:overflowPunct/>
              <w:topLinePunct w:val="0"/>
              <w:autoSpaceDE/>
              <w:autoSpaceDN/>
              <w:bidi w:val="0"/>
              <w:adjustRightInd w:val="0"/>
              <w:snapToGrid w:val="0"/>
              <w:spacing w:line="360" w:lineRule="exact"/>
              <w:ind w:firstLine="0" w:firstLineChars="0"/>
              <w:textAlignment w:val="center"/>
              <w:rPr>
                <w:rFonts w:hint="default" w:ascii="Times New Roman" w:hAnsi="Times New Roman" w:eastAsia="仿宋" w:cs="Times New Roman"/>
                <w:sz w:val="24"/>
                <w:szCs w:val="24"/>
                <w:highlight w:val="yellow"/>
              </w:rPr>
            </w:pPr>
          </w:p>
        </w:tc>
        <w:tc>
          <w:tcPr>
            <w:tcW w:w="443" w:type="pct"/>
            <w:noWrap w:val="0"/>
            <w:vAlign w:val="center"/>
          </w:tcPr>
          <w:p w14:paraId="7C7A5E8A">
            <w:pPr>
              <w:keepNext w:val="0"/>
              <w:keepLines w:val="0"/>
              <w:pageBreakBefore w:val="0"/>
              <w:kinsoku/>
              <w:wordWrap/>
              <w:overflowPunct/>
              <w:topLinePunct w:val="0"/>
              <w:autoSpaceDE/>
              <w:autoSpaceDN/>
              <w:bidi w:val="0"/>
              <w:adjustRightInd w:val="0"/>
              <w:snapToGrid w:val="0"/>
              <w:spacing w:line="360" w:lineRule="exact"/>
              <w:ind w:firstLine="0" w:firstLineChars="0"/>
              <w:jc w:val="center"/>
              <w:textAlignment w:val="center"/>
              <w:rPr>
                <w:rFonts w:hint="default" w:ascii="Times New Roman" w:hAnsi="Times New Roman" w:eastAsia="仿宋" w:cs="Times New Roman"/>
                <w:sz w:val="24"/>
                <w:szCs w:val="24"/>
                <w:highlight w:val="yellow"/>
              </w:rPr>
            </w:pPr>
          </w:p>
        </w:tc>
        <w:tc>
          <w:tcPr>
            <w:tcW w:w="381" w:type="pct"/>
            <w:noWrap w:val="0"/>
            <w:vAlign w:val="center"/>
          </w:tcPr>
          <w:p w14:paraId="21780E96">
            <w:pPr>
              <w:keepNext w:val="0"/>
              <w:keepLines w:val="0"/>
              <w:pageBreakBefore w:val="0"/>
              <w:widowControl/>
              <w:kinsoku/>
              <w:wordWrap/>
              <w:overflowPunct/>
              <w:topLinePunct w:val="0"/>
              <w:autoSpaceDE/>
              <w:autoSpaceDN/>
              <w:bidi w:val="0"/>
              <w:spacing w:line="360" w:lineRule="exact"/>
              <w:ind w:firstLine="0" w:firstLineChars="0"/>
              <w:jc w:val="center"/>
              <w:textAlignment w:val="center"/>
              <w:rPr>
                <w:rFonts w:hint="default" w:ascii="Times New Roman" w:hAnsi="Times New Roman" w:eastAsia="仿宋" w:cs="Times New Roman"/>
                <w:b/>
                <w:bCs/>
                <w:sz w:val="24"/>
                <w:szCs w:val="24"/>
                <w:highlight w:val="yellow"/>
              </w:rPr>
            </w:pPr>
          </w:p>
        </w:tc>
        <w:tc>
          <w:tcPr>
            <w:tcW w:w="439" w:type="pct"/>
            <w:noWrap w:val="0"/>
            <w:vAlign w:val="center"/>
          </w:tcPr>
          <w:p w14:paraId="785C5A57">
            <w:pPr>
              <w:keepNext w:val="0"/>
              <w:keepLines w:val="0"/>
              <w:pageBreakBefore w:val="0"/>
              <w:widowControl/>
              <w:kinsoku/>
              <w:wordWrap/>
              <w:overflowPunct/>
              <w:topLinePunct w:val="0"/>
              <w:autoSpaceDE/>
              <w:autoSpaceDN/>
              <w:bidi w:val="0"/>
              <w:spacing w:line="360" w:lineRule="exact"/>
              <w:ind w:firstLine="0" w:firstLineChars="0"/>
              <w:jc w:val="center"/>
              <w:textAlignment w:val="center"/>
              <w:rPr>
                <w:rFonts w:hint="default" w:ascii="Times New Roman" w:hAnsi="Times New Roman" w:eastAsia="仿宋" w:cs="Times New Roman"/>
                <w:b/>
                <w:bCs/>
                <w:sz w:val="24"/>
                <w:szCs w:val="24"/>
                <w:highlight w:val="yellow"/>
              </w:rPr>
            </w:pPr>
          </w:p>
        </w:tc>
        <w:tc>
          <w:tcPr>
            <w:tcW w:w="369" w:type="pct"/>
            <w:noWrap w:val="0"/>
            <w:vAlign w:val="center"/>
          </w:tcPr>
          <w:p w14:paraId="4D643E38">
            <w:pPr>
              <w:keepNext w:val="0"/>
              <w:keepLines w:val="0"/>
              <w:pageBreakBefore w:val="0"/>
              <w:kinsoku/>
              <w:wordWrap/>
              <w:overflowPunct/>
              <w:topLinePunct w:val="0"/>
              <w:autoSpaceDE/>
              <w:autoSpaceDN/>
              <w:bidi w:val="0"/>
              <w:adjustRightInd w:val="0"/>
              <w:snapToGrid w:val="0"/>
              <w:spacing w:line="360" w:lineRule="exact"/>
              <w:ind w:firstLine="0" w:firstLineChars="0"/>
              <w:jc w:val="center"/>
              <w:textAlignment w:val="center"/>
              <w:rPr>
                <w:rFonts w:hint="default" w:ascii="Times New Roman" w:hAnsi="Times New Roman" w:eastAsia="仿宋" w:cs="Times New Roman"/>
                <w:sz w:val="24"/>
                <w:szCs w:val="24"/>
                <w:highlight w:val="yellow"/>
              </w:rPr>
            </w:pPr>
          </w:p>
        </w:tc>
      </w:tr>
      <w:tr w14:paraId="3711D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40" w:hRule="atLeast"/>
          <w:jc w:val="center"/>
        </w:trPr>
        <w:tc>
          <w:tcPr>
            <w:tcW w:w="235" w:type="pct"/>
            <w:noWrap w:val="0"/>
            <w:vAlign w:val="center"/>
          </w:tcPr>
          <w:p w14:paraId="617DE0C9">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1</w:t>
            </w:r>
          </w:p>
        </w:tc>
        <w:tc>
          <w:tcPr>
            <w:tcW w:w="1037" w:type="pct"/>
            <w:noWrap w:val="0"/>
            <w:vAlign w:val="center"/>
          </w:tcPr>
          <w:p w14:paraId="29159872">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柳州市岩冲现代农业循环核心示范区农光互补光伏项目</w:t>
            </w:r>
          </w:p>
        </w:tc>
        <w:tc>
          <w:tcPr>
            <w:tcW w:w="249" w:type="pct"/>
            <w:noWrap w:val="0"/>
            <w:vAlign w:val="center"/>
          </w:tcPr>
          <w:p w14:paraId="553D7C31">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新建</w:t>
            </w:r>
          </w:p>
        </w:tc>
        <w:tc>
          <w:tcPr>
            <w:tcW w:w="1843" w:type="pct"/>
            <w:noWrap w:val="0"/>
            <w:vAlign w:val="center"/>
          </w:tcPr>
          <w:p w14:paraId="637F5793">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项目总用地面积1200亩，一期工程装机容量80MW，经3路10kV线路并网送出。主要建设内容包括架设光伏板、铺设电缆、安装逆变电设施、新建机房及设备安装等。</w:t>
            </w:r>
          </w:p>
        </w:tc>
        <w:tc>
          <w:tcPr>
            <w:tcW w:w="443" w:type="pct"/>
            <w:noWrap w:val="0"/>
            <w:vAlign w:val="center"/>
          </w:tcPr>
          <w:p w14:paraId="3BF12862">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2023-2023</w:t>
            </w:r>
          </w:p>
        </w:tc>
        <w:tc>
          <w:tcPr>
            <w:tcW w:w="381" w:type="pct"/>
            <w:noWrap w:val="0"/>
            <w:vAlign w:val="center"/>
          </w:tcPr>
          <w:p w14:paraId="0B3782FA">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 xml:space="preserve">36000 </w:t>
            </w:r>
          </w:p>
        </w:tc>
        <w:tc>
          <w:tcPr>
            <w:tcW w:w="439" w:type="pct"/>
            <w:noWrap w:val="0"/>
            <w:vAlign w:val="center"/>
          </w:tcPr>
          <w:p w14:paraId="27CC1475">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其他资金（包括PPP、银行贷款、自筹等）</w:t>
            </w:r>
          </w:p>
        </w:tc>
        <w:tc>
          <w:tcPr>
            <w:tcW w:w="369" w:type="pct"/>
            <w:noWrap w:val="0"/>
            <w:vAlign w:val="center"/>
          </w:tcPr>
          <w:p w14:paraId="58F55E1A">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柳江区发展改革局</w:t>
            </w:r>
          </w:p>
        </w:tc>
      </w:tr>
      <w:tr w14:paraId="35A98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40" w:hRule="atLeast"/>
          <w:jc w:val="center"/>
        </w:trPr>
        <w:tc>
          <w:tcPr>
            <w:tcW w:w="235" w:type="pct"/>
            <w:noWrap w:val="0"/>
            <w:vAlign w:val="center"/>
          </w:tcPr>
          <w:p w14:paraId="7549390A">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2</w:t>
            </w:r>
          </w:p>
        </w:tc>
        <w:tc>
          <w:tcPr>
            <w:tcW w:w="1037" w:type="pct"/>
            <w:noWrap w:val="0"/>
            <w:vAlign w:val="center"/>
          </w:tcPr>
          <w:p w14:paraId="60B67BDD">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柳州市柳江区屋顶分布式光伏发电项目（一期）</w:t>
            </w:r>
          </w:p>
        </w:tc>
        <w:tc>
          <w:tcPr>
            <w:tcW w:w="249" w:type="pct"/>
            <w:noWrap w:val="0"/>
            <w:vAlign w:val="center"/>
          </w:tcPr>
          <w:p w14:paraId="52B06CE0">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新建</w:t>
            </w:r>
          </w:p>
        </w:tc>
        <w:tc>
          <w:tcPr>
            <w:tcW w:w="1843" w:type="pct"/>
            <w:noWrap w:val="0"/>
            <w:vAlign w:val="center"/>
          </w:tcPr>
          <w:p w14:paraId="2BB817AC">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项目规划光伏装机容量100MW，配套建设储能系统。主要在机关、学校、医疗机构场所屋顶架设光伏板、铺设电缆、安装逆变电设施、新建机房及设备安装等。</w:t>
            </w:r>
          </w:p>
        </w:tc>
        <w:tc>
          <w:tcPr>
            <w:tcW w:w="443" w:type="pct"/>
            <w:noWrap w:val="0"/>
            <w:vAlign w:val="center"/>
          </w:tcPr>
          <w:p w14:paraId="2A7C329B">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2023-2025</w:t>
            </w:r>
          </w:p>
        </w:tc>
        <w:tc>
          <w:tcPr>
            <w:tcW w:w="381" w:type="pct"/>
            <w:noWrap w:val="0"/>
            <w:vAlign w:val="center"/>
          </w:tcPr>
          <w:p w14:paraId="2F72B945">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 xml:space="preserve">10000 </w:t>
            </w:r>
          </w:p>
        </w:tc>
        <w:tc>
          <w:tcPr>
            <w:tcW w:w="439" w:type="pct"/>
            <w:noWrap w:val="0"/>
            <w:vAlign w:val="center"/>
          </w:tcPr>
          <w:p w14:paraId="436A9875">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其他资金（包括PPP、银行贷款、自筹等）</w:t>
            </w:r>
          </w:p>
        </w:tc>
        <w:tc>
          <w:tcPr>
            <w:tcW w:w="369" w:type="pct"/>
            <w:noWrap w:val="0"/>
            <w:vAlign w:val="center"/>
          </w:tcPr>
          <w:p w14:paraId="159BF3DE">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柳江区发展改革局</w:t>
            </w:r>
          </w:p>
        </w:tc>
      </w:tr>
      <w:tr w14:paraId="3D017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40" w:hRule="atLeast"/>
          <w:jc w:val="center"/>
        </w:trPr>
        <w:tc>
          <w:tcPr>
            <w:tcW w:w="235" w:type="pct"/>
            <w:noWrap w:val="0"/>
            <w:vAlign w:val="center"/>
          </w:tcPr>
          <w:p w14:paraId="5254F3E2">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3</w:t>
            </w:r>
          </w:p>
        </w:tc>
        <w:tc>
          <w:tcPr>
            <w:tcW w:w="1037" w:type="pct"/>
            <w:noWrap w:val="0"/>
            <w:vAlign w:val="center"/>
          </w:tcPr>
          <w:p w14:paraId="053DE179">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柳江区“智慧+油电气”综合能源服务站项目</w:t>
            </w:r>
          </w:p>
        </w:tc>
        <w:tc>
          <w:tcPr>
            <w:tcW w:w="249" w:type="pct"/>
            <w:noWrap w:val="0"/>
            <w:vAlign w:val="center"/>
          </w:tcPr>
          <w:p w14:paraId="49F1F726">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新建</w:t>
            </w:r>
          </w:p>
        </w:tc>
        <w:tc>
          <w:tcPr>
            <w:tcW w:w="1843" w:type="pct"/>
            <w:noWrap w:val="0"/>
            <w:vAlign w:val="center"/>
          </w:tcPr>
          <w:p w14:paraId="749BECA7">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项目选址新城区，由2—3座综合能源站构成，打造形成集LNG、加氢、加油、充电换电、光伏发电、智慧洗车、智慧充电、爱心驿站、智慧支付于一体的综合能源服务体。主要建设综合服务业务用房（含司机休息室、商超、卫生间等）、储油设施、储氢设施、充电设施、光伏发电设施、变电站等，配套建设新能源车位、智慧洗车服务设施、场地硬化及铺装、绿化、道路等设施。</w:t>
            </w:r>
          </w:p>
        </w:tc>
        <w:tc>
          <w:tcPr>
            <w:tcW w:w="443" w:type="pct"/>
            <w:noWrap w:val="0"/>
            <w:vAlign w:val="center"/>
          </w:tcPr>
          <w:p w14:paraId="5306FC13">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2023-2024</w:t>
            </w:r>
          </w:p>
        </w:tc>
        <w:tc>
          <w:tcPr>
            <w:tcW w:w="381" w:type="pct"/>
            <w:noWrap w:val="0"/>
            <w:vAlign w:val="center"/>
          </w:tcPr>
          <w:p w14:paraId="3F15D71F">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 xml:space="preserve">26000 </w:t>
            </w:r>
          </w:p>
        </w:tc>
        <w:tc>
          <w:tcPr>
            <w:tcW w:w="439" w:type="pct"/>
            <w:noWrap w:val="0"/>
            <w:vAlign w:val="center"/>
          </w:tcPr>
          <w:p w14:paraId="60DAE7BA">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其他资金（包括PPP、银行贷款、自筹等）</w:t>
            </w:r>
          </w:p>
        </w:tc>
        <w:tc>
          <w:tcPr>
            <w:tcW w:w="369" w:type="pct"/>
            <w:noWrap w:val="0"/>
            <w:vAlign w:val="center"/>
          </w:tcPr>
          <w:p w14:paraId="0C57714C">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柳江新城管委会</w:t>
            </w:r>
          </w:p>
        </w:tc>
      </w:tr>
      <w:tr w14:paraId="14C35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40" w:hRule="atLeast"/>
          <w:jc w:val="center"/>
        </w:trPr>
        <w:tc>
          <w:tcPr>
            <w:tcW w:w="235" w:type="pct"/>
            <w:noWrap w:val="0"/>
            <w:vAlign w:val="center"/>
          </w:tcPr>
          <w:p w14:paraId="0D12A75F">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4</w:t>
            </w:r>
          </w:p>
        </w:tc>
        <w:tc>
          <w:tcPr>
            <w:tcW w:w="1037" w:type="pct"/>
            <w:noWrap w:val="0"/>
            <w:vAlign w:val="center"/>
          </w:tcPr>
          <w:p w14:paraId="2C083F13">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柳江区管道燃气项目</w:t>
            </w:r>
          </w:p>
        </w:tc>
        <w:tc>
          <w:tcPr>
            <w:tcW w:w="249" w:type="pct"/>
            <w:noWrap w:val="0"/>
            <w:vAlign w:val="center"/>
          </w:tcPr>
          <w:p w14:paraId="5B9E458C">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续建</w:t>
            </w:r>
          </w:p>
        </w:tc>
        <w:tc>
          <w:tcPr>
            <w:tcW w:w="1843" w:type="pct"/>
            <w:noWrap w:val="0"/>
            <w:vAlign w:val="center"/>
          </w:tcPr>
          <w:p w14:paraId="082336A6">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项目规划用地7.43亩，新建小型LNG气化站1座（规模为600立方米/小时）、高中压调压站1座（规模为3万立方米/小时）。高压天然气接收门站1座。铺设高压管道7.4公里，以及供配电、给排水、照明、道路硬化及场地铺装、景观绿化、围墙等配套设施。</w:t>
            </w:r>
          </w:p>
        </w:tc>
        <w:tc>
          <w:tcPr>
            <w:tcW w:w="443" w:type="pct"/>
            <w:noWrap w:val="0"/>
            <w:vAlign w:val="center"/>
          </w:tcPr>
          <w:p w14:paraId="4CDC5303">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2020-2024</w:t>
            </w:r>
          </w:p>
        </w:tc>
        <w:tc>
          <w:tcPr>
            <w:tcW w:w="381" w:type="pct"/>
            <w:noWrap w:val="0"/>
            <w:vAlign w:val="center"/>
          </w:tcPr>
          <w:p w14:paraId="316185CF">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19171</w:t>
            </w:r>
          </w:p>
        </w:tc>
        <w:tc>
          <w:tcPr>
            <w:tcW w:w="439" w:type="pct"/>
            <w:noWrap w:val="0"/>
            <w:vAlign w:val="center"/>
          </w:tcPr>
          <w:p w14:paraId="3BB590DC">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其他资金（包括PPP、银行贷款、自筹等）</w:t>
            </w:r>
          </w:p>
        </w:tc>
        <w:tc>
          <w:tcPr>
            <w:tcW w:w="369" w:type="pct"/>
            <w:noWrap w:val="0"/>
            <w:vAlign w:val="center"/>
          </w:tcPr>
          <w:p w14:paraId="3F487A35">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柳江区住房城乡建设局</w:t>
            </w:r>
          </w:p>
        </w:tc>
      </w:tr>
      <w:tr w14:paraId="6F788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40" w:hRule="atLeast"/>
          <w:jc w:val="center"/>
        </w:trPr>
        <w:tc>
          <w:tcPr>
            <w:tcW w:w="235" w:type="pct"/>
            <w:noWrap w:val="0"/>
            <w:vAlign w:val="center"/>
          </w:tcPr>
          <w:p w14:paraId="6733FC99">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5</w:t>
            </w:r>
          </w:p>
        </w:tc>
        <w:tc>
          <w:tcPr>
            <w:tcW w:w="1037" w:type="pct"/>
            <w:noWrap w:val="0"/>
            <w:vAlign w:val="center"/>
          </w:tcPr>
          <w:p w14:paraId="3D089EC5">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柳江区百朋荷苑景区创国家4A景区建设项目（柳江区百朋乡村振兴及生态旅游建设一期项目）</w:t>
            </w:r>
          </w:p>
        </w:tc>
        <w:tc>
          <w:tcPr>
            <w:tcW w:w="249" w:type="pct"/>
            <w:noWrap w:val="0"/>
            <w:vAlign w:val="center"/>
          </w:tcPr>
          <w:p w14:paraId="23A5ACFE">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续建</w:t>
            </w:r>
          </w:p>
        </w:tc>
        <w:tc>
          <w:tcPr>
            <w:tcW w:w="1843" w:type="pct"/>
            <w:noWrap w:val="0"/>
            <w:vAlign w:val="center"/>
          </w:tcPr>
          <w:p w14:paraId="184730D9">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项目选址百朋荷苑景区，实施4A景区改造提升、景区整体景观亮化、乡村风貌改造提升等工程。</w:t>
            </w:r>
          </w:p>
        </w:tc>
        <w:tc>
          <w:tcPr>
            <w:tcW w:w="443" w:type="pct"/>
            <w:noWrap w:val="0"/>
            <w:vAlign w:val="center"/>
          </w:tcPr>
          <w:p w14:paraId="167E1E27">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2021-2025</w:t>
            </w:r>
          </w:p>
        </w:tc>
        <w:tc>
          <w:tcPr>
            <w:tcW w:w="381" w:type="pct"/>
            <w:noWrap w:val="0"/>
            <w:vAlign w:val="center"/>
          </w:tcPr>
          <w:p w14:paraId="29B2CC1F">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25595</w:t>
            </w:r>
          </w:p>
        </w:tc>
        <w:tc>
          <w:tcPr>
            <w:tcW w:w="439" w:type="pct"/>
            <w:noWrap w:val="0"/>
            <w:vAlign w:val="center"/>
          </w:tcPr>
          <w:p w14:paraId="0BD72D9C">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其他资金（包括PPP、银行贷款、自筹等）</w:t>
            </w:r>
          </w:p>
        </w:tc>
        <w:tc>
          <w:tcPr>
            <w:tcW w:w="369" w:type="pct"/>
            <w:noWrap w:val="0"/>
            <w:vAlign w:val="center"/>
          </w:tcPr>
          <w:p w14:paraId="480912F7">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柳江区文体广电旅游局</w:t>
            </w:r>
          </w:p>
        </w:tc>
      </w:tr>
      <w:tr w14:paraId="4483B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40" w:hRule="atLeast"/>
          <w:jc w:val="center"/>
        </w:trPr>
        <w:tc>
          <w:tcPr>
            <w:tcW w:w="235" w:type="pct"/>
            <w:noWrap w:val="0"/>
            <w:vAlign w:val="center"/>
          </w:tcPr>
          <w:p w14:paraId="6F84179C">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6</w:t>
            </w:r>
          </w:p>
        </w:tc>
        <w:tc>
          <w:tcPr>
            <w:tcW w:w="1037" w:type="pct"/>
            <w:noWrap w:val="0"/>
            <w:vAlign w:val="center"/>
          </w:tcPr>
          <w:p w14:paraId="62B535FC">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岜公塘公园及体育公园文化旅游运营建设项目</w:t>
            </w:r>
          </w:p>
        </w:tc>
        <w:tc>
          <w:tcPr>
            <w:tcW w:w="249" w:type="pct"/>
            <w:noWrap w:val="0"/>
            <w:vAlign w:val="center"/>
          </w:tcPr>
          <w:p w14:paraId="0DD5903B">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新建</w:t>
            </w:r>
          </w:p>
        </w:tc>
        <w:tc>
          <w:tcPr>
            <w:tcW w:w="1843" w:type="pct"/>
            <w:noWrap w:val="0"/>
            <w:vAlign w:val="center"/>
          </w:tcPr>
          <w:p w14:paraId="26039AAE">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1.选址岜公塘公园，新建星乐度露营乐园（无动力游乐、房车营地、星空帐篷、百变迷宫、特色树屋、摄影基地、私人厨房、特色街区、文旅纪念品开发等）。建设红色文化和研学基地（红色文化演艺剧场、红船文化、水利文化展览馆、生态科普类展示等）。开发休闲娱乐及特色服务区（长颈鹿餐厅、星巴克等高端精品餐饮，摩天轮、蹦极等户外拓展，水上游乐设施、高端精品民宿、粉色沙滩、萌宠乐园、便民歇息站等）。形成网红花海、星空秋千等打卡景点，打造成广西最美的休闲生态公园。</w:t>
            </w:r>
          </w:p>
          <w:p w14:paraId="0F4B8F03">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2.选址体育公园，新建休闲体验中心、潮玩运动专区、电竞挑战区、休闲美食区、时尚健身区、水上乐园等，打造集体育比赛、健康运动、大型活动、休闲娱乐、旅游览景为一体的综合文体场所。</w:t>
            </w:r>
          </w:p>
        </w:tc>
        <w:tc>
          <w:tcPr>
            <w:tcW w:w="443" w:type="pct"/>
            <w:noWrap w:val="0"/>
            <w:vAlign w:val="center"/>
          </w:tcPr>
          <w:p w14:paraId="4629A02D">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2023-2026</w:t>
            </w:r>
          </w:p>
        </w:tc>
        <w:tc>
          <w:tcPr>
            <w:tcW w:w="381" w:type="pct"/>
            <w:noWrap w:val="0"/>
            <w:vAlign w:val="center"/>
          </w:tcPr>
          <w:p w14:paraId="16AA8EC3">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15000</w:t>
            </w:r>
          </w:p>
        </w:tc>
        <w:tc>
          <w:tcPr>
            <w:tcW w:w="439" w:type="pct"/>
            <w:noWrap w:val="0"/>
            <w:vAlign w:val="center"/>
          </w:tcPr>
          <w:p w14:paraId="1354373D">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其他资金（包括PPP、银行贷款、自筹等）</w:t>
            </w:r>
          </w:p>
        </w:tc>
        <w:tc>
          <w:tcPr>
            <w:tcW w:w="369" w:type="pct"/>
            <w:noWrap w:val="0"/>
            <w:vAlign w:val="center"/>
          </w:tcPr>
          <w:p w14:paraId="57766970">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柳江区文体广电旅游局</w:t>
            </w:r>
          </w:p>
        </w:tc>
      </w:tr>
      <w:tr w14:paraId="50735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40" w:hRule="atLeast"/>
          <w:jc w:val="center"/>
        </w:trPr>
        <w:tc>
          <w:tcPr>
            <w:tcW w:w="235" w:type="pct"/>
            <w:noWrap w:val="0"/>
            <w:vAlign w:val="center"/>
          </w:tcPr>
          <w:p w14:paraId="7EA0F6AC">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7</w:t>
            </w:r>
          </w:p>
        </w:tc>
        <w:tc>
          <w:tcPr>
            <w:tcW w:w="1037" w:type="pct"/>
            <w:noWrap w:val="0"/>
            <w:vAlign w:val="center"/>
          </w:tcPr>
          <w:p w14:paraId="561042D2">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柳州市废旧锂电池资源化综合利用项目</w:t>
            </w:r>
          </w:p>
        </w:tc>
        <w:tc>
          <w:tcPr>
            <w:tcW w:w="249" w:type="pct"/>
            <w:noWrap w:val="0"/>
            <w:vAlign w:val="center"/>
          </w:tcPr>
          <w:p w14:paraId="463E3D18">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新建</w:t>
            </w:r>
          </w:p>
        </w:tc>
        <w:tc>
          <w:tcPr>
            <w:tcW w:w="1843" w:type="pct"/>
            <w:noWrap w:val="0"/>
            <w:vAlign w:val="center"/>
          </w:tcPr>
          <w:p w14:paraId="653BD27C">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项目选址成团镇，规划总用地面积约152亩。一期第一阶段建设回收利用废旧锂电池2万吨/年（折合3.5GW），新建电池拆解车间、电池破碎车间、湿法冶金车间，主要用于生产硫酸锰、硫酸钴、硫酸镍、硫酸锂等产品，一期第二阶段新增回收利用废旧锂电池2万吨/年（折合3.5GW），拆解报废再利用汽车1.5万辆/年。项目达产产值10亿元以上。</w:t>
            </w:r>
          </w:p>
        </w:tc>
        <w:tc>
          <w:tcPr>
            <w:tcW w:w="443" w:type="pct"/>
            <w:noWrap w:val="0"/>
            <w:vAlign w:val="center"/>
          </w:tcPr>
          <w:p w14:paraId="785159C9">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2023-2026</w:t>
            </w:r>
          </w:p>
        </w:tc>
        <w:tc>
          <w:tcPr>
            <w:tcW w:w="381" w:type="pct"/>
            <w:noWrap w:val="0"/>
            <w:vAlign w:val="center"/>
          </w:tcPr>
          <w:p w14:paraId="38F5E148">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82000</w:t>
            </w:r>
          </w:p>
        </w:tc>
        <w:tc>
          <w:tcPr>
            <w:tcW w:w="439" w:type="pct"/>
            <w:noWrap w:val="0"/>
            <w:vAlign w:val="center"/>
          </w:tcPr>
          <w:p w14:paraId="6A5B78FE">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其他资金（包括PPP、银行贷款、自筹等）</w:t>
            </w:r>
          </w:p>
        </w:tc>
        <w:tc>
          <w:tcPr>
            <w:tcW w:w="369" w:type="pct"/>
            <w:noWrap w:val="0"/>
            <w:vAlign w:val="center"/>
          </w:tcPr>
          <w:p w14:paraId="48D5F4B1">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柳江区工业和信息化局</w:t>
            </w:r>
          </w:p>
        </w:tc>
      </w:tr>
      <w:tr w14:paraId="58F15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40" w:hRule="atLeast"/>
          <w:jc w:val="center"/>
        </w:trPr>
        <w:tc>
          <w:tcPr>
            <w:tcW w:w="235" w:type="pct"/>
            <w:noWrap w:val="0"/>
            <w:vAlign w:val="center"/>
          </w:tcPr>
          <w:p w14:paraId="715396AF">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8</w:t>
            </w:r>
          </w:p>
        </w:tc>
        <w:tc>
          <w:tcPr>
            <w:tcW w:w="1037" w:type="pct"/>
            <w:noWrap w:val="0"/>
            <w:vAlign w:val="center"/>
          </w:tcPr>
          <w:p w14:paraId="64AC3E41">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中丹种猪广西繁育产业化示范园项目</w:t>
            </w:r>
          </w:p>
        </w:tc>
        <w:tc>
          <w:tcPr>
            <w:tcW w:w="249" w:type="pct"/>
            <w:noWrap w:val="0"/>
            <w:vAlign w:val="center"/>
          </w:tcPr>
          <w:p w14:paraId="3C8A859F">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续建</w:t>
            </w:r>
          </w:p>
        </w:tc>
        <w:tc>
          <w:tcPr>
            <w:tcW w:w="1843" w:type="pct"/>
            <w:noWrap w:val="0"/>
            <w:vAlign w:val="center"/>
          </w:tcPr>
          <w:p w14:paraId="1BC535D2">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项目选址百朋种畜场及穿山镇，规划用地约870亩，总建筑面积23.8万平方米。新建2条生产线（配怀舍、分娩舍、后备舍、公猪舍、种猪健康测定中心、种猪繁育研发中心及配套设施），形成5000头祖代种猪（母猪）产能，年出栏仔猪 5.04万头、商品断奶仔猪39.6万头。</w:t>
            </w:r>
          </w:p>
        </w:tc>
        <w:tc>
          <w:tcPr>
            <w:tcW w:w="443" w:type="pct"/>
            <w:noWrap w:val="0"/>
            <w:vAlign w:val="center"/>
          </w:tcPr>
          <w:p w14:paraId="3DD07455">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2020-2024</w:t>
            </w:r>
          </w:p>
        </w:tc>
        <w:tc>
          <w:tcPr>
            <w:tcW w:w="381" w:type="pct"/>
            <w:noWrap w:val="0"/>
            <w:vAlign w:val="center"/>
          </w:tcPr>
          <w:p w14:paraId="5A1E7E3B">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81000</w:t>
            </w:r>
          </w:p>
        </w:tc>
        <w:tc>
          <w:tcPr>
            <w:tcW w:w="439" w:type="pct"/>
            <w:noWrap w:val="0"/>
            <w:vAlign w:val="center"/>
          </w:tcPr>
          <w:p w14:paraId="5EA71910">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其他资金（包括PPP、银行贷款、自筹等）</w:t>
            </w:r>
          </w:p>
        </w:tc>
        <w:tc>
          <w:tcPr>
            <w:tcW w:w="369" w:type="pct"/>
            <w:noWrap w:val="0"/>
            <w:vAlign w:val="center"/>
          </w:tcPr>
          <w:p w14:paraId="680AA0B9">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柳江区农业农村局</w:t>
            </w:r>
          </w:p>
        </w:tc>
      </w:tr>
      <w:tr w14:paraId="4A312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40" w:hRule="atLeast"/>
          <w:jc w:val="center"/>
        </w:trPr>
        <w:tc>
          <w:tcPr>
            <w:tcW w:w="235" w:type="pct"/>
            <w:noWrap w:val="0"/>
            <w:vAlign w:val="center"/>
          </w:tcPr>
          <w:p w14:paraId="2C313CE6">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9</w:t>
            </w:r>
          </w:p>
        </w:tc>
        <w:tc>
          <w:tcPr>
            <w:tcW w:w="1037" w:type="pct"/>
            <w:noWrap w:val="0"/>
            <w:vAlign w:val="center"/>
          </w:tcPr>
          <w:p w14:paraId="65F6901C">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柳江区特色农产品初加工处理中心项目</w:t>
            </w:r>
          </w:p>
        </w:tc>
        <w:tc>
          <w:tcPr>
            <w:tcW w:w="249" w:type="pct"/>
            <w:noWrap w:val="0"/>
            <w:vAlign w:val="center"/>
          </w:tcPr>
          <w:p w14:paraId="725252E5">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续建</w:t>
            </w:r>
          </w:p>
        </w:tc>
        <w:tc>
          <w:tcPr>
            <w:tcW w:w="1843" w:type="pct"/>
            <w:noWrap w:val="0"/>
            <w:vAlign w:val="center"/>
          </w:tcPr>
          <w:p w14:paraId="03F1C77D">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项目选址成团镇六道村（国道G322线以南与省道S210以东交汇处），规划用地99.3亩，总建筑面积4.45万平方米。主要建设仓储用房2栋、服务管理楼1栋、处理中心1栋、香葱青花梨等农产品处理中心2栋、莲藕清洗中心2栋、冷链车间1栋等。配套建设室外停车场、道路及硬化、供配电、给排水、绿化景观等设施。</w:t>
            </w:r>
          </w:p>
        </w:tc>
        <w:tc>
          <w:tcPr>
            <w:tcW w:w="443" w:type="pct"/>
            <w:noWrap w:val="0"/>
            <w:vAlign w:val="center"/>
          </w:tcPr>
          <w:p w14:paraId="3FD03948">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2021-2024</w:t>
            </w:r>
          </w:p>
        </w:tc>
        <w:tc>
          <w:tcPr>
            <w:tcW w:w="381" w:type="pct"/>
            <w:noWrap w:val="0"/>
            <w:vAlign w:val="center"/>
          </w:tcPr>
          <w:p w14:paraId="2B54DDEE">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 xml:space="preserve">15610 </w:t>
            </w:r>
          </w:p>
        </w:tc>
        <w:tc>
          <w:tcPr>
            <w:tcW w:w="439" w:type="pct"/>
            <w:noWrap w:val="0"/>
            <w:vAlign w:val="center"/>
          </w:tcPr>
          <w:p w14:paraId="7EF5B33A">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其他资金（包括PPP、银行贷款、自筹等）</w:t>
            </w:r>
          </w:p>
        </w:tc>
        <w:tc>
          <w:tcPr>
            <w:tcW w:w="369" w:type="pct"/>
            <w:noWrap w:val="0"/>
            <w:vAlign w:val="center"/>
          </w:tcPr>
          <w:p w14:paraId="2F28B9A8">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柳江区农业农村局</w:t>
            </w:r>
          </w:p>
        </w:tc>
      </w:tr>
      <w:tr w14:paraId="21FD6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40" w:hRule="atLeast"/>
          <w:jc w:val="center"/>
        </w:trPr>
        <w:tc>
          <w:tcPr>
            <w:tcW w:w="235" w:type="pct"/>
            <w:noWrap w:val="0"/>
            <w:vAlign w:val="center"/>
          </w:tcPr>
          <w:p w14:paraId="5A6604CF">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10</w:t>
            </w:r>
          </w:p>
        </w:tc>
        <w:tc>
          <w:tcPr>
            <w:tcW w:w="1037" w:type="pct"/>
            <w:noWrap w:val="0"/>
            <w:vAlign w:val="center"/>
          </w:tcPr>
          <w:p w14:paraId="6FB5E37D">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柳江区国家储备林基地建设（一期）建设PPP项目</w:t>
            </w:r>
          </w:p>
        </w:tc>
        <w:tc>
          <w:tcPr>
            <w:tcW w:w="249" w:type="pct"/>
            <w:noWrap w:val="0"/>
            <w:vAlign w:val="center"/>
          </w:tcPr>
          <w:p w14:paraId="0E399106">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新建</w:t>
            </w:r>
          </w:p>
        </w:tc>
        <w:tc>
          <w:tcPr>
            <w:tcW w:w="1843" w:type="pct"/>
            <w:noWrap w:val="0"/>
            <w:vAlign w:val="center"/>
          </w:tcPr>
          <w:p w14:paraId="2E79D62B">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项目建设包括国家储备林基地建设、配套林业产业设施及林下经济建设和乡村振兴基础设施建设三部分，涉及林地10万亩。国家储备林基地建设主要是通过林地林木流转松树、桉树现有林，开展森林抚育和现有林改培等可持续经营技术建设国家储备林基地。配套林业产业设施及林下经济建设主要是开展林下种植，林业产业园基地建设。乡村振兴基础设施建设主要是开展乡村风貌整治、村林道路建设、生态停车场建设等。</w:t>
            </w:r>
          </w:p>
        </w:tc>
        <w:tc>
          <w:tcPr>
            <w:tcW w:w="443" w:type="pct"/>
            <w:noWrap w:val="0"/>
            <w:vAlign w:val="center"/>
          </w:tcPr>
          <w:p w14:paraId="2BDC98BE">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2023-2024</w:t>
            </w:r>
          </w:p>
        </w:tc>
        <w:tc>
          <w:tcPr>
            <w:tcW w:w="381" w:type="pct"/>
            <w:noWrap w:val="0"/>
            <w:vAlign w:val="center"/>
          </w:tcPr>
          <w:p w14:paraId="4354132A">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 xml:space="preserve">170950 </w:t>
            </w:r>
          </w:p>
        </w:tc>
        <w:tc>
          <w:tcPr>
            <w:tcW w:w="439" w:type="pct"/>
            <w:noWrap w:val="0"/>
            <w:vAlign w:val="center"/>
          </w:tcPr>
          <w:p w14:paraId="071D3B4A">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其他资金（包括PPP、银行贷款、自筹等）</w:t>
            </w:r>
          </w:p>
        </w:tc>
        <w:tc>
          <w:tcPr>
            <w:tcW w:w="369" w:type="pct"/>
            <w:noWrap w:val="0"/>
            <w:vAlign w:val="center"/>
          </w:tcPr>
          <w:p w14:paraId="3399BEF5">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柳江区自然资源局</w:t>
            </w:r>
          </w:p>
        </w:tc>
      </w:tr>
      <w:tr w14:paraId="4A7DC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40" w:hRule="atLeast"/>
          <w:jc w:val="center"/>
        </w:trPr>
        <w:tc>
          <w:tcPr>
            <w:tcW w:w="235" w:type="pct"/>
            <w:noWrap w:val="0"/>
            <w:vAlign w:val="center"/>
          </w:tcPr>
          <w:p w14:paraId="2A5C3FDA">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11</w:t>
            </w:r>
          </w:p>
        </w:tc>
        <w:tc>
          <w:tcPr>
            <w:tcW w:w="1037" w:type="pct"/>
            <w:noWrap w:val="0"/>
            <w:vAlign w:val="center"/>
          </w:tcPr>
          <w:p w14:paraId="69CAFE04">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绿嘉园生态农业科技工程项目</w:t>
            </w:r>
          </w:p>
        </w:tc>
        <w:tc>
          <w:tcPr>
            <w:tcW w:w="249" w:type="pct"/>
            <w:noWrap w:val="0"/>
            <w:vAlign w:val="center"/>
          </w:tcPr>
          <w:p w14:paraId="4ABE00B2">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续建</w:t>
            </w:r>
          </w:p>
        </w:tc>
        <w:tc>
          <w:tcPr>
            <w:tcW w:w="1843" w:type="pct"/>
            <w:noWrap w:val="0"/>
            <w:vAlign w:val="center"/>
          </w:tcPr>
          <w:p w14:paraId="346EB596">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工程规划占地150亩，集特色种植、畜禽圈养、散养、渔业、工厂化圆桶路基水产养殖、农业观光于一体。</w:t>
            </w:r>
          </w:p>
        </w:tc>
        <w:tc>
          <w:tcPr>
            <w:tcW w:w="443" w:type="pct"/>
            <w:noWrap w:val="0"/>
            <w:vAlign w:val="center"/>
          </w:tcPr>
          <w:p w14:paraId="58951014">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2021-2024</w:t>
            </w:r>
          </w:p>
        </w:tc>
        <w:tc>
          <w:tcPr>
            <w:tcW w:w="381" w:type="pct"/>
            <w:noWrap w:val="0"/>
            <w:vAlign w:val="center"/>
          </w:tcPr>
          <w:p w14:paraId="17B60186">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 xml:space="preserve">6000 </w:t>
            </w:r>
          </w:p>
        </w:tc>
        <w:tc>
          <w:tcPr>
            <w:tcW w:w="439" w:type="pct"/>
            <w:noWrap w:val="0"/>
            <w:vAlign w:val="center"/>
          </w:tcPr>
          <w:p w14:paraId="2D0F5D7B">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其他资金（包括PPP、银行贷款、自筹等）</w:t>
            </w:r>
          </w:p>
        </w:tc>
        <w:tc>
          <w:tcPr>
            <w:tcW w:w="369" w:type="pct"/>
            <w:noWrap w:val="0"/>
            <w:vAlign w:val="center"/>
          </w:tcPr>
          <w:p w14:paraId="625F7BE6">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成团镇</w:t>
            </w:r>
          </w:p>
        </w:tc>
      </w:tr>
      <w:tr w14:paraId="06E88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40" w:hRule="atLeast"/>
          <w:jc w:val="center"/>
        </w:trPr>
        <w:tc>
          <w:tcPr>
            <w:tcW w:w="235" w:type="pct"/>
            <w:noWrap w:val="0"/>
            <w:vAlign w:val="center"/>
          </w:tcPr>
          <w:p w14:paraId="2B0ABE1F">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12</w:t>
            </w:r>
          </w:p>
        </w:tc>
        <w:tc>
          <w:tcPr>
            <w:tcW w:w="1037" w:type="pct"/>
            <w:noWrap w:val="0"/>
            <w:vAlign w:val="center"/>
          </w:tcPr>
          <w:p w14:paraId="269081CB">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柳江区乡村振兴产业（螺蛳粉）融合发展示范区项目（一期）</w:t>
            </w:r>
          </w:p>
        </w:tc>
        <w:tc>
          <w:tcPr>
            <w:tcW w:w="249" w:type="pct"/>
            <w:noWrap w:val="0"/>
            <w:vAlign w:val="center"/>
          </w:tcPr>
          <w:p w14:paraId="2DF1BF4D">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新建</w:t>
            </w:r>
          </w:p>
        </w:tc>
        <w:tc>
          <w:tcPr>
            <w:tcW w:w="1843" w:type="pct"/>
            <w:noWrap w:val="0"/>
            <w:vAlign w:val="center"/>
          </w:tcPr>
          <w:p w14:paraId="1D380795">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项目选址百朋镇，规划用地约180亩，建筑面积约13万平方米。新建标准厂房建筑面积约7万平方米、物流仓储约4万平方米、管理用房约1万平方米。配套建设道路、场地硬化及铺装、景观绿化、给排水、供配电、消防、停车场等设施。</w:t>
            </w:r>
          </w:p>
        </w:tc>
        <w:tc>
          <w:tcPr>
            <w:tcW w:w="443" w:type="pct"/>
            <w:noWrap w:val="0"/>
            <w:vAlign w:val="center"/>
          </w:tcPr>
          <w:p w14:paraId="7D85C83C">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2023-2025</w:t>
            </w:r>
          </w:p>
        </w:tc>
        <w:tc>
          <w:tcPr>
            <w:tcW w:w="381" w:type="pct"/>
            <w:noWrap w:val="0"/>
            <w:vAlign w:val="center"/>
          </w:tcPr>
          <w:p w14:paraId="0D56B4CA">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 xml:space="preserve">71589 </w:t>
            </w:r>
          </w:p>
        </w:tc>
        <w:tc>
          <w:tcPr>
            <w:tcW w:w="439" w:type="pct"/>
            <w:noWrap w:val="0"/>
            <w:vAlign w:val="center"/>
          </w:tcPr>
          <w:p w14:paraId="181B4F25">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其他资金（包括PPP、银行贷款、自筹等）</w:t>
            </w:r>
          </w:p>
        </w:tc>
        <w:tc>
          <w:tcPr>
            <w:tcW w:w="369" w:type="pct"/>
            <w:noWrap w:val="0"/>
            <w:vAlign w:val="center"/>
          </w:tcPr>
          <w:p w14:paraId="61F04EF5">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柳江区委组织部</w:t>
            </w:r>
          </w:p>
        </w:tc>
      </w:tr>
      <w:tr w14:paraId="4B159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40" w:hRule="atLeast"/>
          <w:jc w:val="center"/>
        </w:trPr>
        <w:tc>
          <w:tcPr>
            <w:tcW w:w="235" w:type="pct"/>
            <w:noWrap w:val="0"/>
            <w:vAlign w:val="center"/>
          </w:tcPr>
          <w:p w14:paraId="09ECFCF6">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13</w:t>
            </w:r>
          </w:p>
        </w:tc>
        <w:tc>
          <w:tcPr>
            <w:tcW w:w="1037" w:type="pct"/>
            <w:noWrap w:val="0"/>
            <w:vAlign w:val="center"/>
          </w:tcPr>
          <w:p w14:paraId="563A9B7D">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中国－东盟（柳州）国家杂交水稻国际育种中心项目</w:t>
            </w:r>
          </w:p>
        </w:tc>
        <w:tc>
          <w:tcPr>
            <w:tcW w:w="249" w:type="pct"/>
            <w:noWrap w:val="0"/>
            <w:vAlign w:val="center"/>
          </w:tcPr>
          <w:p w14:paraId="2EF97448">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新建</w:t>
            </w:r>
          </w:p>
        </w:tc>
        <w:tc>
          <w:tcPr>
            <w:tcW w:w="1843" w:type="pct"/>
            <w:noWrap w:val="0"/>
            <w:vAlign w:val="center"/>
          </w:tcPr>
          <w:p w14:paraId="2B5C532B">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项目规划用地1万亩，总建筑面积37.96万平方米。主要建设内容包括新建杂交水稻国家重点实验室、杂交水稻新品种展示中心、科研开发区中心、国际培训中心、专家宿舍楼、国际学术交流中心、国际酒店、杂交水稻育种基地等，以及配套建设给排水、道路、场地硬化、绿化、智慧管理系统、供配电系统、空压系统、制冷系统及循环水系统、能源管理体系、信息化管理系统等设施。</w:t>
            </w:r>
          </w:p>
        </w:tc>
        <w:tc>
          <w:tcPr>
            <w:tcW w:w="443" w:type="pct"/>
            <w:noWrap w:val="0"/>
            <w:vAlign w:val="center"/>
          </w:tcPr>
          <w:p w14:paraId="76FAA9C8">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2024-2030</w:t>
            </w:r>
          </w:p>
        </w:tc>
        <w:tc>
          <w:tcPr>
            <w:tcW w:w="381" w:type="pct"/>
            <w:noWrap w:val="0"/>
            <w:vAlign w:val="center"/>
          </w:tcPr>
          <w:p w14:paraId="7CFC6C02">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 xml:space="preserve">560000 </w:t>
            </w:r>
          </w:p>
        </w:tc>
        <w:tc>
          <w:tcPr>
            <w:tcW w:w="439" w:type="pct"/>
            <w:noWrap w:val="0"/>
            <w:vAlign w:val="center"/>
          </w:tcPr>
          <w:p w14:paraId="432B4CAA">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待定</w:t>
            </w:r>
          </w:p>
        </w:tc>
        <w:tc>
          <w:tcPr>
            <w:tcW w:w="369" w:type="pct"/>
            <w:noWrap w:val="0"/>
            <w:vAlign w:val="center"/>
          </w:tcPr>
          <w:p w14:paraId="332B2956">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柳江区农业农村局</w:t>
            </w:r>
          </w:p>
        </w:tc>
      </w:tr>
      <w:tr w14:paraId="02B6D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40" w:hRule="atLeast"/>
          <w:jc w:val="center"/>
        </w:trPr>
        <w:tc>
          <w:tcPr>
            <w:tcW w:w="235" w:type="pct"/>
            <w:noWrap w:val="0"/>
            <w:vAlign w:val="center"/>
          </w:tcPr>
          <w:p w14:paraId="695ACCBB">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14</w:t>
            </w:r>
          </w:p>
        </w:tc>
        <w:tc>
          <w:tcPr>
            <w:tcW w:w="1037" w:type="pct"/>
            <w:noWrap w:val="0"/>
            <w:vAlign w:val="center"/>
          </w:tcPr>
          <w:p w14:paraId="0F2DD76C">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柳江区高标准农田建设项目</w:t>
            </w:r>
          </w:p>
        </w:tc>
        <w:tc>
          <w:tcPr>
            <w:tcW w:w="249" w:type="pct"/>
            <w:noWrap w:val="0"/>
            <w:vAlign w:val="center"/>
          </w:tcPr>
          <w:p w14:paraId="76A40425">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续建</w:t>
            </w:r>
          </w:p>
        </w:tc>
        <w:tc>
          <w:tcPr>
            <w:tcW w:w="1843" w:type="pct"/>
            <w:noWrap w:val="0"/>
            <w:vAlign w:val="center"/>
          </w:tcPr>
          <w:p w14:paraId="5AECA3FF">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水稻田建设：新建高标准农田2万亩，分7个子项目实施，主要建设灌溉排水工程、田间道路工程、农田防护与生态环境保持工程、土壤改良与培育工程以及其他工程。</w:t>
            </w:r>
            <w:r>
              <w:rPr>
                <w:rFonts w:hint="default" w:eastAsia="仿宋_GB2312" w:cs="Times New Roman"/>
                <w:sz w:val="24"/>
                <w:szCs w:val="24"/>
                <w:highlight w:val="none"/>
                <w:lang w:val="en-US" w:eastAsia="zh-CN"/>
              </w:rPr>
              <w:br w:type="textWrapping"/>
            </w:r>
            <w:r>
              <w:rPr>
                <w:rFonts w:hint="default" w:eastAsia="仿宋_GB2312" w:cs="Times New Roman"/>
                <w:sz w:val="24"/>
                <w:szCs w:val="24"/>
                <w:highlight w:val="none"/>
                <w:lang w:val="en-US" w:eastAsia="zh-CN"/>
              </w:rPr>
              <w:t>蔗田建设：糖业中心新建高标准农田1万亩，分2个子项目实施，主要建设灌溉排水工程、田间道路工程及其他附属工程。</w:t>
            </w:r>
          </w:p>
        </w:tc>
        <w:tc>
          <w:tcPr>
            <w:tcW w:w="443" w:type="pct"/>
            <w:noWrap w:val="0"/>
            <w:vAlign w:val="center"/>
          </w:tcPr>
          <w:p w14:paraId="78FB4A9F">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2022-2023</w:t>
            </w:r>
          </w:p>
        </w:tc>
        <w:tc>
          <w:tcPr>
            <w:tcW w:w="381" w:type="pct"/>
            <w:noWrap w:val="0"/>
            <w:vAlign w:val="center"/>
          </w:tcPr>
          <w:p w14:paraId="56BCEE36">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 xml:space="preserve">4500 </w:t>
            </w:r>
          </w:p>
        </w:tc>
        <w:tc>
          <w:tcPr>
            <w:tcW w:w="439" w:type="pct"/>
            <w:noWrap w:val="0"/>
            <w:vAlign w:val="center"/>
          </w:tcPr>
          <w:p w14:paraId="186DB205">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上级资金</w:t>
            </w:r>
          </w:p>
        </w:tc>
        <w:tc>
          <w:tcPr>
            <w:tcW w:w="369" w:type="pct"/>
            <w:noWrap w:val="0"/>
            <w:vAlign w:val="center"/>
          </w:tcPr>
          <w:p w14:paraId="3648BBC3">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柳江区农业农村局、柳江区糖办</w:t>
            </w:r>
          </w:p>
        </w:tc>
      </w:tr>
      <w:tr w14:paraId="5674F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40" w:hRule="atLeast"/>
          <w:jc w:val="center"/>
        </w:trPr>
        <w:tc>
          <w:tcPr>
            <w:tcW w:w="235" w:type="pct"/>
            <w:noWrap w:val="0"/>
            <w:vAlign w:val="center"/>
          </w:tcPr>
          <w:p w14:paraId="5987F605">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15</w:t>
            </w:r>
          </w:p>
        </w:tc>
        <w:tc>
          <w:tcPr>
            <w:tcW w:w="1037" w:type="pct"/>
            <w:noWrap w:val="0"/>
            <w:vAlign w:val="center"/>
          </w:tcPr>
          <w:p w14:paraId="5E03749D">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柳江区城镇特色农产品电商物流中心及配套设施建设工程项目</w:t>
            </w:r>
          </w:p>
        </w:tc>
        <w:tc>
          <w:tcPr>
            <w:tcW w:w="249" w:type="pct"/>
            <w:noWrap w:val="0"/>
            <w:vAlign w:val="center"/>
          </w:tcPr>
          <w:p w14:paraId="269A33C3">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新建</w:t>
            </w:r>
          </w:p>
        </w:tc>
        <w:tc>
          <w:tcPr>
            <w:tcW w:w="1843" w:type="pct"/>
            <w:noWrap w:val="0"/>
            <w:vAlign w:val="center"/>
          </w:tcPr>
          <w:p w14:paraId="25B94A15">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按照“五个一”标准对成团、土博、三都、里高四个镇基础设施进行升级改造，新建电商物流中心（含新建集镇市场），配套建设给排水（排水干渠）、集镇道路改扩建、主要街道风貌改造、文化广场、客运站等设施。</w:t>
            </w:r>
          </w:p>
        </w:tc>
        <w:tc>
          <w:tcPr>
            <w:tcW w:w="443" w:type="pct"/>
            <w:noWrap w:val="0"/>
            <w:vAlign w:val="center"/>
          </w:tcPr>
          <w:p w14:paraId="1E6213F1">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2024-2030</w:t>
            </w:r>
          </w:p>
        </w:tc>
        <w:tc>
          <w:tcPr>
            <w:tcW w:w="381" w:type="pct"/>
            <w:noWrap w:val="0"/>
            <w:vAlign w:val="center"/>
          </w:tcPr>
          <w:p w14:paraId="73D1ABF0">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46703.37</w:t>
            </w:r>
          </w:p>
        </w:tc>
        <w:tc>
          <w:tcPr>
            <w:tcW w:w="439" w:type="pct"/>
            <w:noWrap w:val="0"/>
            <w:vAlign w:val="center"/>
          </w:tcPr>
          <w:p w14:paraId="76CBF20E">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其他资金（包括PPP、银行贷款、自筹等）</w:t>
            </w:r>
          </w:p>
        </w:tc>
        <w:tc>
          <w:tcPr>
            <w:tcW w:w="369" w:type="pct"/>
            <w:noWrap w:val="0"/>
            <w:vAlign w:val="center"/>
          </w:tcPr>
          <w:p w14:paraId="070C79C1">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柳江区住房城乡建设局</w:t>
            </w:r>
          </w:p>
        </w:tc>
      </w:tr>
      <w:tr w14:paraId="0A82A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40" w:hRule="atLeast"/>
          <w:jc w:val="center"/>
        </w:trPr>
        <w:tc>
          <w:tcPr>
            <w:tcW w:w="235" w:type="pct"/>
            <w:noWrap w:val="0"/>
            <w:vAlign w:val="center"/>
          </w:tcPr>
          <w:p w14:paraId="558EDD0F">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16</w:t>
            </w:r>
          </w:p>
        </w:tc>
        <w:tc>
          <w:tcPr>
            <w:tcW w:w="1037" w:type="pct"/>
            <w:noWrap w:val="0"/>
            <w:vAlign w:val="center"/>
          </w:tcPr>
          <w:p w14:paraId="7CC8CDF0">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柳州市柳江区乡村产业振兴分散式风电项目（一期）</w:t>
            </w:r>
          </w:p>
        </w:tc>
        <w:tc>
          <w:tcPr>
            <w:tcW w:w="249" w:type="pct"/>
            <w:noWrap w:val="0"/>
            <w:vAlign w:val="center"/>
          </w:tcPr>
          <w:p w14:paraId="43108A4E">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新建</w:t>
            </w:r>
          </w:p>
        </w:tc>
        <w:tc>
          <w:tcPr>
            <w:tcW w:w="1843" w:type="pct"/>
            <w:noWrap w:val="0"/>
            <w:vAlign w:val="center"/>
          </w:tcPr>
          <w:p w14:paraId="3CD46981">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总装机容量50MW，拟安装14台单机容量为3.6MW风力发电机组，配套建设1座110kV升压站及储能设施。主要建设内容包括购置安装风力发电机组、铺设电缆、升压站厂房及设备安装以及道路、电气、绿化等配套设施。</w:t>
            </w:r>
          </w:p>
        </w:tc>
        <w:tc>
          <w:tcPr>
            <w:tcW w:w="443" w:type="pct"/>
            <w:noWrap w:val="0"/>
            <w:vAlign w:val="center"/>
          </w:tcPr>
          <w:p w14:paraId="622FCBF0">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2024-2029</w:t>
            </w:r>
          </w:p>
        </w:tc>
        <w:tc>
          <w:tcPr>
            <w:tcW w:w="381" w:type="pct"/>
            <w:noWrap w:val="0"/>
            <w:vAlign w:val="center"/>
          </w:tcPr>
          <w:p w14:paraId="745C2352">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 xml:space="preserve">300000 </w:t>
            </w:r>
          </w:p>
        </w:tc>
        <w:tc>
          <w:tcPr>
            <w:tcW w:w="439" w:type="pct"/>
            <w:noWrap w:val="0"/>
            <w:vAlign w:val="center"/>
          </w:tcPr>
          <w:p w14:paraId="24099E69">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待定</w:t>
            </w:r>
          </w:p>
        </w:tc>
        <w:tc>
          <w:tcPr>
            <w:tcW w:w="369" w:type="pct"/>
            <w:noWrap w:val="0"/>
            <w:vAlign w:val="center"/>
          </w:tcPr>
          <w:p w14:paraId="7D0B6229">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柳江区发展改革局</w:t>
            </w:r>
          </w:p>
        </w:tc>
      </w:tr>
      <w:tr w14:paraId="4801B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40" w:hRule="atLeast"/>
          <w:jc w:val="center"/>
        </w:trPr>
        <w:tc>
          <w:tcPr>
            <w:tcW w:w="235" w:type="pct"/>
            <w:noWrap w:val="0"/>
            <w:vAlign w:val="center"/>
          </w:tcPr>
          <w:p w14:paraId="43EE8CEC">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17</w:t>
            </w:r>
          </w:p>
        </w:tc>
        <w:tc>
          <w:tcPr>
            <w:tcW w:w="1037" w:type="pct"/>
            <w:noWrap w:val="0"/>
            <w:vAlign w:val="center"/>
          </w:tcPr>
          <w:p w14:paraId="12D6EB46">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柳州市新能源发电示范基地项目</w:t>
            </w:r>
          </w:p>
        </w:tc>
        <w:tc>
          <w:tcPr>
            <w:tcW w:w="249" w:type="pct"/>
            <w:noWrap w:val="0"/>
            <w:vAlign w:val="center"/>
          </w:tcPr>
          <w:p w14:paraId="79449FF6">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新建</w:t>
            </w:r>
          </w:p>
        </w:tc>
        <w:tc>
          <w:tcPr>
            <w:tcW w:w="1843" w:type="pct"/>
            <w:noWrap w:val="0"/>
            <w:vAlign w:val="center"/>
          </w:tcPr>
          <w:p w14:paraId="3F8D6305">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项目投资166亿元，建设零碳新能源智慧装备产业园和新能源发电示范基地，其中零碳新能源智慧装备产业园投资11亿元人民币，新能源发电示范基地投资155亿元人民币。</w:t>
            </w:r>
          </w:p>
        </w:tc>
        <w:tc>
          <w:tcPr>
            <w:tcW w:w="443" w:type="pct"/>
            <w:noWrap w:val="0"/>
            <w:vAlign w:val="center"/>
          </w:tcPr>
          <w:p w14:paraId="481E2277">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2024-2030</w:t>
            </w:r>
          </w:p>
        </w:tc>
        <w:tc>
          <w:tcPr>
            <w:tcW w:w="381" w:type="pct"/>
            <w:noWrap w:val="0"/>
            <w:vAlign w:val="center"/>
          </w:tcPr>
          <w:p w14:paraId="72878E0F">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1660000</w:t>
            </w:r>
          </w:p>
        </w:tc>
        <w:tc>
          <w:tcPr>
            <w:tcW w:w="439" w:type="pct"/>
            <w:noWrap w:val="0"/>
            <w:vAlign w:val="center"/>
          </w:tcPr>
          <w:p w14:paraId="12C5762F">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待定</w:t>
            </w:r>
          </w:p>
        </w:tc>
        <w:tc>
          <w:tcPr>
            <w:tcW w:w="369" w:type="pct"/>
            <w:noWrap w:val="0"/>
            <w:vAlign w:val="center"/>
          </w:tcPr>
          <w:p w14:paraId="4C93987D">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柳江区发展改革局</w:t>
            </w:r>
          </w:p>
        </w:tc>
      </w:tr>
      <w:tr w14:paraId="1CBEF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40" w:hRule="atLeast"/>
          <w:jc w:val="center"/>
        </w:trPr>
        <w:tc>
          <w:tcPr>
            <w:tcW w:w="235" w:type="pct"/>
            <w:noWrap w:val="0"/>
            <w:vAlign w:val="center"/>
          </w:tcPr>
          <w:p w14:paraId="249C537B">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18</w:t>
            </w:r>
          </w:p>
        </w:tc>
        <w:tc>
          <w:tcPr>
            <w:tcW w:w="1037" w:type="pct"/>
            <w:noWrap w:val="0"/>
            <w:vAlign w:val="center"/>
          </w:tcPr>
          <w:p w14:paraId="69559B36">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柳州柳江区分布式光伏新能源发电项目</w:t>
            </w:r>
          </w:p>
        </w:tc>
        <w:tc>
          <w:tcPr>
            <w:tcW w:w="249" w:type="pct"/>
            <w:noWrap w:val="0"/>
            <w:vAlign w:val="center"/>
          </w:tcPr>
          <w:p w14:paraId="679D36DA">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新建</w:t>
            </w:r>
          </w:p>
        </w:tc>
        <w:tc>
          <w:tcPr>
            <w:tcW w:w="1843" w:type="pct"/>
            <w:noWrap w:val="0"/>
            <w:vAlign w:val="center"/>
          </w:tcPr>
          <w:p w14:paraId="5198194E">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项目拟选址柳江区党政机关及学校等单位楼顶、农村居民屋顶，开展柳江区整区屋顶分布式光伏建设，预计开发装机容量400MW。</w:t>
            </w:r>
          </w:p>
        </w:tc>
        <w:tc>
          <w:tcPr>
            <w:tcW w:w="443" w:type="pct"/>
            <w:noWrap w:val="0"/>
            <w:vAlign w:val="center"/>
          </w:tcPr>
          <w:p w14:paraId="3A959F5B">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2024-2030</w:t>
            </w:r>
          </w:p>
        </w:tc>
        <w:tc>
          <w:tcPr>
            <w:tcW w:w="381" w:type="pct"/>
            <w:noWrap w:val="0"/>
            <w:vAlign w:val="center"/>
          </w:tcPr>
          <w:p w14:paraId="54F249B7">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160000</w:t>
            </w:r>
          </w:p>
        </w:tc>
        <w:tc>
          <w:tcPr>
            <w:tcW w:w="439" w:type="pct"/>
            <w:noWrap w:val="0"/>
            <w:vAlign w:val="center"/>
          </w:tcPr>
          <w:p w14:paraId="4C2575B5">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待定</w:t>
            </w:r>
          </w:p>
        </w:tc>
        <w:tc>
          <w:tcPr>
            <w:tcW w:w="369" w:type="pct"/>
            <w:noWrap w:val="0"/>
            <w:vAlign w:val="center"/>
          </w:tcPr>
          <w:p w14:paraId="2395D859">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柳江区发展改革局</w:t>
            </w:r>
          </w:p>
        </w:tc>
      </w:tr>
      <w:tr w14:paraId="34EB5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40" w:hRule="atLeast"/>
          <w:jc w:val="center"/>
        </w:trPr>
        <w:tc>
          <w:tcPr>
            <w:tcW w:w="235" w:type="pct"/>
            <w:noWrap w:val="0"/>
            <w:vAlign w:val="center"/>
          </w:tcPr>
          <w:p w14:paraId="76B17325">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19</w:t>
            </w:r>
          </w:p>
        </w:tc>
        <w:tc>
          <w:tcPr>
            <w:tcW w:w="1037" w:type="pct"/>
            <w:noWrap w:val="0"/>
            <w:vAlign w:val="center"/>
          </w:tcPr>
          <w:p w14:paraId="553D69A5">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柳江区风电场项目</w:t>
            </w:r>
          </w:p>
        </w:tc>
        <w:tc>
          <w:tcPr>
            <w:tcW w:w="249" w:type="pct"/>
            <w:noWrap w:val="0"/>
            <w:vAlign w:val="center"/>
          </w:tcPr>
          <w:p w14:paraId="61188831">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新建</w:t>
            </w:r>
          </w:p>
        </w:tc>
        <w:tc>
          <w:tcPr>
            <w:tcW w:w="1843" w:type="pct"/>
            <w:noWrap w:val="0"/>
            <w:vAlign w:val="center"/>
          </w:tcPr>
          <w:p w14:paraId="63907C38">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1.选址土博镇、三都镇、成团镇一带，装机容量规模100MW。主要建设安装2.5MW风力发电机组若干台，新建1座110kV开关站接入柳江区110kV变电站，新建风电场道路约35km，年发电约2.6亿kWh；</w:t>
            </w:r>
            <w:r>
              <w:rPr>
                <w:rFonts w:hint="default" w:eastAsia="仿宋_GB2312" w:cs="Times New Roman"/>
                <w:sz w:val="24"/>
                <w:szCs w:val="24"/>
                <w:highlight w:val="none"/>
                <w:lang w:val="en-US" w:eastAsia="zh-CN"/>
              </w:rPr>
              <w:br w:type="textWrapping"/>
            </w:r>
            <w:r>
              <w:rPr>
                <w:rFonts w:hint="default" w:eastAsia="仿宋_GB2312" w:cs="Times New Roman"/>
                <w:sz w:val="24"/>
                <w:szCs w:val="24"/>
                <w:highlight w:val="none"/>
                <w:lang w:val="en-US" w:eastAsia="zh-CN"/>
              </w:rPr>
              <w:t>2. 选址百朋镇、穿山镇、里高镇一带，装机容量规模100MW。规划用地35亩，新建110kV变电站、安装2.5MW风力发电机组若干台，年发电约2.6亿kWh。</w:t>
            </w:r>
          </w:p>
        </w:tc>
        <w:tc>
          <w:tcPr>
            <w:tcW w:w="443" w:type="pct"/>
            <w:noWrap w:val="0"/>
            <w:vAlign w:val="center"/>
          </w:tcPr>
          <w:p w14:paraId="107894B4">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2024-2028</w:t>
            </w:r>
          </w:p>
        </w:tc>
        <w:tc>
          <w:tcPr>
            <w:tcW w:w="381" w:type="pct"/>
            <w:noWrap w:val="0"/>
            <w:vAlign w:val="center"/>
          </w:tcPr>
          <w:p w14:paraId="3B2D3EA6">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 xml:space="preserve">170000 </w:t>
            </w:r>
          </w:p>
        </w:tc>
        <w:tc>
          <w:tcPr>
            <w:tcW w:w="439" w:type="pct"/>
            <w:noWrap w:val="0"/>
            <w:vAlign w:val="center"/>
          </w:tcPr>
          <w:p w14:paraId="2EAE5ED5">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待定</w:t>
            </w:r>
          </w:p>
        </w:tc>
        <w:tc>
          <w:tcPr>
            <w:tcW w:w="369" w:type="pct"/>
            <w:noWrap w:val="0"/>
            <w:vAlign w:val="center"/>
          </w:tcPr>
          <w:p w14:paraId="0CFBA7ED">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柳江区发展改革局</w:t>
            </w:r>
          </w:p>
        </w:tc>
      </w:tr>
      <w:tr w14:paraId="3AD6F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40" w:hRule="atLeast"/>
          <w:jc w:val="center"/>
        </w:trPr>
        <w:tc>
          <w:tcPr>
            <w:tcW w:w="235" w:type="pct"/>
            <w:noWrap w:val="0"/>
            <w:vAlign w:val="center"/>
          </w:tcPr>
          <w:p w14:paraId="31C33109">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20</w:t>
            </w:r>
          </w:p>
        </w:tc>
        <w:tc>
          <w:tcPr>
            <w:tcW w:w="1037" w:type="pct"/>
            <w:noWrap w:val="0"/>
            <w:vAlign w:val="center"/>
          </w:tcPr>
          <w:p w14:paraId="050A2D60">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柳州市柳江抽水蓄能电站项目</w:t>
            </w:r>
          </w:p>
        </w:tc>
        <w:tc>
          <w:tcPr>
            <w:tcW w:w="249" w:type="pct"/>
            <w:noWrap w:val="0"/>
            <w:vAlign w:val="center"/>
          </w:tcPr>
          <w:p w14:paraId="507B3B4C">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新建</w:t>
            </w:r>
          </w:p>
        </w:tc>
        <w:tc>
          <w:tcPr>
            <w:tcW w:w="1843" w:type="pct"/>
            <w:noWrap w:val="0"/>
            <w:vAlign w:val="center"/>
          </w:tcPr>
          <w:p w14:paraId="3DC1BFBB">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电站规划装机容量300MW，初拟额定水头203m，安装2台单机容量150MW的水泵水轮机组，电站连续满发小时数6小时。主要建设内容包括上水库、下水库、输水系统、地下厂房、开关站等；配套建设供配电、给排水、输变电、管理用房、道路及场地硬化、照明等设施。</w:t>
            </w:r>
          </w:p>
        </w:tc>
        <w:tc>
          <w:tcPr>
            <w:tcW w:w="443" w:type="pct"/>
            <w:noWrap w:val="0"/>
            <w:vAlign w:val="center"/>
          </w:tcPr>
          <w:p w14:paraId="23D54A8A">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2024-2028</w:t>
            </w:r>
          </w:p>
        </w:tc>
        <w:tc>
          <w:tcPr>
            <w:tcW w:w="381" w:type="pct"/>
            <w:noWrap w:val="0"/>
            <w:vAlign w:val="center"/>
          </w:tcPr>
          <w:p w14:paraId="193555F7">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 xml:space="preserve">300000 </w:t>
            </w:r>
          </w:p>
        </w:tc>
        <w:tc>
          <w:tcPr>
            <w:tcW w:w="439" w:type="pct"/>
            <w:noWrap w:val="0"/>
            <w:vAlign w:val="center"/>
          </w:tcPr>
          <w:p w14:paraId="2C631982">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待定</w:t>
            </w:r>
          </w:p>
        </w:tc>
        <w:tc>
          <w:tcPr>
            <w:tcW w:w="369" w:type="pct"/>
            <w:noWrap w:val="0"/>
            <w:vAlign w:val="center"/>
          </w:tcPr>
          <w:p w14:paraId="5340F581">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柳江区发展改革局</w:t>
            </w:r>
          </w:p>
        </w:tc>
      </w:tr>
      <w:tr w14:paraId="15FB3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40" w:hRule="atLeast"/>
          <w:jc w:val="center"/>
        </w:trPr>
        <w:tc>
          <w:tcPr>
            <w:tcW w:w="235" w:type="pct"/>
            <w:noWrap w:val="0"/>
            <w:vAlign w:val="center"/>
          </w:tcPr>
          <w:p w14:paraId="755C9C9E">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21</w:t>
            </w:r>
          </w:p>
        </w:tc>
        <w:tc>
          <w:tcPr>
            <w:tcW w:w="1037" w:type="pct"/>
            <w:noWrap w:val="0"/>
            <w:vAlign w:val="center"/>
          </w:tcPr>
          <w:p w14:paraId="4AD689A3">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柳江区中型灌区续建配套与节水改造项目</w:t>
            </w:r>
          </w:p>
        </w:tc>
        <w:tc>
          <w:tcPr>
            <w:tcW w:w="249" w:type="pct"/>
            <w:noWrap w:val="0"/>
            <w:vAlign w:val="center"/>
          </w:tcPr>
          <w:p w14:paraId="5714404F">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新建</w:t>
            </w:r>
          </w:p>
        </w:tc>
        <w:tc>
          <w:tcPr>
            <w:tcW w:w="1843" w:type="pct"/>
            <w:noWrap w:val="0"/>
            <w:vAlign w:val="center"/>
          </w:tcPr>
          <w:p w14:paraId="051A78ED">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对柳江区工农水库灌区21公里、北弓水库灌区36公里进行主干渠改造。</w:t>
            </w:r>
          </w:p>
        </w:tc>
        <w:tc>
          <w:tcPr>
            <w:tcW w:w="443" w:type="pct"/>
            <w:noWrap w:val="0"/>
            <w:vAlign w:val="center"/>
          </w:tcPr>
          <w:p w14:paraId="43030A9A">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2024-2026</w:t>
            </w:r>
          </w:p>
        </w:tc>
        <w:tc>
          <w:tcPr>
            <w:tcW w:w="381" w:type="pct"/>
            <w:noWrap w:val="0"/>
            <w:vAlign w:val="center"/>
          </w:tcPr>
          <w:p w14:paraId="71014DCB">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 xml:space="preserve">5600 </w:t>
            </w:r>
          </w:p>
        </w:tc>
        <w:tc>
          <w:tcPr>
            <w:tcW w:w="439" w:type="pct"/>
            <w:noWrap w:val="0"/>
            <w:vAlign w:val="center"/>
          </w:tcPr>
          <w:p w14:paraId="73B9A274">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待定</w:t>
            </w:r>
          </w:p>
        </w:tc>
        <w:tc>
          <w:tcPr>
            <w:tcW w:w="369" w:type="pct"/>
            <w:noWrap w:val="0"/>
            <w:vAlign w:val="center"/>
          </w:tcPr>
          <w:p w14:paraId="4885138A">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柳江区水利局</w:t>
            </w:r>
          </w:p>
        </w:tc>
      </w:tr>
      <w:tr w14:paraId="38B5E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40" w:hRule="atLeast"/>
          <w:jc w:val="center"/>
        </w:trPr>
        <w:tc>
          <w:tcPr>
            <w:tcW w:w="235" w:type="pct"/>
            <w:noWrap w:val="0"/>
            <w:vAlign w:val="center"/>
          </w:tcPr>
          <w:p w14:paraId="63737C24">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22</w:t>
            </w:r>
          </w:p>
        </w:tc>
        <w:tc>
          <w:tcPr>
            <w:tcW w:w="1037" w:type="pct"/>
            <w:noWrap w:val="0"/>
            <w:vAlign w:val="center"/>
          </w:tcPr>
          <w:p w14:paraId="45C6CF95">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柳江区集中灌溉工程（穿山镇片区）</w:t>
            </w:r>
          </w:p>
        </w:tc>
        <w:tc>
          <w:tcPr>
            <w:tcW w:w="249" w:type="pct"/>
            <w:noWrap w:val="0"/>
            <w:vAlign w:val="center"/>
          </w:tcPr>
          <w:p w14:paraId="38193A4A">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新建</w:t>
            </w:r>
          </w:p>
        </w:tc>
        <w:tc>
          <w:tcPr>
            <w:tcW w:w="1843" w:type="pct"/>
            <w:noWrap w:val="0"/>
            <w:vAlign w:val="center"/>
          </w:tcPr>
          <w:p w14:paraId="1F469BD0">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项目总占地面积327亩，柳江河引水灌溉至新兴农场及穿山镇，建设取水泵站，输水工程渠道、隧洞10公里，灌区配套干渠53公里。</w:t>
            </w:r>
          </w:p>
        </w:tc>
        <w:tc>
          <w:tcPr>
            <w:tcW w:w="443" w:type="pct"/>
            <w:noWrap w:val="0"/>
            <w:vAlign w:val="center"/>
          </w:tcPr>
          <w:p w14:paraId="46B08FB4">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2024-2026</w:t>
            </w:r>
          </w:p>
        </w:tc>
        <w:tc>
          <w:tcPr>
            <w:tcW w:w="381" w:type="pct"/>
            <w:noWrap w:val="0"/>
            <w:vAlign w:val="center"/>
          </w:tcPr>
          <w:p w14:paraId="6C601B11">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 xml:space="preserve">50833 </w:t>
            </w:r>
          </w:p>
        </w:tc>
        <w:tc>
          <w:tcPr>
            <w:tcW w:w="439" w:type="pct"/>
            <w:noWrap w:val="0"/>
            <w:vAlign w:val="center"/>
          </w:tcPr>
          <w:p w14:paraId="43771869">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待定</w:t>
            </w:r>
          </w:p>
        </w:tc>
        <w:tc>
          <w:tcPr>
            <w:tcW w:w="369" w:type="pct"/>
            <w:noWrap w:val="0"/>
            <w:vAlign w:val="center"/>
          </w:tcPr>
          <w:p w14:paraId="5B672719">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柳江区水利局</w:t>
            </w:r>
          </w:p>
        </w:tc>
      </w:tr>
      <w:tr w14:paraId="76300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40" w:hRule="atLeast"/>
          <w:jc w:val="center"/>
        </w:trPr>
        <w:tc>
          <w:tcPr>
            <w:tcW w:w="235" w:type="pct"/>
            <w:noWrap w:val="0"/>
            <w:vAlign w:val="center"/>
          </w:tcPr>
          <w:p w14:paraId="5B270414">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23</w:t>
            </w:r>
          </w:p>
        </w:tc>
        <w:tc>
          <w:tcPr>
            <w:tcW w:w="1037" w:type="pct"/>
            <w:noWrap w:val="0"/>
            <w:vAlign w:val="center"/>
          </w:tcPr>
          <w:p w14:paraId="77DA7D5C">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柳江区穿山镇乡村振兴示范镇项目</w:t>
            </w:r>
          </w:p>
        </w:tc>
        <w:tc>
          <w:tcPr>
            <w:tcW w:w="249" w:type="pct"/>
            <w:noWrap w:val="0"/>
            <w:vAlign w:val="center"/>
          </w:tcPr>
          <w:p w14:paraId="1F60CFDB">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新建</w:t>
            </w:r>
          </w:p>
        </w:tc>
        <w:tc>
          <w:tcPr>
            <w:tcW w:w="1843" w:type="pct"/>
            <w:noWrap w:val="0"/>
            <w:vAlign w:val="center"/>
          </w:tcPr>
          <w:p w14:paraId="1163EE3D">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围绕乡村振兴，以提升发展乡村产业为核心，开展城乡风貌改造、农贸市场新建及改造、电商服务中心、沿河休闲娱乐、冷链仓储物流等项目。</w:t>
            </w:r>
          </w:p>
        </w:tc>
        <w:tc>
          <w:tcPr>
            <w:tcW w:w="443" w:type="pct"/>
            <w:noWrap w:val="0"/>
            <w:vAlign w:val="center"/>
          </w:tcPr>
          <w:p w14:paraId="63829BF7">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2024-2030</w:t>
            </w:r>
          </w:p>
        </w:tc>
        <w:tc>
          <w:tcPr>
            <w:tcW w:w="381" w:type="pct"/>
            <w:noWrap w:val="0"/>
            <w:vAlign w:val="center"/>
          </w:tcPr>
          <w:p w14:paraId="7756FC09">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 xml:space="preserve">60000 </w:t>
            </w:r>
          </w:p>
        </w:tc>
        <w:tc>
          <w:tcPr>
            <w:tcW w:w="439" w:type="pct"/>
            <w:noWrap w:val="0"/>
            <w:vAlign w:val="center"/>
          </w:tcPr>
          <w:p w14:paraId="64E003F9">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待定</w:t>
            </w:r>
          </w:p>
        </w:tc>
        <w:tc>
          <w:tcPr>
            <w:tcW w:w="369" w:type="pct"/>
            <w:noWrap w:val="0"/>
            <w:vAlign w:val="center"/>
          </w:tcPr>
          <w:p w14:paraId="3A04D769">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穿山镇</w:t>
            </w:r>
          </w:p>
        </w:tc>
      </w:tr>
      <w:tr w14:paraId="40B30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40" w:hRule="atLeast"/>
          <w:jc w:val="center"/>
        </w:trPr>
        <w:tc>
          <w:tcPr>
            <w:tcW w:w="235" w:type="pct"/>
            <w:noWrap w:val="0"/>
            <w:vAlign w:val="center"/>
          </w:tcPr>
          <w:p w14:paraId="360C124B">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24</w:t>
            </w:r>
          </w:p>
        </w:tc>
        <w:tc>
          <w:tcPr>
            <w:tcW w:w="1037" w:type="pct"/>
            <w:noWrap w:val="0"/>
            <w:vAlign w:val="center"/>
          </w:tcPr>
          <w:p w14:paraId="227E9AEE">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柳江区穿山旱片综合供水工程项目</w:t>
            </w:r>
          </w:p>
        </w:tc>
        <w:tc>
          <w:tcPr>
            <w:tcW w:w="249" w:type="pct"/>
            <w:noWrap w:val="0"/>
            <w:vAlign w:val="center"/>
          </w:tcPr>
          <w:p w14:paraId="71900C87">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新建</w:t>
            </w:r>
          </w:p>
        </w:tc>
        <w:tc>
          <w:tcPr>
            <w:tcW w:w="1843" w:type="pct"/>
            <w:noWrap w:val="0"/>
            <w:vAlign w:val="center"/>
          </w:tcPr>
          <w:p w14:paraId="7DFEBE3D">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项目引调柳江之水，解决穿山镇旱片人饮、农业灌溉及工业用水的水源问题，实现用水一体化，摆脱生产、生活对地下水源的过度依赖。建设规模为提水泵站装机容量为2500KW；引水线总长8km(其中隧洞6.8km，明渠1.2km)，设计引水流量为2.5立方米/秒；小(2)型水库岸村水库扩建为小(1)型，有效库容提高至400万立方米；灌区配套干渠总长53km。主要建设内容包括提水枢纽工程、引水枢纽工程、调节水库工程、灌区配套工程。</w:t>
            </w:r>
          </w:p>
        </w:tc>
        <w:tc>
          <w:tcPr>
            <w:tcW w:w="443" w:type="pct"/>
            <w:noWrap w:val="0"/>
            <w:vAlign w:val="center"/>
          </w:tcPr>
          <w:p w14:paraId="487AB95F">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2024-2029</w:t>
            </w:r>
          </w:p>
        </w:tc>
        <w:tc>
          <w:tcPr>
            <w:tcW w:w="381" w:type="pct"/>
            <w:noWrap w:val="0"/>
            <w:vAlign w:val="center"/>
          </w:tcPr>
          <w:p w14:paraId="1442796D">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59570</w:t>
            </w:r>
          </w:p>
        </w:tc>
        <w:tc>
          <w:tcPr>
            <w:tcW w:w="439" w:type="pct"/>
            <w:noWrap w:val="0"/>
            <w:vAlign w:val="center"/>
          </w:tcPr>
          <w:p w14:paraId="49532EA0">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待定</w:t>
            </w:r>
          </w:p>
        </w:tc>
        <w:tc>
          <w:tcPr>
            <w:tcW w:w="369" w:type="pct"/>
            <w:noWrap w:val="0"/>
            <w:vAlign w:val="center"/>
          </w:tcPr>
          <w:p w14:paraId="6B4698F3">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柳江区水利局</w:t>
            </w:r>
          </w:p>
        </w:tc>
      </w:tr>
      <w:tr w14:paraId="7BE1B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40" w:hRule="atLeast"/>
          <w:jc w:val="center"/>
        </w:trPr>
        <w:tc>
          <w:tcPr>
            <w:tcW w:w="235" w:type="pct"/>
            <w:noWrap w:val="0"/>
            <w:vAlign w:val="center"/>
          </w:tcPr>
          <w:p w14:paraId="1D4EB507">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25</w:t>
            </w:r>
          </w:p>
        </w:tc>
        <w:tc>
          <w:tcPr>
            <w:tcW w:w="1037" w:type="pct"/>
            <w:noWrap w:val="0"/>
            <w:vAlign w:val="center"/>
          </w:tcPr>
          <w:p w14:paraId="227575A4">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百朋酒壶山创4A景区基础设施建设</w:t>
            </w:r>
          </w:p>
        </w:tc>
        <w:tc>
          <w:tcPr>
            <w:tcW w:w="249" w:type="pct"/>
            <w:noWrap w:val="0"/>
            <w:vAlign w:val="center"/>
          </w:tcPr>
          <w:p w14:paraId="4694F7B2">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新建</w:t>
            </w:r>
          </w:p>
        </w:tc>
        <w:tc>
          <w:tcPr>
            <w:tcW w:w="1843" w:type="pct"/>
            <w:noWrap w:val="0"/>
            <w:vAlign w:val="center"/>
          </w:tcPr>
          <w:p w14:paraId="193A99F4">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1.建设景区200平方米的观景平台、3A旅游厕所、上山步道（约2km左右）、游客中心、生态停车场对歌台、酒坊、读书台等旅游公共服务设施和态景观小品；2.新建酒壶山至百朋荷苑景区旅游交通道路（约3km左右）等以及其他配套设施。</w:t>
            </w:r>
          </w:p>
        </w:tc>
        <w:tc>
          <w:tcPr>
            <w:tcW w:w="443" w:type="pct"/>
            <w:noWrap w:val="0"/>
            <w:vAlign w:val="center"/>
          </w:tcPr>
          <w:p w14:paraId="204160AA">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2024-2028</w:t>
            </w:r>
          </w:p>
        </w:tc>
        <w:tc>
          <w:tcPr>
            <w:tcW w:w="381" w:type="pct"/>
            <w:noWrap w:val="0"/>
            <w:vAlign w:val="center"/>
          </w:tcPr>
          <w:p w14:paraId="4900B907">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 xml:space="preserve">10202 </w:t>
            </w:r>
          </w:p>
        </w:tc>
        <w:tc>
          <w:tcPr>
            <w:tcW w:w="439" w:type="pct"/>
            <w:noWrap w:val="0"/>
            <w:vAlign w:val="center"/>
          </w:tcPr>
          <w:p w14:paraId="09C8C8F3">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待定</w:t>
            </w:r>
          </w:p>
        </w:tc>
        <w:tc>
          <w:tcPr>
            <w:tcW w:w="369" w:type="pct"/>
            <w:noWrap w:val="0"/>
            <w:vAlign w:val="center"/>
          </w:tcPr>
          <w:p w14:paraId="0D31CF17">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柳江区文体广电旅游局</w:t>
            </w:r>
          </w:p>
        </w:tc>
      </w:tr>
      <w:tr w14:paraId="7D8A1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40" w:hRule="atLeast"/>
          <w:jc w:val="center"/>
        </w:trPr>
        <w:tc>
          <w:tcPr>
            <w:tcW w:w="235" w:type="pct"/>
            <w:noWrap w:val="0"/>
            <w:vAlign w:val="center"/>
          </w:tcPr>
          <w:p w14:paraId="67AE4600">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26</w:t>
            </w:r>
          </w:p>
        </w:tc>
        <w:tc>
          <w:tcPr>
            <w:tcW w:w="1037" w:type="pct"/>
            <w:noWrap w:val="0"/>
            <w:vAlign w:val="center"/>
          </w:tcPr>
          <w:p w14:paraId="13F8EB74">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土博十里画廊休闲生态旅游区创4A景区建设项目</w:t>
            </w:r>
          </w:p>
        </w:tc>
        <w:tc>
          <w:tcPr>
            <w:tcW w:w="249" w:type="pct"/>
            <w:noWrap w:val="0"/>
            <w:vAlign w:val="center"/>
          </w:tcPr>
          <w:p w14:paraId="53A5A178">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新建</w:t>
            </w:r>
          </w:p>
        </w:tc>
        <w:tc>
          <w:tcPr>
            <w:tcW w:w="1843" w:type="pct"/>
            <w:noWrap w:val="0"/>
            <w:vAlign w:val="center"/>
          </w:tcPr>
          <w:p w14:paraId="421ADC11">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1.水源河新建沿河步道、旅游绿道、生态停车场、旅游厕所、观景平台、游客中心、特色民宿、景观小品等旅游公共服务基础设施；2.狼口泉新建生态停车场、旅游驿站、旅游厕所、培训基地等；3.拉龙洞新建溶洞游览步道；4.新建两个入口景观大门等其他配套附属设施。</w:t>
            </w:r>
          </w:p>
        </w:tc>
        <w:tc>
          <w:tcPr>
            <w:tcW w:w="443" w:type="pct"/>
            <w:noWrap w:val="0"/>
            <w:vAlign w:val="center"/>
          </w:tcPr>
          <w:p w14:paraId="126A5D86">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2024-2028</w:t>
            </w:r>
          </w:p>
        </w:tc>
        <w:tc>
          <w:tcPr>
            <w:tcW w:w="381" w:type="pct"/>
            <w:noWrap w:val="0"/>
            <w:vAlign w:val="center"/>
          </w:tcPr>
          <w:p w14:paraId="78B513A4">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 xml:space="preserve">29851 </w:t>
            </w:r>
          </w:p>
        </w:tc>
        <w:tc>
          <w:tcPr>
            <w:tcW w:w="439" w:type="pct"/>
            <w:noWrap w:val="0"/>
            <w:vAlign w:val="center"/>
          </w:tcPr>
          <w:p w14:paraId="76AC5071">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待定</w:t>
            </w:r>
          </w:p>
        </w:tc>
        <w:tc>
          <w:tcPr>
            <w:tcW w:w="369" w:type="pct"/>
            <w:noWrap w:val="0"/>
            <w:vAlign w:val="center"/>
          </w:tcPr>
          <w:p w14:paraId="517E96E2">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柳江区文体广电旅游局</w:t>
            </w:r>
          </w:p>
        </w:tc>
      </w:tr>
      <w:tr w14:paraId="19B75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40" w:hRule="atLeast"/>
          <w:jc w:val="center"/>
        </w:trPr>
        <w:tc>
          <w:tcPr>
            <w:tcW w:w="235" w:type="pct"/>
            <w:noWrap w:val="0"/>
            <w:vAlign w:val="center"/>
          </w:tcPr>
          <w:p w14:paraId="0902CE99">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27</w:t>
            </w:r>
          </w:p>
        </w:tc>
        <w:tc>
          <w:tcPr>
            <w:tcW w:w="1037" w:type="pct"/>
            <w:noWrap w:val="0"/>
            <w:vAlign w:val="center"/>
          </w:tcPr>
          <w:p w14:paraId="597C7B93">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穿山大渡河风景区配套项目（古岭龙文化休闲体验中心）</w:t>
            </w:r>
          </w:p>
        </w:tc>
        <w:tc>
          <w:tcPr>
            <w:tcW w:w="249" w:type="pct"/>
            <w:noWrap w:val="0"/>
            <w:vAlign w:val="center"/>
          </w:tcPr>
          <w:p w14:paraId="14BF209D">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新建</w:t>
            </w:r>
          </w:p>
        </w:tc>
        <w:tc>
          <w:tcPr>
            <w:tcW w:w="1843" w:type="pct"/>
            <w:noWrap w:val="0"/>
            <w:vAlign w:val="center"/>
          </w:tcPr>
          <w:p w14:paraId="753249E6">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分阶段实施穿山大渡河景区基础设施建设，在打造400亩左右的百花园、百果园等种植观赏体验等农旅融合项目的基础上新建占地30亩左右的集特色主题餐饮、中草药健康旅游示范的高端度假文化休闲体验中心。</w:t>
            </w:r>
          </w:p>
        </w:tc>
        <w:tc>
          <w:tcPr>
            <w:tcW w:w="443" w:type="pct"/>
            <w:noWrap w:val="0"/>
            <w:vAlign w:val="center"/>
          </w:tcPr>
          <w:p w14:paraId="36758267">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2024-2028</w:t>
            </w:r>
          </w:p>
        </w:tc>
        <w:tc>
          <w:tcPr>
            <w:tcW w:w="381" w:type="pct"/>
            <w:noWrap w:val="0"/>
            <w:vAlign w:val="center"/>
          </w:tcPr>
          <w:p w14:paraId="3C2412BD">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 xml:space="preserve">8000 </w:t>
            </w:r>
          </w:p>
        </w:tc>
        <w:tc>
          <w:tcPr>
            <w:tcW w:w="439" w:type="pct"/>
            <w:noWrap w:val="0"/>
            <w:vAlign w:val="center"/>
          </w:tcPr>
          <w:p w14:paraId="19B19CDE">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待定</w:t>
            </w:r>
          </w:p>
        </w:tc>
        <w:tc>
          <w:tcPr>
            <w:tcW w:w="369" w:type="pct"/>
            <w:noWrap w:val="0"/>
            <w:vAlign w:val="center"/>
          </w:tcPr>
          <w:p w14:paraId="7949DD1A">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柳江区文体广电旅游局</w:t>
            </w:r>
          </w:p>
        </w:tc>
      </w:tr>
      <w:tr w14:paraId="67751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40" w:hRule="atLeast"/>
          <w:jc w:val="center"/>
        </w:trPr>
        <w:tc>
          <w:tcPr>
            <w:tcW w:w="235" w:type="pct"/>
            <w:noWrap w:val="0"/>
            <w:vAlign w:val="center"/>
          </w:tcPr>
          <w:p w14:paraId="6A89214F">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28</w:t>
            </w:r>
          </w:p>
        </w:tc>
        <w:tc>
          <w:tcPr>
            <w:tcW w:w="1037" w:type="pct"/>
            <w:noWrap w:val="0"/>
            <w:vAlign w:val="center"/>
          </w:tcPr>
          <w:p w14:paraId="4B8C05E0">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怀洪村·美丽乡村项目</w:t>
            </w:r>
          </w:p>
        </w:tc>
        <w:tc>
          <w:tcPr>
            <w:tcW w:w="249" w:type="pct"/>
            <w:noWrap w:val="0"/>
            <w:vAlign w:val="center"/>
          </w:tcPr>
          <w:p w14:paraId="2F9BA6AE">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新建</w:t>
            </w:r>
          </w:p>
        </w:tc>
        <w:tc>
          <w:tcPr>
            <w:tcW w:w="1843" w:type="pct"/>
            <w:noWrap w:val="0"/>
            <w:vAlign w:val="center"/>
          </w:tcPr>
          <w:p w14:paraId="0F5A99E6">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包括基础设施及宣传包装费用。项目建成后，设有如特色民宿、露营基地场地、展馆打造、大型系列活动策划、文创开发、康养项目等智慧产业，打造以“康养+文化+旅游+宜居+生态”为目标的特色项目。</w:t>
            </w:r>
          </w:p>
        </w:tc>
        <w:tc>
          <w:tcPr>
            <w:tcW w:w="443" w:type="pct"/>
            <w:shd w:val="clear" w:color="auto" w:fill="auto"/>
            <w:noWrap w:val="0"/>
            <w:vAlign w:val="center"/>
          </w:tcPr>
          <w:p w14:paraId="47B53D96">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2024-2028</w:t>
            </w:r>
          </w:p>
        </w:tc>
        <w:tc>
          <w:tcPr>
            <w:tcW w:w="381" w:type="pct"/>
            <w:shd w:val="clear" w:color="auto" w:fill="auto"/>
            <w:noWrap w:val="0"/>
            <w:vAlign w:val="center"/>
          </w:tcPr>
          <w:p w14:paraId="05EC4CA3">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5000</w:t>
            </w:r>
          </w:p>
        </w:tc>
        <w:tc>
          <w:tcPr>
            <w:tcW w:w="439" w:type="pct"/>
            <w:shd w:val="clear" w:color="auto" w:fill="auto"/>
            <w:noWrap w:val="0"/>
            <w:vAlign w:val="center"/>
          </w:tcPr>
          <w:p w14:paraId="4F6705D9">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待定</w:t>
            </w:r>
          </w:p>
        </w:tc>
        <w:tc>
          <w:tcPr>
            <w:tcW w:w="369" w:type="pct"/>
            <w:shd w:val="clear" w:color="auto" w:fill="auto"/>
            <w:noWrap w:val="0"/>
            <w:vAlign w:val="center"/>
          </w:tcPr>
          <w:p w14:paraId="68519804">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柳江区文体广电旅游局</w:t>
            </w:r>
          </w:p>
        </w:tc>
      </w:tr>
      <w:tr w14:paraId="3DE9E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40" w:hRule="atLeast"/>
          <w:jc w:val="center"/>
        </w:trPr>
        <w:tc>
          <w:tcPr>
            <w:tcW w:w="235" w:type="pct"/>
            <w:noWrap w:val="0"/>
            <w:vAlign w:val="center"/>
          </w:tcPr>
          <w:p w14:paraId="7F35DC73">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29</w:t>
            </w:r>
          </w:p>
        </w:tc>
        <w:tc>
          <w:tcPr>
            <w:tcW w:w="1037" w:type="pct"/>
            <w:noWrap w:val="0"/>
            <w:vAlign w:val="center"/>
          </w:tcPr>
          <w:p w14:paraId="74F6D87E">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柳州市柳江区三定岛EOD项目</w:t>
            </w:r>
          </w:p>
        </w:tc>
        <w:tc>
          <w:tcPr>
            <w:tcW w:w="249" w:type="pct"/>
            <w:noWrap w:val="0"/>
            <w:vAlign w:val="center"/>
          </w:tcPr>
          <w:p w14:paraId="2187FC3D">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新建</w:t>
            </w:r>
          </w:p>
        </w:tc>
        <w:tc>
          <w:tcPr>
            <w:tcW w:w="1843" w:type="pct"/>
            <w:noWrap w:val="0"/>
            <w:vAlign w:val="center"/>
          </w:tcPr>
          <w:p w14:paraId="0751ACCD">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项目以国家杂交水稻国际育种中心和一都米为融合发展产业，实施三定岛生态环境治理与特色产业融合发展项目，包括实施农村生态环境治理及高标准农田、中国－东盟（柳州）国家杂交水稻国际育种中心、一都米及客家文化农旅融合发展区以及三千河流域综合治理。</w:t>
            </w:r>
          </w:p>
        </w:tc>
        <w:tc>
          <w:tcPr>
            <w:tcW w:w="443" w:type="pct"/>
            <w:shd w:val="clear" w:color="auto" w:fill="auto"/>
            <w:noWrap w:val="0"/>
            <w:vAlign w:val="center"/>
          </w:tcPr>
          <w:p w14:paraId="20DAEE73">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2024-2030</w:t>
            </w:r>
          </w:p>
        </w:tc>
        <w:tc>
          <w:tcPr>
            <w:tcW w:w="381" w:type="pct"/>
            <w:shd w:val="clear" w:color="auto" w:fill="auto"/>
            <w:noWrap w:val="0"/>
            <w:vAlign w:val="center"/>
          </w:tcPr>
          <w:p w14:paraId="6F8E6D88">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292388</w:t>
            </w:r>
          </w:p>
        </w:tc>
        <w:tc>
          <w:tcPr>
            <w:tcW w:w="439" w:type="pct"/>
            <w:shd w:val="clear" w:color="auto" w:fill="auto"/>
            <w:noWrap w:val="0"/>
            <w:vAlign w:val="center"/>
          </w:tcPr>
          <w:p w14:paraId="4AC9DEE4">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待定</w:t>
            </w:r>
          </w:p>
        </w:tc>
        <w:tc>
          <w:tcPr>
            <w:tcW w:w="369" w:type="pct"/>
            <w:shd w:val="clear" w:color="auto" w:fill="auto"/>
            <w:noWrap w:val="0"/>
            <w:vAlign w:val="center"/>
          </w:tcPr>
          <w:p w14:paraId="1871848F">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柳江区农业农村局</w:t>
            </w:r>
          </w:p>
        </w:tc>
      </w:tr>
      <w:tr w14:paraId="39465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40" w:hRule="atLeast"/>
          <w:jc w:val="center"/>
        </w:trPr>
        <w:tc>
          <w:tcPr>
            <w:tcW w:w="235" w:type="pct"/>
            <w:noWrap w:val="0"/>
            <w:vAlign w:val="center"/>
          </w:tcPr>
          <w:p w14:paraId="12A9DAE6">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30</w:t>
            </w:r>
          </w:p>
        </w:tc>
        <w:tc>
          <w:tcPr>
            <w:tcW w:w="1037" w:type="pct"/>
            <w:noWrap w:val="0"/>
            <w:vAlign w:val="center"/>
          </w:tcPr>
          <w:p w14:paraId="14B71F4D">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柳江区油茶产业融合发展示范基地建设项目</w:t>
            </w:r>
          </w:p>
        </w:tc>
        <w:tc>
          <w:tcPr>
            <w:tcW w:w="249" w:type="pct"/>
            <w:noWrap w:val="0"/>
            <w:vAlign w:val="center"/>
          </w:tcPr>
          <w:p w14:paraId="0CD119DE">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新建</w:t>
            </w:r>
          </w:p>
        </w:tc>
        <w:tc>
          <w:tcPr>
            <w:tcW w:w="1843" w:type="pct"/>
            <w:noWrap w:val="0"/>
            <w:vAlign w:val="center"/>
          </w:tcPr>
          <w:p w14:paraId="000066ED">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该项目由百朋镇油茶“双高”示范基地、土博镇油茶“双高”示范基地、油茶产业（深加工）融合发展示范区、油茶产业电商物流中心4个项目构成；建设油茶“双高”示范基地约3600亩，修建产业路（含林区道路）28.5公里，总建筑面积6.21万平方米。主要建设内容包括产业道路、灌溉水源及水渠、水肥一体化灌溉工程、油茶深加工标准厂房、油茶产品展示厅、物流配送仓、软件平台以及给排水、供配电、储水池等配套设施。</w:t>
            </w:r>
          </w:p>
        </w:tc>
        <w:tc>
          <w:tcPr>
            <w:tcW w:w="443" w:type="pct"/>
            <w:shd w:val="clear" w:color="auto" w:fill="auto"/>
            <w:noWrap w:val="0"/>
            <w:vAlign w:val="center"/>
          </w:tcPr>
          <w:p w14:paraId="0C8AF7FE">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2024-20</w:t>
            </w:r>
            <w:r>
              <w:rPr>
                <w:rFonts w:hint="eastAsia" w:eastAsia="仿宋_GB2312" w:cs="Times New Roman"/>
                <w:sz w:val="24"/>
                <w:szCs w:val="24"/>
                <w:highlight w:val="none"/>
                <w:lang w:val="en-US" w:eastAsia="zh-CN"/>
              </w:rPr>
              <w:t>30</w:t>
            </w:r>
          </w:p>
        </w:tc>
        <w:tc>
          <w:tcPr>
            <w:tcW w:w="381" w:type="pct"/>
            <w:shd w:val="clear" w:color="auto" w:fill="auto"/>
            <w:noWrap w:val="0"/>
            <w:vAlign w:val="center"/>
          </w:tcPr>
          <w:p w14:paraId="55C97C3C">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62028.48</w:t>
            </w:r>
          </w:p>
        </w:tc>
        <w:tc>
          <w:tcPr>
            <w:tcW w:w="439" w:type="pct"/>
            <w:shd w:val="clear" w:color="auto" w:fill="auto"/>
            <w:noWrap w:val="0"/>
            <w:vAlign w:val="center"/>
          </w:tcPr>
          <w:p w14:paraId="769D982F">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待定</w:t>
            </w:r>
          </w:p>
        </w:tc>
        <w:tc>
          <w:tcPr>
            <w:tcW w:w="369" w:type="pct"/>
            <w:shd w:val="clear" w:color="auto" w:fill="auto"/>
            <w:noWrap w:val="0"/>
            <w:vAlign w:val="center"/>
          </w:tcPr>
          <w:p w14:paraId="41B25CA8">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柳江区自然资源局</w:t>
            </w:r>
          </w:p>
        </w:tc>
      </w:tr>
      <w:tr w14:paraId="7DE19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40" w:hRule="atLeast"/>
          <w:jc w:val="center"/>
        </w:trPr>
        <w:tc>
          <w:tcPr>
            <w:tcW w:w="235" w:type="pct"/>
            <w:noWrap w:val="0"/>
            <w:vAlign w:val="center"/>
          </w:tcPr>
          <w:p w14:paraId="16DE498B">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31</w:t>
            </w:r>
          </w:p>
        </w:tc>
        <w:tc>
          <w:tcPr>
            <w:tcW w:w="1037" w:type="pct"/>
            <w:noWrap w:val="0"/>
            <w:vAlign w:val="center"/>
          </w:tcPr>
          <w:p w14:paraId="6B92A380">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柳江区螺蛳粉原材料特色产业建设项目</w:t>
            </w:r>
          </w:p>
        </w:tc>
        <w:tc>
          <w:tcPr>
            <w:tcW w:w="249" w:type="pct"/>
            <w:noWrap w:val="0"/>
            <w:vAlign w:val="center"/>
          </w:tcPr>
          <w:p w14:paraId="25532A10">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新建</w:t>
            </w:r>
          </w:p>
        </w:tc>
        <w:tc>
          <w:tcPr>
            <w:tcW w:w="1843" w:type="pct"/>
            <w:noWrap w:val="0"/>
            <w:vAlign w:val="center"/>
          </w:tcPr>
          <w:p w14:paraId="4FCDE278">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柳江区螺蛳粉原材料特色产业建设项目，涵盖全区8个镇17个种植基地，主导产业为优质稻、豆角、竹笋、木耳、葱花及螺蛳养殖，总规模为41640亩，惠及农户9433户，脱贫户（监测户）1354户，预计总投资6846万元（按1500元每亩估算）。已经曾获得村级农业种植示范基地15个，自治区级农业种植示范基地2个。</w:t>
            </w:r>
          </w:p>
        </w:tc>
        <w:tc>
          <w:tcPr>
            <w:tcW w:w="443" w:type="pct"/>
            <w:noWrap w:val="0"/>
            <w:vAlign w:val="center"/>
          </w:tcPr>
          <w:p w14:paraId="6946E7D3">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2024-2030</w:t>
            </w:r>
          </w:p>
        </w:tc>
        <w:tc>
          <w:tcPr>
            <w:tcW w:w="381" w:type="pct"/>
            <w:noWrap w:val="0"/>
            <w:vAlign w:val="center"/>
          </w:tcPr>
          <w:p w14:paraId="74D133EE">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 xml:space="preserve">5800 </w:t>
            </w:r>
          </w:p>
        </w:tc>
        <w:tc>
          <w:tcPr>
            <w:tcW w:w="439" w:type="pct"/>
            <w:noWrap w:val="0"/>
            <w:vAlign w:val="center"/>
          </w:tcPr>
          <w:p w14:paraId="7E8BCABF">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待定</w:t>
            </w:r>
          </w:p>
        </w:tc>
        <w:tc>
          <w:tcPr>
            <w:tcW w:w="369" w:type="pct"/>
            <w:noWrap w:val="0"/>
            <w:vAlign w:val="center"/>
          </w:tcPr>
          <w:p w14:paraId="47853BE8">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柳江区农业农村局</w:t>
            </w:r>
          </w:p>
        </w:tc>
      </w:tr>
      <w:tr w14:paraId="64B0E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40" w:hRule="atLeast"/>
          <w:jc w:val="center"/>
        </w:trPr>
        <w:tc>
          <w:tcPr>
            <w:tcW w:w="235" w:type="pct"/>
            <w:noWrap w:val="0"/>
            <w:vAlign w:val="center"/>
          </w:tcPr>
          <w:p w14:paraId="1FCB5352">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32</w:t>
            </w:r>
          </w:p>
        </w:tc>
        <w:tc>
          <w:tcPr>
            <w:tcW w:w="1037" w:type="pct"/>
            <w:noWrap w:val="0"/>
            <w:vAlign w:val="center"/>
          </w:tcPr>
          <w:p w14:paraId="52D578BC">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柳州市柳江区穿山镇板塘村种养一体化循环养殖项目</w:t>
            </w:r>
          </w:p>
        </w:tc>
        <w:tc>
          <w:tcPr>
            <w:tcW w:w="249" w:type="pct"/>
            <w:noWrap w:val="0"/>
            <w:vAlign w:val="center"/>
          </w:tcPr>
          <w:p w14:paraId="30CEBC77">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新建</w:t>
            </w:r>
          </w:p>
        </w:tc>
        <w:tc>
          <w:tcPr>
            <w:tcW w:w="1843" w:type="pct"/>
            <w:noWrap w:val="0"/>
            <w:vAlign w:val="center"/>
          </w:tcPr>
          <w:p w14:paraId="109FB7DC">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项目位于穿山镇板塘村，用地面积约200亩，建筑面积约13.3万平方米，建设包含隔离室、产仔舍等其他配套设施，年出栏17万头生猪。</w:t>
            </w:r>
          </w:p>
        </w:tc>
        <w:tc>
          <w:tcPr>
            <w:tcW w:w="443" w:type="pct"/>
            <w:noWrap w:val="0"/>
            <w:vAlign w:val="center"/>
          </w:tcPr>
          <w:p w14:paraId="1C5C8EDE">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2024-2027</w:t>
            </w:r>
          </w:p>
        </w:tc>
        <w:tc>
          <w:tcPr>
            <w:tcW w:w="381" w:type="pct"/>
            <w:noWrap w:val="0"/>
            <w:vAlign w:val="center"/>
          </w:tcPr>
          <w:p w14:paraId="23BBF2C9">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 xml:space="preserve">8000 </w:t>
            </w:r>
          </w:p>
        </w:tc>
        <w:tc>
          <w:tcPr>
            <w:tcW w:w="439" w:type="pct"/>
            <w:noWrap w:val="0"/>
            <w:vAlign w:val="center"/>
          </w:tcPr>
          <w:p w14:paraId="70FA3F0A">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待定</w:t>
            </w:r>
          </w:p>
        </w:tc>
        <w:tc>
          <w:tcPr>
            <w:tcW w:w="369" w:type="pct"/>
            <w:noWrap w:val="0"/>
            <w:vAlign w:val="center"/>
          </w:tcPr>
          <w:p w14:paraId="6D748DB5">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柳江区农业农村局</w:t>
            </w:r>
          </w:p>
        </w:tc>
      </w:tr>
      <w:tr w14:paraId="2E183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40" w:hRule="atLeast"/>
          <w:jc w:val="center"/>
        </w:trPr>
        <w:tc>
          <w:tcPr>
            <w:tcW w:w="235" w:type="pct"/>
            <w:noWrap w:val="0"/>
            <w:vAlign w:val="center"/>
          </w:tcPr>
          <w:p w14:paraId="17D24543">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33</w:t>
            </w:r>
          </w:p>
        </w:tc>
        <w:tc>
          <w:tcPr>
            <w:tcW w:w="1037" w:type="pct"/>
            <w:noWrap w:val="0"/>
            <w:vAlign w:val="center"/>
          </w:tcPr>
          <w:p w14:paraId="7C970DFA">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零碳新能源及配套产业项目</w:t>
            </w:r>
          </w:p>
        </w:tc>
        <w:tc>
          <w:tcPr>
            <w:tcW w:w="249" w:type="pct"/>
            <w:noWrap w:val="0"/>
            <w:vAlign w:val="center"/>
          </w:tcPr>
          <w:p w14:paraId="1E0C2A87">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新建</w:t>
            </w:r>
          </w:p>
        </w:tc>
        <w:tc>
          <w:tcPr>
            <w:tcW w:w="1843" w:type="pct"/>
            <w:noWrap w:val="0"/>
            <w:vAlign w:val="center"/>
          </w:tcPr>
          <w:p w14:paraId="2895F662">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项目拟以园区碳管理平台、区域能源管理平台为抓手，配套建设并利用柳江区风、光、储等新能源项目，打造柳江区零碳园区示范项目。</w:t>
            </w:r>
          </w:p>
        </w:tc>
        <w:tc>
          <w:tcPr>
            <w:tcW w:w="443" w:type="pct"/>
            <w:noWrap w:val="0"/>
            <w:vAlign w:val="center"/>
          </w:tcPr>
          <w:p w14:paraId="37060308">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2025-2030</w:t>
            </w:r>
          </w:p>
        </w:tc>
        <w:tc>
          <w:tcPr>
            <w:tcW w:w="381" w:type="pct"/>
            <w:noWrap w:val="0"/>
            <w:vAlign w:val="center"/>
          </w:tcPr>
          <w:p w14:paraId="6FC36B06">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210000</w:t>
            </w:r>
          </w:p>
        </w:tc>
        <w:tc>
          <w:tcPr>
            <w:tcW w:w="439" w:type="pct"/>
            <w:noWrap w:val="0"/>
            <w:vAlign w:val="center"/>
          </w:tcPr>
          <w:p w14:paraId="1BFC822B">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待定</w:t>
            </w:r>
          </w:p>
        </w:tc>
        <w:tc>
          <w:tcPr>
            <w:tcW w:w="369" w:type="pct"/>
            <w:noWrap w:val="0"/>
            <w:vAlign w:val="center"/>
          </w:tcPr>
          <w:p w14:paraId="2F7826CD">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柳江区发展改革局</w:t>
            </w:r>
          </w:p>
        </w:tc>
      </w:tr>
      <w:tr w14:paraId="37C84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40" w:hRule="atLeast"/>
          <w:jc w:val="center"/>
        </w:trPr>
        <w:tc>
          <w:tcPr>
            <w:tcW w:w="235" w:type="pct"/>
            <w:noWrap w:val="0"/>
            <w:vAlign w:val="center"/>
          </w:tcPr>
          <w:p w14:paraId="725138FB">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b/>
                <w:bCs/>
                <w:sz w:val="24"/>
                <w:szCs w:val="24"/>
                <w:highlight w:val="none"/>
                <w:lang w:val="en-US" w:eastAsia="zh-CN"/>
              </w:rPr>
            </w:pPr>
            <w:r>
              <w:rPr>
                <w:rFonts w:hint="default" w:eastAsia="仿宋_GB2312" w:cs="Times New Roman"/>
                <w:b/>
                <w:bCs/>
                <w:sz w:val="24"/>
                <w:szCs w:val="24"/>
                <w:highlight w:val="none"/>
                <w:lang w:val="en-US" w:eastAsia="zh-CN"/>
              </w:rPr>
              <w:t>五、</w:t>
            </w:r>
          </w:p>
        </w:tc>
        <w:tc>
          <w:tcPr>
            <w:tcW w:w="1037" w:type="pct"/>
            <w:noWrap w:val="0"/>
            <w:vAlign w:val="center"/>
          </w:tcPr>
          <w:p w14:paraId="68D783F5">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b/>
                <w:bCs/>
                <w:sz w:val="24"/>
                <w:szCs w:val="24"/>
                <w:highlight w:val="none"/>
                <w:lang w:val="en-US" w:eastAsia="zh-CN"/>
              </w:rPr>
            </w:pPr>
            <w:r>
              <w:rPr>
                <w:rFonts w:hint="default" w:eastAsia="仿宋_GB2312" w:cs="Times New Roman"/>
                <w:b/>
                <w:bCs/>
                <w:sz w:val="24"/>
                <w:szCs w:val="24"/>
                <w:highlight w:val="none"/>
                <w:lang w:val="en-US" w:eastAsia="zh-CN"/>
              </w:rPr>
              <w:t>生态生活体系建设项目</w:t>
            </w:r>
          </w:p>
        </w:tc>
        <w:tc>
          <w:tcPr>
            <w:tcW w:w="249" w:type="pct"/>
            <w:noWrap w:val="0"/>
            <w:vAlign w:val="center"/>
          </w:tcPr>
          <w:p w14:paraId="105D4C45">
            <w:pPr>
              <w:keepNext w:val="0"/>
              <w:keepLines w:val="0"/>
              <w:pageBreakBefore w:val="0"/>
              <w:kinsoku/>
              <w:wordWrap/>
              <w:overflowPunct/>
              <w:topLinePunct w:val="0"/>
              <w:autoSpaceDE/>
              <w:autoSpaceDN/>
              <w:bidi w:val="0"/>
              <w:adjustRightInd w:val="0"/>
              <w:snapToGrid w:val="0"/>
              <w:spacing w:line="360" w:lineRule="exact"/>
              <w:ind w:firstLine="0" w:firstLineChars="0"/>
              <w:jc w:val="center"/>
              <w:textAlignment w:val="center"/>
              <w:rPr>
                <w:rFonts w:hint="default" w:ascii="Times New Roman" w:hAnsi="Times New Roman" w:eastAsia="仿宋" w:cs="Times New Roman"/>
                <w:sz w:val="24"/>
                <w:szCs w:val="24"/>
                <w:highlight w:val="yellow"/>
              </w:rPr>
            </w:pPr>
          </w:p>
        </w:tc>
        <w:tc>
          <w:tcPr>
            <w:tcW w:w="1843" w:type="pct"/>
            <w:noWrap w:val="0"/>
            <w:vAlign w:val="center"/>
          </w:tcPr>
          <w:p w14:paraId="357F1D2D">
            <w:pPr>
              <w:keepNext w:val="0"/>
              <w:keepLines w:val="0"/>
              <w:pageBreakBefore w:val="0"/>
              <w:kinsoku/>
              <w:wordWrap/>
              <w:overflowPunct/>
              <w:topLinePunct w:val="0"/>
              <w:autoSpaceDE/>
              <w:autoSpaceDN/>
              <w:bidi w:val="0"/>
              <w:adjustRightInd w:val="0"/>
              <w:snapToGrid w:val="0"/>
              <w:spacing w:line="360" w:lineRule="exact"/>
              <w:ind w:firstLine="0" w:firstLineChars="0"/>
              <w:textAlignment w:val="center"/>
              <w:rPr>
                <w:rFonts w:hint="default" w:ascii="Times New Roman" w:hAnsi="Times New Roman" w:eastAsia="仿宋" w:cs="Times New Roman"/>
                <w:sz w:val="24"/>
                <w:szCs w:val="24"/>
                <w:highlight w:val="yellow"/>
              </w:rPr>
            </w:pPr>
          </w:p>
        </w:tc>
        <w:tc>
          <w:tcPr>
            <w:tcW w:w="443" w:type="pct"/>
            <w:noWrap w:val="0"/>
            <w:vAlign w:val="center"/>
          </w:tcPr>
          <w:p w14:paraId="388288EF">
            <w:pPr>
              <w:keepNext w:val="0"/>
              <w:keepLines w:val="0"/>
              <w:pageBreakBefore w:val="0"/>
              <w:kinsoku/>
              <w:wordWrap/>
              <w:overflowPunct/>
              <w:topLinePunct w:val="0"/>
              <w:autoSpaceDE/>
              <w:autoSpaceDN/>
              <w:bidi w:val="0"/>
              <w:adjustRightInd w:val="0"/>
              <w:snapToGrid w:val="0"/>
              <w:spacing w:line="360" w:lineRule="exact"/>
              <w:ind w:firstLine="0" w:firstLineChars="0"/>
              <w:jc w:val="center"/>
              <w:textAlignment w:val="center"/>
              <w:rPr>
                <w:rFonts w:hint="default" w:ascii="Times New Roman" w:hAnsi="Times New Roman" w:eastAsia="仿宋" w:cs="Times New Roman"/>
                <w:sz w:val="24"/>
                <w:szCs w:val="24"/>
                <w:highlight w:val="yellow"/>
              </w:rPr>
            </w:pPr>
          </w:p>
        </w:tc>
        <w:tc>
          <w:tcPr>
            <w:tcW w:w="381" w:type="pct"/>
            <w:noWrap w:val="0"/>
            <w:vAlign w:val="center"/>
          </w:tcPr>
          <w:p w14:paraId="004C881E">
            <w:pPr>
              <w:keepNext w:val="0"/>
              <w:keepLines w:val="0"/>
              <w:pageBreakBefore w:val="0"/>
              <w:kinsoku/>
              <w:wordWrap/>
              <w:overflowPunct/>
              <w:topLinePunct w:val="0"/>
              <w:autoSpaceDE/>
              <w:autoSpaceDN/>
              <w:bidi w:val="0"/>
              <w:adjustRightInd w:val="0"/>
              <w:snapToGrid w:val="0"/>
              <w:spacing w:line="360" w:lineRule="exact"/>
              <w:ind w:firstLine="0" w:firstLineChars="0"/>
              <w:jc w:val="center"/>
              <w:textAlignment w:val="center"/>
              <w:rPr>
                <w:rFonts w:hint="default" w:ascii="Times New Roman" w:hAnsi="Times New Roman" w:eastAsia="仿宋" w:cs="Times New Roman"/>
                <w:b/>
                <w:bCs/>
                <w:sz w:val="24"/>
                <w:szCs w:val="24"/>
                <w:highlight w:val="yellow"/>
              </w:rPr>
            </w:pPr>
          </w:p>
        </w:tc>
        <w:tc>
          <w:tcPr>
            <w:tcW w:w="439" w:type="pct"/>
            <w:noWrap w:val="0"/>
            <w:vAlign w:val="center"/>
          </w:tcPr>
          <w:p w14:paraId="27A1F7E9">
            <w:pPr>
              <w:keepNext w:val="0"/>
              <w:keepLines w:val="0"/>
              <w:pageBreakBefore w:val="0"/>
              <w:kinsoku/>
              <w:wordWrap/>
              <w:overflowPunct/>
              <w:topLinePunct w:val="0"/>
              <w:autoSpaceDE/>
              <w:autoSpaceDN/>
              <w:bidi w:val="0"/>
              <w:adjustRightInd w:val="0"/>
              <w:snapToGrid w:val="0"/>
              <w:spacing w:line="360" w:lineRule="exact"/>
              <w:ind w:firstLine="0" w:firstLineChars="0"/>
              <w:jc w:val="center"/>
              <w:textAlignment w:val="center"/>
              <w:rPr>
                <w:rFonts w:hint="default" w:ascii="Times New Roman" w:hAnsi="Times New Roman" w:eastAsia="仿宋" w:cs="Times New Roman"/>
                <w:b/>
                <w:bCs/>
                <w:sz w:val="24"/>
                <w:szCs w:val="24"/>
                <w:highlight w:val="yellow"/>
              </w:rPr>
            </w:pPr>
          </w:p>
        </w:tc>
        <w:tc>
          <w:tcPr>
            <w:tcW w:w="369" w:type="pct"/>
            <w:noWrap w:val="0"/>
            <w:vAlign w:val="center"/>
          </w:tcPr>
          <w:p w14:paraId="5887FA7C">
            <w:pPr>
              <w:keepNext w:val="0"/>
              <w:keepLines w:val="0"/>
              <w:pageBreakBefore w:val="0"/>
              <w:kinsoku/>
              <w:wordWrap/>
              <w:overflowPunct/>
              <w:topLinePunct w:val="0"/>
              <w:autoSpaceDE/>
              <w:autoSpaceDN/>
              <w:bidi w:val="0"/>
              <w:adjustRightInd w:val="0"/>
              <w:snapToGrid w:val="0"/>
              <w:spacing w:line="360" w:lineRule="exact"/>
              <w:ind w:firstLine="0" w:firstLineChars="0"/>
              <w:jc w:val="center"/>
              <w:textAlignment w:val="center"/>
              <w:rPr>
                <w:rFonts w:hint="default" w:ascii="Times New Roman" w:hAnsi="Times New Roman" w:eastAsia="仿宋" w:cs="Times New Roman"/>
                <w:sz w:val="24"/>
                <w:szCs w:val="24"/>
                <w:highlight w:val="yellow"/>
              </w:rPr>
            </w:pPr>
          </w:p>
        </w:tc>
      </w:tr>
      <w:tr w14:paraId="6D210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40" w:hRule="atLeast"/>
          <w:jc w:val="center"/>
        </w:trPr>
        <w:tc>
          <w:tcPr>
            <w:tcW w:w="235" w:type="pct"/>
            <w:noWrap w:val="0"/>
            <w:vAlign w:val="center"/>
          </w:tcPr>
          <w:p w14:paraId="074D81A6">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1</w:t>
            </w:r>
          </w:p>
        </w:tc>
        <w:tc>
          <w:tcPr>
            <w:tcW w:w="1037" w:type="pct"/>
            <w:noWrap w:val="0"/>
            <w:vAlign w:val="center"/>
          </w:tcPr>
          <w:p w14:paraId="2570C9E7">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柳江区乡村振兴建设工程—乡村风貌提升“三清三拆”工程</w:t>
            </w:r>
          </w:p>
        </w:tc>
        <w:tc>
          <w:tcPr>
            <w:tcW w:w="249" w:type="pct"/>
            <w:noWrap w:val="0"/>
            <w:vAlign w:val="center"/>
          </w:tcPr>
          <w:p w14:paraId="3FA68115">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新建</w:t>
            </w:r>
          </w:p>
        </w:tc>
        <w:tc>
          <w:tcPr>
            <w:tcW w:w="1843" w:type="pct"/>
            <w:noWrap w:val="0"/>
            <w:vAlign w:val="center"/>
          </w:tcPr>
          <w:p w14:paraId="0BFA6179">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项目由百朋镇怀洪村勉达屯、成团镇龙山村戈茶屯、三都镇龙兴村久远屯、土博镇甘贡村板贡屯、进德镇泗浪村太平屯、进德镇泗浪村小平屯、拉堡镇黄岭村汶村屯共7个村屯基础设施建设工程项目构成。主要建设内容包括改扩建村屯道路、污水治理、河道治理、安装路灯，改造围墙、院落、宣传栏，以及景观绿化、场地铺装，修建村屯管理用房、公厕、游泳池、停车场、休闲广场、健身设施等公共服务设施。</w:t>
            </w:r>
          </w:p>
        </w:tc>
        <w:tc>
          <w:tcPr>
            <w:tcW w:w="443" w:type="pct"/>
            <w:noWrap w:val="0"/>
            <w:vAlign w:val="center"/>
          </w:tcPr>
          <w:p w14:paraId="0CCFDDF2">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2023-2024</w:t>
            </w:r>
          </w:p>
        </w:tc>
        <w:tc>
          <w:tcPr>
            <w:tcW w:w="381" w:type="pct"/>
            <w:noWrap w:val="0"/>
            <w:vAlign w:val="center"/>
          </w:tcPr>
          <w:p w14:paraId="0C31EE46">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1465.83</w:t>
            </w:r>
          </w:p>
        </w:tc>
        <w:tc>
          <w:tcPr>
            <w:tcW w:w="439" w:type="pct"/>
            <w:noWrap w:val="0"/>
            <w:vAlign w:val="center"/>
          </w:tcPr>
          <w:p w14:paraId="51BD4540">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其他资金（包括PPP、银行贷款、自筹等）</w:t>
            </w:r>
          </w:p>
        </w:tc>
        <w:tc>
          <w:tcPr>
            <w:tcW w:w="369" w:type="pct"/>
            <w:noWrap w:val="0"/>
            <w:vAlign w:val="center"/>
          </w:tcPr>
          <w:p w14:paraId="1470C490">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柳江区乡村振兴局</w:t>
            </w:r>
          </w:p>
        </w:tc>
      </w:tr>
      <w:tr w14:paraId="45F48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40" w:hRule="atLeast"/>
          <w:jc w:val="center"/>
        </w:trPr>
        <w:tc>
          <w:tcPr>
            <w:tcW w:w="235" w:type="pct"/>
            <w:noWrap w:val="0"/>
            <w:vAlign w:val="center"/>
          </w:tcPr>
          <w:p w14:paraId="0BF2683B">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2</w:t>
            </w:r>
          </w:p>
        </w:tc>
        <w:tc>
          <w:tcPr>
            <w:tcW w:w="1037" w:type="pct"/>
            <w:noWrap w:val="0"/>
            <w:vAlign w:val="center"/>
          </w:tcPr>
          <w:p w14:paraId="799EB5AD">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柳江区城乡供水一体化工程项目—进德、百朋及穿山水厂迁建（改扩建）工程</w:t>
            </w:r>
          </w:p>
        </w:tc>
        <w:tc>
          <w:tcPr>
            <w:tcW w:w="249" w:type="pct"/>
            <w:noWrap w:val="0"/>
            <w:vAlign w:val="center"/>
          </w:tcPr>
          <w:p w14:paraId="147D0FC2">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新建</w:t>
            </w:r>
          </w:p>
        </w:tc>
        <w:tc>
          <w:tcPr>
            <w:tcW w:w="1843" w:type="pct"/>
            <w:noWrap w:val="0"/>
            <w:vAlign w:val="center"/>
          </w:tcPr>
          <w:p w14:paraId="4F12DD86">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迁建（改扩建）穿山、百朋及进德水厂，规划总用地面积22.397亩，配套建设供水管道69.5公里，设计供水规模2.7万立方米/日，分两期建设。主要建设取水泵房、絮凝沉淀池、清水池、滤池和配套建设供水管网工程等。</w:t>
            </w:r>
          </w:p>
        </w:tc>
        <w:tc>
          <w:tcPr>
            <w:tcW w:w="443" w:type="pct"/>
            <w:noWrap w:val="0"/>
            <w:vAlign w:val="center"/>
          </w:tcPr>
          <w:p w14:paraId="4AC34BCC">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2023-2024</w:t>
            </w:r>
          </w:p>
        </w:tc>
        <w:tc>
          <w:tcPr>
            <w:tcW w:w="381" w:type="pct"/>
            <w:noWrap w:val="0"/>
            <w:vAlign w:val="center"/>
          </w:tcPr>
          <w:p w14:paraId="2B89AB06">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 xml:space="preserve">13970 </w:t>
            </w:r>
          </w:p>
        </w:tc>
        <w:tc>
          <w:tcPr>
            <w:tcW w:w="439" w:type="pct"/>
            <w:noWrap w:val="0"/>
            <w:vAlign w:val="center"/>
          </w:tcPr>
          <w:p w14:paraId="7E3A367F">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其他资金（包括PPP、银行贷款、自筹等）</w:t>
            </w:r>
          </w:p>
        </w:tc>
        <w:tc>
          <w:tcPr>
            <w:tcW w:w="369" w:type="pct"/>
            <w:noWrap w:val="0"/>
            <w:vAlign w:val="center"/>
          </w:tcPr>
          <w:p w14:paraId="7C016790">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柳江区发展改革局、柳江区水利局</w:t>
            </w:r>
          </w:p>
        </w:tc>
      </w:tr>
      <w:tr w14:paraId="77542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40" w:hRule="atLeast"/>
          <w:jc w:val="center"/>
        </w:trPr>
        <w:tc>
          <w:tcPr>
            <w:tcW w:w="235" w:type="pct"/>
            <w:noWrap w:val="0"/>
            <w:vAlign w:val="center"/>
          </w:tcPr>
          <w:p w14:paraId="3B75CB04">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3</w:t>
            </w:r>
          </w:p>
        </w:tc>
        <w:tc>
          <w:tcPr>
            <w:tcW w:w="1037" w:type="pct"/>
            <w:noWrap w:val="0"/>
            <w:vAlign w:val="center"/>
          </w:tcPr>
          <w:p w14:paraId="10446F89">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柳江区城乡供水一体化工程项目—三都、里高及土博水厂改扩建工程</w:t>
            </w:r>
          </w:p>
        </w:tc>
        <w:tc>
          <w:tcPr>
            <w:tcW w:w="249" w:type="pct"/>
            <w:noWrap w:val="0"/>
            <w:vAlign w:val="center"/>
          </w:tcPr>
          <w:p w14:paraId="2811F3C6">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新建</w:t>
            </w:r>
          </w:p>
        </w:tc>
        <w:tc>
          <w:tcPr>
            <w:tcW w:w="1843" w:type="pct"/>
            <w:noWrap w:val="0"/>
            <w:vAlign w:val="center"/>
          </w:tcPr>
          <w:p w14:paraId="247FDC45">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改扩建三都、里高级土博水厂，规划总用地约17.42亩，设计供水规模1万立方米/日，配套铺设供水管网26.25公里。主要建设取水泵房、絮凝沉淀池、清水池、滤池，购置一体化净水设备和供水管网工程。</w:t>
            </w:r>
          </w:p>
        </w:tc>
        <w:tc>
          <w:tcPr>
            <w:tcW w:w="443" w:type="pct"/>
            <w:noWrap w:val="0"/>
            <w:vAlign w:val="center"/>
          </w:tcPr>
          <w:p w14:paraId="6EBAE208">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2023-2024</w:t>
            </w:r>
          </w:p>
        </w:tc>
        <w:tc>
          <w:tcPr>
            <w:tcW w:w="381" w:type="pct"/>
            <w:noWrap w:val="0"/>
            <w:vAlign w:val="center"/>
          </w:tcPr>
          <w:p w14:paraId="5AAA89B5">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 xml:space="preserve">7896 </w:t>
            </w:r>
          </w:p>
        </w:tc>
        <w:tc>
          <w:tcPr>
            <w:tcW w:w="439" w:type="pct"/>
            <w:noWrap w:val="0"/>
            <w:vAlign w:val="center"/>
          </w:tcPr>
          <w:p w14:paraId="0FABC4B0">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其他资金（包括PPP、银行贷款、自筹等）</w:t>
            </w:r>
          </w:p>
        </w:tc>
        <w:tc>
          <w:tcPr>
            <w:tcW w:w="369" w:type="pct"/>
            <w:noWrap w:val="0"/>
            <w:vAlign w:val="center"/>
          </w:tcPr>
          <w:p w14:paraId="77D9E07A">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柳江区发展改革局、柳江区水利局</w:t>
            </w:r>
          </w:p>
        </w:tc>
      </w:tr>
      <w:tr w14:paraId="44732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40" w:hRule="atLeast"/>
          <w:jc w:val="center"/>
        </w:trPr>
        <w:tc>
          <w:tcPr>
            <w:tcW w:w="235" w:type="pct"/>
            <w:noWrap w:val="0"/>
            <w:vAlign w:val="center"/>
          </w:tcPr>
          <w:p w14:paraId="5BC76C72">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4</w:t>
            </w:r>
          </w:p>
        </w:tc>
        <w:tc>
          <w:tcPr>
            <w:tcW w:w="1037" w:type="pct"/>
            <w:noWrap w:val="0"/>
            <w:vAlign w:val="center"/>
          </w:tcPr>
          <w:p w14:paraId="445FFBA2">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柳江区城乡供水一体化工程项目—北弓水厂改扩建工程</w:t>
            </w:r>
          </w:p>
        </w:tc>
        <w:tc>
          <w:tcPr>
            <w:tcW w:w="249" w:type="pct"/>
            <w:noWrap w:val="0"/>
            <w:vAlign w:val="center"/>
          </w:tcPr>
          <w:p w14:paraId="4A861E8C">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续建</w:t>
            </w:r>
          </w:p>
        </w:tc>
        <w:tc>
          <w:tcPr>
            <w:tcW w:w="1843" w:type="pct"/>
            <w:noWrap w:val="0"/>
            <w:vAlign w:val="center"/>
          </w:tcPr>
          <w:p w14:paraId="38C088FF">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改扩建北工水厂，规划用地面积约12.73亩(水厂迁建用地10.64 亩，取水点用地2.09亩)，设计供水规模3.5万立方米/日，项目分两期建设。其中：一期工程设计供水规模2万立方米/日。二期工程设计规模1.5万立方米/日。主要建设取水泵房、絮凝沉淀池、清水池、滤池以及配套铺设供水管网64.5公里等。</w:t>
            </w:r>
          </w:p>
        </w:tc>
        <w:tc>
          <w:tcPr>
            <w:tcW w:w="443" w:type="pct"/>
            <w:noWrap w:val="0"/>
            <w:vAlign w:val="center"/>
          </w:tcPr>
          <w:p w14:paraId="18042B3D">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2022-2024</w:t>
            </w:r>
          </w:p>
        </w:tc>
        <w:tc>
          <w:tcPr>
            <w:tcW w:w="381" w:type="pct"/>
            <w:noWrap w:val="0"/>
            <w:vAlign w:val="center"/>
          </w:tcPr>
          <w:p w14:paraId="67A42500">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 xml:space="preserve">19807 </w:t>
            </w:r>
          </w:p>
        </w:tc>
        <w:tc>
          <w:tcPr>
            <w:tcW w:w="439" w:type="pct"/>
            <w:noWrap w:val="0"/>
            <w:vAlign w:val="center"/>
          </w:tcPr>
          <w:p w14:paraId="170E3617">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其他资金（包括PPP、银行贷款、自筹等）</w:t>
            </w:r>
          </w:p>
        </w:tc>
        <w:tc>
          <w:tcPr>
            <w:tcW w:w="369" w:type="pct"/>
            <w:noWrap w:val="0"/>
            <w:vAlign w:val="center"/>
          </w:tcPr>
          <w:p w14:paraId="16888ED4">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柳江区发展改革局、柳江区水利局</w:t>
            </w:r>
          </w:p>
        </w:tc>
      </w:tr>
      <w:tr w14:paraId="16F64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40" w:hRule="atLeast"/>
          <w:jc w:val="center"/>
        </w:trPr>
        <w:tc>
          <w:tcPr>
            <w:tcW w:w="235" w:type="pct"/>
            <w:noWrap w:val="0"/>
            <w:vAlign w:val="center"/>
          </w:tcPr>
          <w:p w14:paraId="22318720">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5</w:t>
            </w:r>
          </w:p>
        </w:tc>
        <w:tc>
          <w:tcPr>
            <w:tcW w:w="1037" w:type="pct"/>
            <w:noWrap w:val="0"/>
            <w:vAlign w:val="center"/>
          </w:tcPr>
          <w:p w14:paraId="105A4323">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柳江新城区污水管网三期</w:t>
            </w:r>
          </w:p>
        </w:tc>
        <w:tc>
          <w:tcPr>
            <w:tcW w:w="249" w:type="pct"/>
            <w:noWrap w:val="0"/>
            <w:vAlign w:val="center"/>
          </w:tcPr>
          <w:p w14:paraId="0AC07EFB">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续建</w:t>
            </w:r>
          </w:p>
        </w:tc>
        <w:tc>
          <w:tcPr>
            <w:tcW w:w="1843" w:type="pct"/>
            <w:noWrap w:val="0"/>
            <w:vAlign w:val="center"/>
          </w:tcPr>
          <w:p w14:paraId="7B7C406B">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属老城区及新城区污水主管网项目，解决部分污水未纳入污水处理厂处理问题，完成中央环保督察反馈事项整改。新建污水管网总长12520米，主要建设内容包括管渠沟槽开挖、购置并敷设污水管网、回填土方等。</w:t>
            </w:r>
          </w:p>
        </w:tc>
        <w:tc>
          <w:tcPr>
            <w:tcW w:w="443" w:type="pct"/>
            <w:noWrap w:val="0"/>
            <w:vAlign w:val="center"/>
          </w:tcPr>
          <w:p w14:paraId="6883A821">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2021-2024</w:t>
            </w:r>
          </w:p>
        </w:tc>
        <w:tc>
          <w:tcPr>
            <w:tcW w:w="381" w:type="pct"/>
            <w:noWrap w:val="0"/>
            <w:vAlign w:val="center"/>
          </w:tcPr>
          <w:p w14:paraId="19A374C2">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4443</w:t>
            </w:r>
          </w:p>
        </w:tc>
        <w:tc>
          <w:tcPr>
            <w:tcW w:w="439" w:type="pct"/>
            <w:noWrap w:val="0"/>
            <w:vAlign w:val="center"/>
          </w:tcPr>
          <w:p w14:paraId="54154325">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其他资金（包括PPP、银行贷款、自筹等）</w:t>
            </w:r>
          </w:p>
        </w:tc>
        <w:tc>
          <w:tcPr>
            <w:tcW w:w="369" w:type="pct"/>
            <w:noWrap w:val="0"/>
            <w:vAlign w:val="center"/>
          </w:tcPr>
          <w:p w14:paraId="6F385B7C">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柳江区住房城乡建设局</w:t>
            </w:r>
          </w:p>
        </w:tc>
      </w:tr>
      <w:tr w14:paraId="2BFDE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40" w:hRule="atLeast"/>
          <w:jc w:val="center"/>
        </w:trPr>
        <w:tc>
          <w:tcPr>
            <w:tcW w:w="235" w:type="pct"/>
            <w:noWrap w:val="0"/>
            <w:vAlign w:val="center"/>
          </w:tcPr>
          <w:p w14:paraId="1899D50A">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6</w:t>
            </w:r>
          </w:p>
        </w:tc>
        <w:tc>
          <w:tcPr>
            <w:tcW w:w="1037" w:type="pct"/>
            <w:noWrap w:val="0"/>
            <w:vAlign w:val="center"/>
          </w:tcPr>
          <w:p w14:paraId="5E77172E">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柳州市柳江区农村生活污水治理项目</w:t>
            </w:r>
          </w:p>
        </w:tc>
        <w:tc>
          <w:tcPr>
            <w:tcW w:w="249" w:type="pct"/>
            <w:noWrap w:val="0"/>
            <w:vAlign w:val="center"/>
          </w:tcPr>
          <w:p w14:paraId="444E95F3">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续建</w:t>
            </w:r>
          </w:p>
        </w:tc>
        <w:tc>
          <w:tcPr>
            <w:tcW w:w="1843" w:type="pct"/>
            <w:noWrap w:val="0"/>
            <w:vAlign w:val="center"/>
          </w:tcPr>
          <w:p w14:paraId="5A6DD7C1">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在柳江区150个自然屯建设150座污水处理站（构筑物）及配套新改建污水管网，采用生物接触氧化的工艺处理农村污水，污水处理量3596吨/日。主要建设格栅渠、沉砂池、沉淀池、调节池等。</w:t>
            </w:r>
          </w:p>
        </w:tc>
        <w:tc>
          <w:tcPr>
            <w:tcW w:w="443" w:type="pct"/>
            <w:noWrap w:val="0"/>
            <w:vAlign w:val="center"/>
          </w:tcPr>
          <w:p w14:paraId="5EA51DEF">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2020-2030</w:t>
            </w:r>
          </w:p>
        </w:tc>
        <w:tc>
          <w:tcPr>
            <w:tcW w:w="381" w:type="pct"/>
            <w:noWrap w:val="0"/>
            <w:vAlign w:val="center"/>
          </w:tcPr>
          <w:p w14:paraId="2405C2B4">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 xml:space="preserve">23007 </w:t>
            </w:r>
          </w:p>
        </w:tc>
        <w:tc>
          <w:tcPr>
            <w:tcW w:w="439" w:type="pct"/>
            <w:noWrap w:val="0"/>
            <w:vAlign w:val="center"/>
          </w:tcPr>
          <w:p w14:paraId="6706E448">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上级资金</w:t>
            </w:r>
          </w:p>
        </w:tc>
        <w:tc>
          <w:tcPr>
            <w:tcW w:w="369" w:type="pct"/>
            <w:noWrap w:val="0"/>
            <w:vAlign w:val="center"/>
          </w:tcPr>
          <w:p w14:paraId="0EB95277">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柳州市柳江生态环境局</w:t>
            </w:r>
          </w:p>
        </w:tc>
      </w:tr>
      <w:tr w14:paraId="6271B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40" w:hRule="atLeast"/>
          <w:jc w:val="center"/>
        </w:trPr>
        <w:tc>
          <w:tcPr>
            <w:tcW w:w="235" w:type="pct"/>
            <w:noWrap w:val="0"/>
            <w:vAlign w:val="center"/>
          </w:tcPr>
          <w:p w14:paraId="0C6D07F8">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仿宋_GB2312" w:cs="Times New Roman"/>
                <w:kern w:val="2"/>
                <w:sz w:val="24"/>
                <w:szCs w:val="24"/>
                <w:highlight w:val="none"/>
                <w:lang w:val="en-US" w:eastAsia="zh-CN" w:bidi="ar-SA"/>
              </w:rPr>
            </w:pPr>
            <w:r>
              <w:rPr>
                <w:rFonts w:hint="default" w:eastAsia="仿宋_GB2312" w:cs="Times New Roman"/>
                <w:sz w:val="24"/>
                <w:szCs w:val="24"/>
                <w:highlight w:val="none"/>
                <w:lang w:val="en-US" w:eastAsia="zh-CN"/>
              </w:rPr>
              <w:t>7</w:t>
            </w:r>
          </w:p>
        </w:tc>
        <w:tc>
          <w:tcPr>
            <w:tcW w:w="1037" w:type="pct"/>
            <w:noWrap w:val="0"/>
            <w:vAlign w:val="center"/>
          </w:tcPr>
          <w:p w14:paraId="4AD69A5C">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广西柳州市水环境治理项目</w:t>
            </w:r>
          </w:p>
        </w:tc>
        <w:tc>
          <w:tcPr>
            <w:tcW w:w="249" w:type="pct"/>
            <w:noWrap w:val="0"/>
            <w:vAlign w:val="center"/>
          </w:tcPr>
          <w:p w14:paraId="23253C36">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续建</w:t>
            </w:r>
          </w:p>
        </w:tc>
        <w:tc>
          <w:tcPr>
            <w:tcW w:w="1843" w:type="pct"/>
            <w:noWrap w:val="0"/>
            <w:vAlign w:val="center"/>
          </w:tcPr>
          <w:p w14:paraId="0E2F3ADC">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项目建设内容包括扩建拉堡污水处理厂，新增污水处理能力6.5万吨/天；提标改造拉堡污水处理厂，总规模17.625万吨/天，执行一级A排放标准；污水厂污泥深度处置工程，实现处置能力300吨/天（以80%含水率计）；配套建设柳江城区污水收集管网和污水提升泵站。</w:t>
            </w:r>
          </w:p>
        </w:tc>
        <w:tc>
          <w:tcPr>
            <w:tcW w:w="443" w:type="pct"/>
            <w:noWrap w:val="0"/>
            <w:vAlign w:val="center"/>
          </w:tcPr>
          <w:p w14:paraId="3C30BC2C">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2020-2025</w:t>
            </w:r>
          </w:p>
        </w:tc>
        <w:tc>
          <w:tcPr>
            <w:tcW w:w="381" w:type="pct"/>
            <w:noWrap w:val="0"/>
            <w:vAlign w:val="center"/>
          </w:tcPr>
          <w:p w14:paraId="3BDE0603">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 xml:space="preserve">89665 </w:t>
            </w:r>
          </w:p>
        </w:tc>
        <w:tc>
          <w:tcPr>
            <w:tcW w:w="439" w:type="pct"/>
            <w:noWrap w:val="0"/>
            <w:vAlign w:val="center"/>
          </w:tcPr>
          <w:p w14:paraId="62309D08">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其他资金（包括PPP、银行贷款、自筹等）</w:t>
            </w:r>
          </w:p>
        </w:tc>
        <w:tc>
          <w:tcPr>
            <w:tcW w:w="369" w:type="pct"/>
            <w:noWrap w:val="0"/>
            <w:vAlign w:val="center"/>
          </w:tcPr>
          <w:p w14:paraId="08E6E44C">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柳江区住建局</w:t>
            </w:r>
          </w:p>
        </w:tc>
      </w:tr>
      <w:tr w14:paraId="32EEE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40" w:hRule="atLeast"/>
          <w:jc w:val="center"/>
        </w:trPr>
        <w:tc>
          <w:tcPr>
            <w:tcW w:w="235" w:type="pct"/>
            <w:noWrap w:val="0"/>
            <w:vAlign w:val="center"/>
          </w:tcPr>
          <w:p w14:paraId="11E436EE">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仿宋_GB2312" w:cs="Times New Roman"/>
                <w:kern w:val="2"/>
                <w:sz w:val="24"/>
                <w:szCs w:val="24"/>
                <w:highlight w:val="none"/>
                <w:lang w:val="en-US" w:eastAsia="zh-CN" w:bidi="ar-SA"/>
              </w:rPr>
            </w:pPr>
            <w:r>
              <w:rPr>
                <w:rFonts w:hint="default" w:eastAsia="仿宋_GB2312" w:cs="Times New Roman"/>
                <w:sz w:val="24"/>
                <w:szCs w:val="24"/>
                <w:highlight w:val="none"/>
                <w:lang w:val="en-US" w:eastAsia="zh-CN"/>
              </w:rPr>
              <w:t>8</w:t>
            </w:r>
          </w:p>
        </w:tc>
        <w:tc>
          <w:tcPr>
            <w:tcW w:w="1037" w:type="pct"/>
            <w:noWrap w:val="0"/>
            <w:vAlign w:val="center"/>
          </w:tcPr>
          <w:p w14:paraId="21FEC930">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柳江区高铁沿线乡村风貌整治工程</w:t>
            </w:r>
          </w:p>
        </w:tc>
        <w:tc>
          <w:tcPr>
            <w:tcW w:w="249" w:type="pct"/>
            <w:noWrap w:val="0"/>
            <w:vAlign w:val="center"/>
          </w:tcPr>
          <w:p w14:paraId="4E4585E8">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新建</w:t>
            </w:r>
          </w:p>
        </w:tc>
        <w:tc>
          <w:tcPr>
            <w:tcW w:w="1843" w:type="pct"/>
            <w:noWrap w:val="0"/>
            <w:vAlign w:val="center"/>
          </w:tcPr>
          <w:p w14:paraId="57844238">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项目主要对柳州市柳江区进 德镇乐山村委和白山村委、百朋 镇琴屯村委和根林村委改善农村 人居环境，涉及4个行政村19个村 屯，改造农村房屋外立面共 2196栋、改造围墙3800平方米， 项目总投资1.2亿元；主要建设内 容包括农村房屋外立面改造工 程、新建农村房屋坡屋面工程, 村庄景观以及绿化、亮化等工 程。</w:t>
            </w:r>
          </w:p>
        </w:tc>
        <w:tc>
          <w:tcPr>
            <w:tcW w:w="443" w:type="pct"/>
            <w:noWrap w:val="0"/>
            <w:vAlign w:val="center"/>
          </w:tcPr>
          <w:p w14:paraId="08DC4F85">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2021-2025</w:t>
            </w:r>
          </w:p>
        </w:tc>
        <w:tc>
          <w:tcPr>
            <w:tcW w:w="381" w:type="pct"/>
            <w:noWrap w:val="0"/>
            <w:vAlign w:val="center"/>
          </w:tcPr>
          <w:p w14:paraId="3D5BA988">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 xml:space="preserve">12000 </w:t>
            </w:r>
          </w:p>
        </w:tc>
        <w:tc>
          <w:tcPr>
            <w:tcW w:w="439" w:type="pct"/>
            <w:noWrap w:val="0"/>
            <w:vAlign w:val="center"/>
          </w:tcPr>
          <w:p w14:paraId="24F6D7A3">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其他资金</w:t>
            </w:r>
            <w:r>
              <w:rPr>
                <w:rFonts w:hint="default" w:eastAsia="仿宋_GB2312" w:cs="Times New Roman"/>
                <w:sz w:val="24"/>
                <w:szCs w:val="24"/>
                <w:highlight w:val="none"/>
                <w:lang w:val="en-US" w:eastAsia="zh-CN"/>
              </w:rPr>
              <w:br w:type="textWrapping"/>
            </w:r>
            <w:r>
              <w:rPr>
                <w:rFonts w:hint="default" w:eastAsia="仿宋_GB2312" w:cs="Times New Roman"/>
                <w:sz w:val="24"/>
                <w:szCs w:val="24"/>
                <w:highlight w:val="none"/>
                <w:lang w:val="en-US" w:eastAsia="zh-CN"/>
              </w:rPr>
              <w:t>（包括银行贷款、自筹等）</w:t>
            </w:r>
          </w:p>
        </w:tc>
        <w:tc>
          <w:tcPr>
            <w:tcW w:w="369" w:type="pct"/>
            <w:noWrap w:val="0"/>
            <w:vAlign w:val="center"/>
          </w:tcPr>
          <w:p w14:paraId="3BDBD018">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柳江区住建局</w:t>
            </w:r>
          </w:p>
        </w:tc>
      </w:tr>
      <w:tr w14:paraId="5E98E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40" w:hRule="atLeast"/>
          <w:jc w:val="center"/>
        </w:trPr>
        <w:tc>
          <w:tcPr>
            <w:tcW w:w="235" w:type="pct"/>
            <w:noWrap w:val="0"/>
            <w:vAlign w:val="center"/>
          </w:tcPr>
          <w:p w14:paraId="18C571FA">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仿宋_GB2312" w:cs="Times New Roman"/>
                <w:kern w:val="2"/>
                <w:sz w:val="24"/>
                <w:szCs w:val="24"/>
                <w:highlight w:val="none"/>
                <w:lang w:val="en-US" w:eastAsia="zh-CN" w:bidi="ar-SA"/>
              </w:rPr>
            </w:pPr>
            <w:r>
              <w:rPr>
                <w:rFonts w:hint="default" w:eastAsia="仿宋_GB2312" w:cs="Times New Roman"/>
                <w:sz w:val="24"/>
                <w:szCs w:val="24"/>
                <w:highlight w:val="none"/>
                <w:lang w:val="en-US" w:eastAsia="zh-CN"/>
              </w:rPr>
              <w:t>9</w:t>
            </w:r>
          </w:p>
        </w:tc>
        <w:tc>
          <w:tcPr>
            <w:tcW w:w="1037" w:type="pct"/>
            <w:noWrap w:val="0"/>
            <w:vAlign w:val="center"/>
          </w:tcPr>
          <w:p w14:paraId="6EC3025B">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柳江区农村公路路面提升工程</w:t>
            </w:r>
          </w:p>
        </w:tc>
        <w:tc>
          <w:tcPr>
            <w:tcW w:w="249" w:type="pct"/>
            <w:noWrap w:val="0"/>
            <w:vAlign w:val="center"/>
          </w:tcPr>
          <w:p w14:paraId="4943F37A">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改建</w:t>
            </w:r>
          </w:p>
        </w:tc>
        <w:tc>
          <w:tcPr>
            <w:tcW w:w="1843" w:type="pct"/>
            <w:noWrap w:val="0"/>
            <w:vAlign w:val="center"/>
          </w:tcPr>
          <w:p w14:paraId="57C572A2">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路面改造共102.636公里</w:t>
            </w:r>
          </w:p>
        </w:tc>
        <w:tc>
          <w:tcPr>
            <w:tcW w:w="443" w:type="pct"/>
            <w:noWrap w:val="0"/>
            <w:vAlign w:val="center"/>
          </w:tcPr>
          <w:p w14:paraId="1FDA4C24">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2021-2026</w:t>
            </w:r>
          </w:p>
        </w:tc>
        <w:tc>
          <w:tcPr>
            <w:tcW w:w="381" w:type="pct"/>
            <w:noWrap w:val="0"/>
            <w:vAlign w:val="center"/>
          </w:tcPr>
          <w:p w14:paraId="3CEEAA51">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12245.1</w:t>
            </w:r>
          </w:p>
        </w:tc>
        <w:tc>
          <w:tcPr>
            <w:tcW w:w="439" w:type="pct"/>
            <w:noWrap w:val="0"/>
            <w:vAlign w:val="center"/>
          </w:tcPr>
          <w:p w14:paraId="4409372B">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上级资金、区财政资金</w:t>
            </w:r>
          </w:p>
        </w:tc>
        <w:tc>
          <w:tcPr>
            <w:tcW w:w="369" w:type="pct"/>
            <w:noWrap w:val="0"/>
            <w:vAlign w:val="center"/>
          </w:tcPr>
          <w:p w14:paraId="3EF5A144">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柳江区交通局</w:t>
            </w:r>
          </w:p>
        </w:tc>
      </w:tr>
      <w:tr w14:paraId="4C8EA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40" w:hRule="atLeast"/>
          <w:jc w:val="center"/>
        </w:trPr>
        <w:tc>
          <w:tcPr>
            <w:tcW w:w="235" w:type="pct"/>
            <w:noWrap w:val="0"/>
            <w:vAlign w:val="center"/>
          </w:tcPr>
          <w:p w14:paraId="4AD29129">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仿宋_GB2312" w:cs="Times New Roman"/>
                <w:kern w:val="2"/>
                <w:sz w:val="24"/>
                <w:szCs w:val="24"/>
                <w:highlight w:val="none"/>
                <w:lang w:val="en-US" w:eastAsia="zh-CN" w:bidi="ar-SA"/>
              </w:rPr>
            </w:pPr>
            <w:r>
              <w:rPr>
                <w:rFonts w:hint="default" w:eastAsia="仿宋_GB2312" w:cs="Times New Roman"/>
                <w:sz w:val="24"/>
                <w:szCs w:val="24"/>
                <w:highlight w:val="none"/>
                <w:lang w:val="en-US" w:eastAsia="zh-CN"/>
              </w:rPr>
              <w:t>10</w:t>
            </w:r>
          </w:p>
        </w:tc>
        <w:tc>
          <w:tcPr>
            <w:tcW w:w="1037" w:type="pct"/>
            <w:noWrap w:val="0"/>
            <w:vAlign w:val="center"/>
          </w:tcPr>
          <w:p w14:paraId="30559CD4">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新兴工业园客运（公交）站场</w:t>
            </w:r>
          </w:p>
        </w:tc>
        <w:tc>
          <w:tcPr>
            <w:tcW w:w="249" w:type="pct"/>
            <w:noWrap w:val="0"/>
            <w:vAlign w:val="center"/>
          </w:tcPr>
          <w:p w14:paraId="2F9B12EB">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新建</w:t>
            </w:r>
          </w:p>
        </w:tc>
        <w:tc>
          <w:tcPr>
            <w:tcW w:w="1843" w:type="pct"/>
            <w:noWrap w:val="0"/>
            <w:vAlign w:val="center"/>
          </w:tcPr>
          <w:p w14:paraId="2363C363">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占地30亩，建设调度楼、停车场、维修车间，充电设施等</w:t>
            </w:r>
          </w:p>
        </w:tc>
        <w:tc>
          <w:tcPr>
            <w:tcW w:w="443" w:type="pct"/>
            <w:noWrap w:val="0"/>
            <w:vAlign w:val="center"/>
          </w:tcPr>
          <w:p w14:paraId="69249A08">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2022-2025</w:t>
            </w:r>
          </w:p>
        </w:tc>
        <w:tc>
          <w:tcPr>
            <w:tcW w:w="381" w:type="pct"/>
            <w:noWrap w:val="0"/>
            <w:vAlign w:val="center"/>
          </w:tcPr>
          <w:p w14:paraId="1FDF4338">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3000</w:t>
            </w:r>
          </w:p>
        </w:tc>
        <w:tc>
          <w:tcPr>
            <w:tcW w:w="439" w:type="pct"/>
            <w:noWrap w:val="0"/>
            <w:vAlign w:val="center"/>
          </w:tcPr>
          <w:p w14:paraId="0614C766">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区财政资金</w:t>
            </w:r>
          </w:p>
        </w:tc>
        <w:tc>
          <w:tcPr>
            <w:tcW w:w="369" w:type="pct"/>
            <w:noWrap w:val="0"/>
            <w:vAlign w:val="center"/>
          </w:tcPr>
          <w:p w14:paraId="571B1E74">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柳江区交通局</w:t>
            </w:r>
          </w:p>
        </w:tc>
      </w:tr>
      <w:tr w14:paraId="7154B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40" w:hRule="atLeast"/>
          <w:jc w:val="center"/>
        </w:trPr>
        <w:tc>
          <w:tcPr>
            <w:tcW w:w="235" w:type="pct"/>
            <w:noWrap w:val="0"/>
            <w:vAlign w:val="center"/>
          </w:tcPr>
          <w:p w14:paraId="3B74D68C">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仿宋_GB2312" w:cs="Times New Roman"/>
                <w:kern w:val="2"/>
                <w:sz w:val="24"/>
                <w:szCs w:val="24"/>
                <w:highlight w:val="none"/>
                <w:lang w:val="en-US" w:eastAsia="zh-CN" w:bidi="ar-SA"/>
              </w:rPr>
            </w:pPr>
            <w:r>
              <w:rPr>
                <w:rFonts w:hint="default" w:eastAsia="仿宋_GB2312" w:cs="Times New Roman"/>
                <w:sz w:val="24"/>
                <w:szCs w:val="24"/>
                <w:highlight w:val="none"/>
                <w:lang w:val="en-US" w:eastAsia="zh-CN"/>
              </w:rPr>
              <w:t>11</w:t>
            </w:r>
          </w:p>
        </w:tc>
        <w:tc>
          <w:tcPr>
            <w:tcW w:w="1037" w:type="pct"/>
            <w:noWrap w:val="0"/>
            <w:vAlign w:val="center"/>
          </w:tcPr>
          <w:p w14:paraId="38853D12">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柳江区镇级客运站项目</w:t>
            </w:r>
          </w:p>
        </w:tc>
        <w:tc>
          <w:tcPr>
            <w:tcW w:w="249" w:type="pct"/>
            <w:noWrap w:val="0"/>
            <w:vAlign w:val="center"/>
          </w:tcPr>
          <w:p w14:paraId="65B6F944">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新建</w:t>
            </w:r>
          </w:p>
        </w:tc>
        <w:tc>
          <w:tcPr>
            <w:tcW w:w="1843" w:type="pct"/>
            <w:noWrap w:val="0"/>
            <w:vAlign w:val="center"/>
          </w:tcPr>
          <w:p w14:paraId="22F3CB70">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建设百朋、土博、穿山、三都、成团、里高六个镇的镇级客运站，车站等级均属于服务站，每个车站计划占地约6亩，建筑面积2000平方米，具有停车场，候车厅、站房，驾驶员休息室、公共厕所等附属设施，日送1000人/天，投资600万元。总共计划占地36亩，面积10000平方米，日送6000人/天，总投资3600万元。</w:t>
            </w:r>
          </w:p>
        </w:tc>
        <w:tc>
          <w:tcPr>
            <w:tcW w:w="443" w:type="pct"/>
            <w:noWrap w:val="0"/>
            <w:vAlign w:val="center"/>
          </w:tcPr>
          <w:p w14:paraId="05B61D20">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2022-2025</w:t>
            </w:r>
          </w:p>
        </w:tc>
        <w:tc>
          <w:tcPr>
            <w:tcW w:w="381" w:type="pct"/>
            <w:noWrap w:val="0"/>
            <w:vAlign w:val="center"/>
          </w:tcPr>
          <w:p w14:paraId="48E06DFF">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3600</w:t>
            </w:r>
          </w:p>
        </w:tc>
        <w:tc>
          <w:tcPr>
            <w:tcW w:w="439" w:type="pct"/>
            <w:noWrap w:val="0"/>
            <w:vAlign w:val="center"/>
          </w:tcPr>
          <w:p w14:paraId="7CA33898">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区财政资金</w:t>
            </w:r>
          </w:p>
        </w:tc>
        <w:tc>
          <w:tcPr>
            <w:tcW w:w="369" w:type="pct"/>
            <w:noWrap w:val="0"/>
            <w:vAlign w:val="center"/>
          </w:tcPr>
          <w:p w14:paraId="5725516D">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柳江区交通局</w:t>
            </w:r>
          </w:p>
        </w:tc>
      </w:tr>
      <w:tr w14:paraId="6AA82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40" w:hRule="atLeast"/>
          <w:jc w:val="center"/>
        </w:trPr>
        <w:tc>
          <w:tcPr>
            <w:tcW w:w="235" w:type="pct"/>
            <w:noWrap w:val="0"/>
            <w:vAlign w:val="center"/>
          </w:tcPr>
          <w:p w14:paraId="456336E9">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仿宋_GB2312" w:cs="Times New Roman"/>
                <w:kern w:val="2"/>
                <w:sz w:val="24"/>
                <w:szCs w:val="24"/>
                <w:highlight w:val="none"/>
                <w:lang w:val="en-US" w:eastAsia="zh-CN" w:bidi="ar-SA"/>
              </w:rPr>
            </w:pPr>
            <w:r>
              <w:rPr>
                <w:rFonts w:hint="default" w:eastAsia="仿宋_GB2312" w:cs="Times New Roman"/>
                <w:sz w:val="24"/>
                <w:szCs w:val="24"/>
                <w:highlight w:val="none"/>
                <w:lang w:val="en-US" w:eastAsia="zh-CN"/>
              </w:rPr>
              <w:t>12</w:t>
            </w:r>
          </w:p>
        </w:tc>
        <w:tc>
          <w:tcPr>
            <w:tcW w:w="1037" w:type="pct"/>
            <w:noWrap w:val="0"/>
            <w:vAlign w:val="center"/>
          </w:tcPr>
          <w:p w14:paraId="082FAD57">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柳江新城空中休闲健身步道项目</w:t>
            </w:r>
          </w:p>
        </w:tc>
        <w:tc>
          <w:tcPr>
            <w:tcW w:w="249" w:type="pct"/>
            <w:noWrap w:val="0"/>
            <w:vAlign w:val="center"/>
          </w:tcPr>
          <w:p w14:paraId="50F8D8AE">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规划</w:t>
            </w:r>
          </w:p>
        </w:tc>
        <w:tc>
          <w:tcPr>
            <w:tcW w:w="1843" w:type="pct"/>
            <w:noWrap w:val="0"/>
            <w:vAlign w:val="center"/>
          </w:tcPr>
          <w:p w14:paraId="0E5A314A">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建设空中休闲步道，宽4米，长约20公里。串联都乐公园、柳江新城区内的三大公园，打造观光、休闲、健身步行道。</w:t>
            </w:r>
          </w:p>
        </w:tc>
        <w:tc>
          <w:tcPr>
            <w:tcW w:w="443" w:type="pct"/>
            <w:noWrap w:val="0"/>
            <w:vAlign w:val="center"/>
          </w:tcPr>
          <w:p w14:paraId="78FEEE65">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2023-2027</w:t>
            </w:r>
          </w:p>
        </w:tc>
        <w:tc>
          <w:tcPr>
            <w:tcW w:w="381" w:type="pct"/>
            <w:noWrap w:val="0"/>
            <w:vAlign w:val="center"/>
          </w:tcPr>
          <w:p w14:paraId="4DE3E13F">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 xml:space="preserve">55000 </w:t>
            </w:r>
          </w:p>
        </w:tc>
        <w:tc>
          <w:tcPr>
            <w:tcW w:w="439" w:type="pct"/>
            <w:noWrap w:val="0"/>
            <w:vAlign w:val="center"/>
          </w:tcPr>
          <w:p w14:paraId="64CC6130">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其他资金（包括PPP、银行贷款、自筹等）</w:t>
            </w:r>
          </w:p>
        </w:tc>
        <w:tc>
          <w:tcPr>
            <w:tcW w:w="369" w:type="pct"/>
            <w:noWrap w:val="0"/>
            <w:vAlign w:val="center"/>
          </w:tcPr>
          <w:p w14:paraId="600E3D35">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柳江区文体广电旅游局</w:t>
            </w:r>
          </w:p>
        </w:tc>
      </w:tr>
      <w:tr w14:paraId="06D15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40" w:hRule="atLeast"/>
          <w:jc w:val="center"/>
        </w:trPr>
        <w:tc>
          <w:tcPr>
            <w:tcW w:w="235" w:type="pct"/>
            <w:noWrap w:val="0"/>
            <w:vAlign w:val="center"/>
          </w:tcPr>
          <w:p w14:paraId="4E975D31">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b/>
                <w:bCs/>
                <w:sz w:val="24"/>
                <w:szCs w:val="24"/>
                <w:highlight w:val="none"/>
                <w:lang w:val="en-US" w:eastAsia="zh-CN"/>
              </w:rPr>
            </w:pPr>
            <w:r>
              <w:rPr>
                <w:rFonts w:hint="default" w:eastAsia="仿宋_GB2312" w:cs="Times New Roman"/>
                <w:b/>
                <w:bCs/>
                <w:sz w:val="24"/>
                <w:szCs w:val="24"/>
                <w:highlight w:val="none"/>
                <w:lang w:val="en-US" w:eastAsia="zh-CN"/>
              </w:rPr>
              <w:t>六、</w:t>
            </w:r>
          </w:p>
        </w:tc>
        <w:tc>
          <w:tcPr>
            <w:tcW w:w="1037" w:type="pct"/>
            <w:noWrap w:val="0"/>
            <w:vAlign w:val="center"/>
          </w:tcPr>
          <w:p w14:paraId="4B27ABE7">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b/>
                <w:bCs/>
                <w:sz w:val="24"/>
                <w:szCs w:val="24"/>
                <w:highlight w:val="none"/>
                <w:lang w:val="en-US" w:eastAsia="zh-CN"/>
              </w:rPr>
            </w:pPr>
            <w:r>
              <w:rPr>
                <w:rFonts w:hint="default" w:eastAsia="仿宋_GB2312" w:cs="Times New Roman"/>
                <w:b/>
                <w:bCs/>
                <w:sz w:val="24"/>
                <w:szCs w:val="24"/>
                <w:highlight w:val="none"/>
                <w:lang w:val="en-US" w:eastAsia="zh-CN"/>
              </w:rPr>
              <w:t>生态文化体系建设项目</w:t>
            </w:r>
          </w:p>
        </w:tc>
        <w:tc>
          <w:tcPr>
            <w:tcW w:w="249" w:type="pct"/>
            <w:noWrap w:val="0"/>
            <w:vAlign w:val="center"/>
          </w:tcPr>
          <w:p w14:paraId="6857D425">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p>
        </w:tc>
        <w:tc>
          <w:tcPr>
            <w:tcW w:w="1843" w:type="pct"/>
            <w:noWrap w:val="0"/>
            <w:vAlign w:val="center"/>
          </w:tcPr>
          <w:p w14:paraId="5F9AB3A6">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p>
        </w:tc>
        <w:tc>
          <w:tcPr>
            <w:tcW w:w="443" w:type="pct"/>
            <w:noWrap w:val="0"/>
            <w:vAlign w:val="center"/>
          </w:tcPr>
          <w:p w14:paraId="31985FDC">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p>
        </w:tc>
        <w:tc>
          <w:tcPr>
            <w:tcW w:w="381" w:type="pct"/>
            <w:noWrap w:val="0"/>
            <w:vAlign w:val="center"/>
          </w:tcPr>
          <w:p w14:paraId="151C8FBE">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p>
        </w:tc>
        <w:tc>
          <w:tcPr>
            <w:tcW w:w="439" w:type="pct"/>
            <w:noWrap w:val="0"/>
            <w:vAlign w:val="center"/>
          </w:tcPr>
          <w:p w14:paraId="42A2C935">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p>
        </w:tc>
        <w:tc>
          <w:tcPr>
            <w:tcW w:w="369" w:type="pct"/>
            <w:noWrap w:val="0"/>
            <w:vAlign w:val="center"/>
          </w:tcPr>
          <w:p w14:paraId="6EEE7981">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p>
        </w:tc>
      </w:tr>
      <w:tr w14:paraId="1BBD2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614" w:hRule="atLeast"/>
          <w:jc w:val="center"/>
        </w:trPr>
        <w:tc>
          <w:tcPr>
            <w:tcW w:w="235" w:type="pct"/>
            <w:noWrap w:val="0"/>
            <w:vAlign w:val="center"/>
          </w:tcPr>
          <w:p w14:paraId="54E4D83E">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1</w:t>
            </w:r>
          </w:p>
        </w:tc>
        <w:tc>
          <w:tcPr>
            <w:tcW w:w="1037" w:type="pct"/>
            <w:noWrap w:val="0"/>
            <w:vAlign w:val="center"/>
          </w:tcPr>
          <w:p w14:paraId="6A9B1438">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一镇一屯一馆</w:t>
            </w:r>
          </w:p>
        </w:tc>
        <w:tc>
          <w:tcPr>
            <w:tcW w:w="249" w:type="pct"/>
            <w:noWrap w:val="0"/>
            <w:vAlign w:val="center"/>
          </w:tcPr>
          <w:p w14:paraId="0303E183">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新建</w:t>
            </w:r>
          </w:p>
        </w:tc>
        <w:tc>
          <w:tcPr>
            <w:tcW w:w="1843" w:type="pct"/>
            <w:noWrap w:val="0"/>
            <w:vAlign w:val="center"/>
          </w:tcPr>
          <w:p w14:paraId="3C4FC7B3">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8个乡镇各选一个屯建造一个乡愁馆，每个馆约50万元；一共400万元。</w:t>
            </w:r>
          </w:p>
        </w:tc>
        <w:tc>
          <w:tcPr>
            <w:tcW w:w="443" w:type="pct"/>
            <w:noWrap w:val="0"/>
            <w:vAlign w:val="center"/>
          </w:tcPr>
          <w:p w14:paraId="5A8C052C">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2021-2025</w:t>
            </w:r>
          </w:p>
        </w:tc>
        <w:tc>
          <w:tcPr>
            <w:tcW w:w="381" w:type="pct"/>
            <w:noWrap w:val="0"/>
            <w:vAlign w:val="center"/>
          </w:tcPr>
          <w:p w14:paraId="15F3642B">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400</w:t>
            </w:r>
          </w:p>
        </w:tc>
        <w:tc>
          <w:tcPr>
            <w:tcW w:w="439" w:type="pct"/>
            <w:noWrap w:val="0"/>
            <w:vAlign w:val="center"/>
          </w:tcPr>
          <w:p w14:paraId="7A9A4CA6">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其他资金（包括PPP、银行贷款、自筹等）</w:t>
            </w:r>
          </w:p>
        </w:tc>
        <w:tc>
          <w:tcPr>
            <w:tcW w:w="369" w:type="pct"/>
            <w:noWrap w:val="0"/>
            <w:vAlign w:val="center"/>
          </w:tcPr>
          <w:p w14:paraId="70BA87F5">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柳江区乡村振兴局</w:t>
            </w:r>
          </w:p>
        </w:tc>
      </w:tr>
      <w:tr w14:paraId="1C958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40" w:hRule="atLeast"/>
          <w:jc w:val="center"/>
        </w:trPr>
        <w:tc>
          <w:tcPr>
            <w:tcW w:w="235" w:type="pct"/>
            <w:noWrap w:val="0"/>
            <w:vAlign w:val="center"/>
          </w:tcPr>
          <w:p w14:paraId="16E89C37">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2</w:t>
            </w:r>
          </w:p>
        </w:tc>
        <w:tc>
          <w:tcPr>
            <w:tcW w:w="1037" w:type="pct"/>
            <w:noWrap w:val="0"/>
            <w:vAlign w:val="center"/>
          </w:tcPr>
          <w:p w14:paraId="07C9C4BB">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建设新时代文明实践站（所）</w:t>
            </w:r>
          </w:p>
        </w:tc>
        <w:tc>
          <w:tcPr>
            <w:tcW w:w="249" w:type="pct"/>
            <w:noWrap w:val="0"/>
            <w:vAlign w:val="center"/>
          </w:tcPr>
          <w:p w14:paraId="5AB93E60">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新建</w:t>
            </w:r>
          </w:p>
        </w:tc>
        <w:tc>
          <w:tcPr>
            <w:tcW w:w="1843" w:type="pct"/>
            <w:noWrap w:val="0"/>
            <w:vAlign w:val="center"/>
          </w:tcPr>
          <w:p w14:paraId="63B83E62">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实现全区镇（村）新时代文明实践站（所）全覆盖</w:t>
            </w:r>
          </w:p>
        </w:tc>
        <w:tc>
          <w:tcPr>
            <w:tcW w:w="443" w:type="pct"/>
            <w:noWrap w:val="0"/>
            <w:vAlign w:val="center"/>
          </w:tcPr>
          <w:p w14:paraId="52030C69">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2021-2025</w:t>
            </w:r>
          </w:p>
        </w:tc>
        <w:tc>
          <w:tcPr>
            <w:tcW w:w="381" w:type="pct"/>
            <w:noWrap w:val="0"/>
            <w:vAlign w:val="center"/>
          </w:tcPr>
          <w:p w14:paraId="23C40C91">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320</w:t>
            </w:r>
          </w:p>
        </w:tc>
        <w:tc>
          <w:tcPr>
            <w:tcW w:w="439" w:type="pct"/>
            <w:noWrap w:val="0"/>
            <w:vAlign w:val="center"/>
          </w:tcPr>
          <w:p w14:paraId="3CBB8D40">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其他资金（包括PPP、银行贷款、自筹等）</w:t>
            </w:r>
          </w:p>
        </w:tc>
        <w:tc>
          <w:tcPr>
            <w:tcW w:w="369" w:type="pct"/>
            <w:noWrap w:val="0"/>
            <w:vAlign w:val="center"/>
          </w:tcPr>
          <w:p w14:paraId="430C2998">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柳江区乡村振兴局</w:t>
            </w:r>
          </w:p>
        </w:tc>
      </w:tr>
      <w:tr w14:paraId="36691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875" w:hRule="atLeast"/>
          <w:jc w:val="center"/>
        </w:trPr>
        <w:tc>
          <w:tcPr>
            <w:tcW w:w="235" w:type="pct"/>
            <w:noWrap w:val="0"/>
            <w:vAlign w:val="center"/>
          </w:tcPr>
          <w:p w14:paraId="7376D15C">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3</w:t>
            </w:r>
          </w:p>
        </w:tc>
        <w:tc>
          <w:tcPr>
            <w:tcW w:w="1037" w:type="pct"/>
            <w:noWrap w:val="0"/>
            <w:vAlign w:val="center"/>
          </w:tcPr>
          <w:p w14:paraId="5884D55C">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创建文明村镇</w:t>
            </w:r>
          </w:p>
        </w:tc>
        <w:tc>
          <w:tcPr>
            <w:tcW w:w="249" w:type="pct"/>
            <w:noWrap w:val="0"/>
            <w:vAlign w:val="center"/>
          </w:tcPr>
          <w:p w14:paraId="39BAC8C4">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续建</w:t>
            </w:r>
          </w:p>
        </w:tc>
        <w:tc>
          <w:tcPr>
            <w:tcW w:w="1843" w:type="pct"/>
            <w:noWrap w:val="0"/>
            <w:vAlign w:val="center"/>
          </w:tcPr>
          <w:p w14:paraId="1FD71382">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实现全区文明村镇创建率达80%</w:t>
            </w:r>
          </w:p>
        </w:tc>
        <w:tc>
          <w:tcPr>
            <w:tcW w:w="443" w:type="pct"/>
            <w:noWrap w:val="0"/>
            <w:vAlign w:val="center"/>
          </w:tcPr>
          <w:p w14:paraId="5F34D9C7">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2021-2025</w:t>
            </w:r>
          </w:p>
        </w:tc>
        <w:tc>
          <w:tcPr>
            <w:tcW w:w="381" w:type="pct"/>
            <w:noWrap w:val="0"/>
            <w:vAlign w:val="center"/>
          </w:tcPr>
          <w:p w14:paraId="220BADE9">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 xml:space="preserve">300 </w:t>
            </w:r>
          </w:p>
        </w:tc>
        <w:tc>
          <w:tcPr>
            <w:tcW w:w="439" w:type="pct"/>
            <w:noWrap w:val="0"/>
            <w:vAlign w:val="center"/>
          </w:tcPr>
          <w:p w14:paraId="42D9D493">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上级资金</w:t>
            </w:r>
          </w:p>
        </w:tc>
        <w:tc>
          <w:tcPr>
            <w:tcW w:w="369" w:type="pct"/>
            <w:noWrap w:val="0"/>
            <w:vAlign w:val="center"/>
          </w:tcPr>
          <w:p w14:paraId="4A8A31A1">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柳江区乡村振兴局</w:t>
            </w:r>
          </w:p>
        </w:tc>
      </w:tr>
      <w:tr w14:paraId="78019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2307" w:hRule="atLeast"/>
          <w:jc w:val="center"/>
        </w:trPr>
        <w:tc>
          <w:tcPr>
            <w:tcW w:w="235" w:type="pct"/>
            <w:noWrap w:val="0"/>
            <w:vAlign w:val="center"/>
          </w:tcPr>
          <w:p w14:paraId="51589DDE">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4</w:t>
            </w:r>
          </w:p>
        </w:tc>
        <w:tc>
          <w:tcPr>
            <w:tcW w:w="1037" w:type="pct"/>
            <w:noWrap w:val="0"/>
            <w:vAlign w:val="center"/>
          </w:tcPr>
          <w:p w14:paraId="71B68924">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百朋莲花小镇特色文化休闲街区</w:t>
            </w:r>
          </w:p>
        </w:tc>
        <w:tc>
          <w:tcPr>
            <w:tcW w:w="249" w:type="pct"/>
            <w:noWrap w:val="0"/>
            <w:vAlign w:val="center"/>
          </w:tcPr>
          <w:p w14:paraId="6C31E202">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新建</w:t>
            </w:r>
          </w:p>
        </w:tc>
        <w:tc>
          <w:tcPr>
            <w:tcW w:w="1843" w:type="pct"/>
            <w:noWrap w:val="0"/>
            <w:vAlign w:val="center"/>
          </w:tcPr>
          <w:p w14:paraId="66A99C9C">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推进汉唐文化影视城开放营业，鼓励莲花小镇引入酒吧、KTV、书画培训、特色餐饮等项目业态集中建设文化休闲特色街区，支持建设约200平方米的集图片文字、实物展示、历史影像、场景还原、手工体验等多元表现方式于一体的柳江民俗（包括非遗）文化展示馆。</w:t>
            </w:r>
          </w:p>
        </w:tc>
        <w:tc>
          <w:tcPr>
            <w:tcW w:w="443" w:type="pct"/>
            <w:noWrap w:val="0"/>
            <w:vAlign w:val="center"/>
          </w:tcPr>
          <w:p w14:paraId="2693BDFA">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2024-2028</w:t>
            </w:r>
          </w:p>
        </w:tc>
        <w:tc>
          <w:tcPr>
            <w:tcW w:w="381" w:type="pct"/>
            <w:noWrap w:val="0"/>
            <w:vAlign w:val="center"/>
          </w:tcPr>
          <w:p w14:paraId="6933574F">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3000</w:t>
            </w:r>
          </w:p>
        </w:tc>
        <w:tc>
          <w:tcPr>
            <w:tcW w:w="439" w:type="pct"/>
            <w:noWrap w:val="0"/>
            <w:vAlign w:val="center"/>
          </w:tcPr>
          <w:p w14:paraId="6478589A">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待定</w:t>
            </w:r>
          </w:p>
        </w:tc>
        <w:tc>
          <w:tcPr>
            <w:tcW w:w="369" w:type="pct"/>
            <w:noWrap w:val="0"/>
            <w:vAlign w:val="center"/>
          </w:tcPr>
          <w:p w14:paraId="4DC2B9C8">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eastAsia="仿宋_GB2312" w:cs="Times New Roman"/>
                <w:sz w:val="24"/>
                <w:szCs w:val="24"/>
                <w:highlight w:val="none"/>
                <w:lang w:val="en-US" w:eastAsia="zh-CN"/>
              </w:rPr>
            </w:pPr>
            <w:r>
              <w:rPr>
                <w:rFonts w:hint="default" w:eastAsia="仿宋_GB2312" w:cs="Times New Roman"/>
                <w:sz w:val="24"/>
                <w:szCs w:val="24"/>
                <w:highlight w:val="none"/>
                <w:lang w:val="en-US" w:eastAsia="zh-CN"/>
              </w:rPr>
              <w:t>百朋镇</w:t>
            </w:r>
          </w:p>
        </w:tc>
      </w:tr>
    </w:tbl>
    <w:p w14:paraId="0C2EC078">
      <w:pPr>
        <w:pageBreakBefore w:val="0"/>
        <w:kinsoku/>
        <w:wordWrap/>
        <w:overflowPunct/>
        <w:topLinePunct w:val="0"/>
        <w:autoSpaceDE/>
        <w:autoSpaceDN/>
        <w:bidi w:val="0"/>
        <w:spacing w:line="240" w:lineRule="auto"/>
        <w:ind w:left="0" w:leftChars="0" w:right="0" w:rightChars="0" w:firstLine="0" w:firstLineChars="0"/>
        <w:jc w:val="both"/>
        <w:rPr>
          <w:rFonts w:ascii="宋体" w:hAnsi="宋体" w:eastAsia="宋体" w:cs="宋体"/>
          <w:sz w:val="10"/>
          <w:szCs w:val="10"/>
          <w:highlight w:val="yellow"/>
        </w:rPr>
      </w:pPr>
    </w:p>
    <w:sectPr>
      <w:headerReference r:id="rId19" w:type="default"/>
      <w:pgSz w:w="16838" w:h="11905" w:orient="landscape"/>
      <w:pgMar w:top="1587" w:right="2098" w:bottom="1474" w:left="1984" w:header="907" w:footer="1134" w:gutter="0"/>
      <w:pgNumType w:fmt="decimal"/>
      <w:cols w:space="0" w:num="1"/>
      <w:rtlGutter w:val="0"/>
      <w:docGrid w:type="linesAndChars" w:linePitch="439" w:charSpace="14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52"/>
      </w:pPr>
      <w:r>
        <w:separator/>
      </w:r>
    </w:p>
  </w:endnote>
  <w:endnote w:type="continuationSeparator" w:id="1">
    <w:p>
      <w:pPr>
        <w:spacing w:line="240" w:lineRule="auto"/>
        <w:ind w:firstLine="65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D505A81-957D-49EE-8569-E18C5F9C006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script"/>
    <w:pitch w:val="default"/>
    <w:sig w:usb0="A00002BF" w:usb1="38CF7CFA" w:usb2="00082016" w:usb3="00000000" w:csb0="00040001" w:csb1="00000000"/>
    <w:embedRegular r:id="rId2" w:fontKey="{A8AA6C16-1ED6-4452-9B75-64207D8A8C98}"/>
  </w:font>
  <w:font w:name="等线 Light">
    <w:panose1 w:val="02010600030101010101"/>
    <w:charset w:val="86"/>
    <w:family w:val="auto"/>
    <w:pitch w:val="default"/>
    <w:sig w:usb0="A00002BF" w:usb1="38CF7CFA" w:usb2="00000016" w:usb3="00000000" w:csb0="0004000F" w:csb1="00000000"/>
  </w:font>
  <w:font w:name="Helvetica Neue">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3" w:fontKey="{8C542383-F162-41C9-A4D3-D89716A06BB8}"/>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embedRegular r:id="rId4" w:fontKey="{F7CD7CE8-1CCE-446B-A42F-3A462045688D}"/>
  </w:font>
  <w:font w:name="方正小标宋简体">
    <w:panose1 w:val="02000000000000000000"/>
    <w:charset w:val="86"/>
    <w:family w:val="auto"/>
    <w:pitch w:val="default"/>
    <w:sig w:usb0="00000001" w:usb1="08000000" w:usb2="00000000" w:usb3="00000000" w:csb0="00040000" w:csb1="00000000"/>
    <w:embedRegular r:id="rId5" w:fontKey="{BF30281E-9BCE-46A4-A3CA-A94580BD90FE}"/>
  </w:font>
  <w:font w:name="楷体_GB2312">
    <w:altName w:val="楷体"/>
    <w:panose1 w:val="02010609030101010101"/>
    <w:charset w:val="86"/>
    <w:family w:val="modern"/>
    <w:pitch w:val="default"/>
    <w:sig w:usb0="00000000" w:usb1="00000000" w:usb2="00000000" w:usb3="00000000" w:csb0="00040000" w:csb1="00000000"/>
    <w:embedRegular r:id="rId6" w:fontKey="{6CABD03E-4FAE-4E87-92E9-DE58BE7228B3}"/>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DF0DE">
    <w:pPr>
      <w:pStyle w:val="5"/>
      <w:ind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87920">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C3AAD7">
    <w:pPr>
      <w:pStyle w:val="5"/>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E91D8">
    <w:pPr>
      <w:pStyle w:val="5"/>
      <w:ind w:firstLine="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72A7A">
    <w:pPr>
      <w:pStyle w:val="5"/>
      <w:ind w:firstLine="360"/>
      <w:jc w:val="center"/>
    </w:pPr>
    <w:r>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BMUE45GQIAACEEAAAOAAAA&#10;AAAAAAEAIAAAAB8BAABkcnMvZTJvRG9jLnhtbFBLBQYAAAAABgAGAFkBAACqBQAAAAA=&#10;">
          <v:path/>
          <v:fill on="f" focussize="0,0"/>
          <v:stroke on="f" weight="0.5pt" joinstyle="miter"/>
          <v:imagedata o:title=""/>
          <o:lock v:ext="edit"/>
          <v:textbox inset="0mm,0mm,0mm,0mm" style="mso-fit-shape-to-text:t;">
            <w:txbxContent>
              <w:p w14:paraId="1A94591F">
                <w:pPr>
                  <w:pStyle w:val="5"/>
                  <w:ind w:firstLine="360"/>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II</w:t>
                </w:r>
                <w:r>
                  <w:rPr>
                    <w:sz w:val="28"/>
                    <w:szCs w:val="28"/>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5A443">
    <w:pPr>
      <w:pStyle w:val="5"/>
      <w:ind w:firstLine="360"/>
      <w:jc w:val="center"/>
    </w:pPr>
    <w:r>
      <w:pict>
        <v:shape id="_x0000_s1030" o:spid="_x0000_s1030"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Mh2d9gbAgAAIwQAAA4A&#10;AAAAAAAAAQAgAAAAHwEAAGRycy9lMm9Eb2MueG1sUEsFBgAAAAAGAAYAWQEAAKwFAAAAAA==&#10;">
          <v:path/>
          <v:fill on="f" focussize="0,0"/>
          <v:stroke on="f" weight="0.5pt" joinstyle="miter"/>
          <v:imagedata o:title=""/>
          <o:lock v:ext="edit"/>
          <v:textbox inset="0mm,0mm,0mm,0mm" style="mso-fit-shape-to-text:t;">
            <w:txbxContent>
              <w:p w14:paraId="75D7B816">
                <w:pPr>
                  <w:pStyle w:val="5"/>
                  <w:ind w:left="0" w:leftChars="0" w:firstLine="0" w:firstLineChars="0"/>
                  <w:jc w:val="both"/>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IV</w:t>
                </w:r>
                <w:r>
                  <w:rPr>
                    <w:sz w:val="28"/>
                    <w:szCs w:val="28"/>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9F2F1">
    <w:pPr>
      <w:pStyle w:val="5"/>
      <w:ind w:firstLine="360"/>
      <w:jc w:val="center"/>
      <w:rPr>
        <w:sz w:val="28"/>
        <w:szCs w:val="28"/>
      </w:rPr>
    </w:pPr>
    <w:r>
      <w:rPr>
        <w:sz w:val="28"/>
        <w:szCs w:val="28"/>
      </w:rPr>
      <w:pict>
        <v:shape id="_x0000_s1029" o:spid="_x0000_s102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v:imagedata o:title=""/>
          <o:lock v:ext="edit" aspectratio="f"/>
          <v:textbox inset="0mm,0mm,0mm,0mm" style="mso-fit-shape-to-text:t;">
            <w:txbxContent>
              <w:p w14:paraId="1541FE2A">
                <w:pPr>
                  <w:ind w:left="0" w:leftChars="0" w:firstLine="0" w:firstLineChars="0"/>
                  <w:jc w:val="both"/>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I</w:t>
                </w:r>
                <w:r>
                  <w:rPr>
                    <w:sz w:val="28"/>
                    <w:szCs w:val="28"/>
                  </w:rPr>
                  <w:fldChar w:fldCharType="end"/>
                </w:r>
                <w:r>
                  <w:rPr>
                    <w:sz w:val="28"/>
                    <w:szCs w:val="28"/>
                  </w:rPr>
                  <w:t xml:space="preserve"> —</w:t>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D970ED">
    <w:pPr>
      <w:pStyle w:val="5"/>
      <w:ind w:firstLine="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D07C70">
    <w:pPr>
      <w:pStyle w:val="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52"/>
      </w:pPr>
      <w:r>
        <w:separator/>
      </w:r>
    </w:p>
  </w:footnote>
  <w:footnote w:type="continuationSeparator" w:id="1">
    <w:p>
      <w:pPr>
        <w:spacing w:line="240" w:lineRule="auto"/>
        <w:ind w:firstLine="65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47086C">
    <w:pPr>
      <w:pStyle w:val="19"/>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C8310">
    <w:pPr>
      <w:pStyle w:val="1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4A644">
    <w:pPr>
      <w:pStyle w:val="19"/>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FC2C8">
    <w:pPr>
      <w:pStyle w:val="19"/>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EB08D">
    <w:pPr>
      <w:pStyle w:val="19"/>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1660CF">
    <w:pPr>
      <w:pStyle w:val="19"/>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documentProtection w:enforcement="0"/>
  <w:defaultTabStop w:val="420"/>
  <w:drawingGridHorizontalSpacing w:val="164"/>
  <w:drawingGridVerticalSpacing w:val="220"/>
  <w:displayHorizontalDrawingGridEvery w:val="1"/>
  <w:displayVerticalDrawingGridEvery w:val="1"/>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DkyYzZkYmJlYjBjZDYwYmQyOGRjOTI2MDc3ZGU1ZDUifQ=="/>
  </w:docVars>
  <w:rsids>
    <w:rsidRoot w:val="00172A27"/>
    <w:rsid w:val="000002AB"/>
    <w:rsid w:val="00000E25"/>
    <w:rsid w:val="00006D54"/>
    <w:rsid w:val="00007EFF"/>
    <w:rsid w:val="00012321"/>
    <w:rsid w:val="0001573E"/>
    <w:rsid w:val="00016754"/>
    <w:rsid w:val="00021AAD"/>
    <w:rsid w:val="00022415"/>
    <w:rsid w:val="00022423"/>
    <w:rsid w:val="00023AF7"/>
    <w:rsid w:val="00025B31"/>
    <w:rsid w:val="00026B1F"/>
    <w:rsid w:val="00026CAF"/>
    <w:rsid w:val="00030B4D"/>
    <w:rsid w:val="00030D90"/>
    <w:rsid w:val="00037C7D"/>
    <w:rsid w:val="00044355"/>
    <w:rsid w:val="00044C65"/>
    <w:rsid w:val="00045248"/>
    <w:rsid w:val="00050207"/>
    <w:rsid w:val="00050C6D"/>
    <w:rsid w:val="000542E3"/>
    <w:rsid w:val="00054B19"/>
    <w:rsid w:val="00057042"/>
    <w:rsid w:val="00061840"/>
    <w:rsid w:val="000621D7"/>
    <w:rsid w:val="00063410"/>
    <w:rsid w:val="00063D77"/>
    <w:rsid w:val="000669D9"/>
    <w:rsid w:val="00070CAA"/>
    <w:rsid w:val="00070E3A"/>
    <w:rsid w:val="00073C13"/>
    <w:rsid w:val="00074146"/>
    <w:rsid w:val="00074C81"/>
    <w:rsid w:val="00074E41"/>
    <w:rsid w:val="00083287"/>
    <w:rsid w:val="00083B78"/>
    <w:rsid w:val="00083F54"/>
    <w:rsid w:val="00084431"/>
    <w:rsid w:val="0008592E"/>
    <w:rsid w:val="00087F6A"/>
    <w:rsid w:val="00092852"/>
    <w:rsid w:val="00092C02"/>
    <w:rsid w:val="00092C8D"/>
    <w:rsid w:val="00094101"/>
    <w:rsid w:val="000951BA"/>
    <w:rsid w:val="00096CAD"/>
    <w:rsid w:val="00097783"/>
    <w:rsid w:val="000A0087"/>
    <w:rsid w:val="000A036D"/>
    <w:rsid w:val="000A0765"/>
    <w:rsid w:val="000A1E78"/>
    <w:rsid w:val="000A5E5E"/>
    <w:rsid w:val="000A6FD6"/>
    <w:rsid w:val="000B0163"/>
    <w:rsid w:val="000B0BAA"/>
    <w:rsid w:val="000B48EC"/>
    <w:rsid w:val="000B64F1"/>
    <w:rsid w:val="000C580D"/>
    <w:rsid w:val="000C7C27"/>
    <w:rsid w:val="000D02B9"/>
    <w:rsid w:val="000D1120"/>
    <w:rsid w:val="000D486F"/>
    <w:rsid w:val="000D6347"/>
    <w:rsid w:val="000D7BDA"/>
    <w:rsid w:val="000E0415"/>
    <w:rsid w:val="000E30F2"/>
    <w:rsid w:val="000E3E16"/>
    <w:rsid w:val="000E40EE"/>
    <w:rsid w:val="000F1E85"/>
    <w:rsid w:val="00100CA9"/>
    <w:rsid w:val="0010370F"/>
    <w:rsid w:val="00103B26"/>
    <w:rsid w:val="00105E9B"/>
    <w:rsid w:val="001064B7"/>
    <w:rsid w:val="00106FC2"/>
    <w:rsid w:val="001136B5"/>
    <w:rsid w:val="001144F9"/>
    <w:rsid w:val="00114F5A"/>
    <w:rsid w:val="0011567B"/>
    <w:rsid w:val="00115B98"/>
    <w:rsid w:val="001172BF"/>
    <w:rsid w:val="00117B18"/>
    <w:rsid w:val="001200D6"/>
    <w:rsid w:val="00120A31"/>
    <w:rsid w:val="00120DD6"/>
    <w:rsid w:val="001230BB"/>
    <w:rsid w:val="00127D05"/>
    <w:rsid w:val="001310F4"/>
    <w:rsid w:val="00131885"/>
    <w:rsid w:val="00135224"/>
    <w:rsid w:val="00135AA7"/>
    <w:rsid w:val="00137B5D"/>
    <w:rsid w:val="001406CA"/>
    <w:rsid w:val="00140973"/>
    <w:rsid w:val="00140A61"/>
    <w:rsid w:val="001410A6"/>
    <w:rsid w:val="00141AE6"/>
    <w:rsid w:val="0014281C"/>
    <w:rsid w:val="00142D82"/>
    <w:rsid w:val="00143760"/>
    <w:rsid w:val="00144040"/>
    <w:rsid w:val="00144E63"/>
    <w:rsid w:val="00145317"/>
    <w:rsid w:val="00145FC9"/>
    <w:rsid w:val="001460BB"/>
    <w:rsid w:val="00147B64"/>
    <w:rsid w:val="00150EB3"/>
    <w:rsid w:val="001527DB"/>
    <w:rsid w:val="00152861"/>
    <w:rsid w:val="00153A24"/>
    <w:rsid w:val="00153FE7"/>
    <w:rsid w:val="00154329"/>
    <w:rsid w:val="00154AA1"/>
    <w:rsid w:val="00156AA7"/>
    <w:rsid w:val="00163E45"/>
    <w:rsid w:val="00164033"/>
    <w:rsid w:val="00170D0A"/>
    <w:rsid w:val="00171D9E"/>
    <w:rsid w:val="00172A27"/>
    <w:rsid w:val="0017491F"/>
    <w:rsid w:val="00174FEE"/>
    <w:rsid w:val="001829F9"/>
    <w:rsid w:val="00182F0D"/>
    <w:rsid w:val="00190FEF"/>
    <w:rsid w:val="00191D7C"/>
    <w:rsid w:val="00191F3C"/>
    <w:rsid w:val="00192AC8"/>
    <w:rsid w:val="00192CE6"/>
    <w:rsid w:val="00193D67"/>
    <w:rsid w:val="00195741"/>
    <w:rsid w:val="0019578F"/>
    <w:rsid w:val="00196284"/>
    <w:rsid w:val="001A1BF7"/>
    <w:rsid w:val="001A1C48"/>
    <w:rsid w:val="001A5942"/>
    <w:rsid w:val="001A738F"/>
    <w:rsid w:val="001B07BB"/>
    <w:rsid w:val="001B2D13"/>
    <w:rsid w:val="001B2DB0"/>
    <w:rsid w:val="001B362D"/>
    <w:rsid w:val="001B4156"/>
    <w:rsid w:val="001B419B"/>
    <w:rsid w:val="001B59DF"/>
    <w:rsid w:val="001C0651"/>
    <w:rsid w:val="001C3419"/>
    <w:rsid w:val="001C4631"/>
    <w:rsid w:val="001C55DF"/>
    <w:rsid w:val="001C7EFC"/>
    <w:rsid w:val="001D0D7D"/>
    <w:rsid w:val="001D30B5"/>
    <w:rsid w:val="001D47D1"/>
    <w:rsid w:val="001E0003"/>
    <w:rsid w:val="001E1FB2"/>
    <w:rsid w:val="001E5AA8"/>
    <w:rsid w:val="001F24B1"/>
    <w:rsid w:val="001F275D"/>
    <w:rsid w:val="001F37D2"/>
    <w:rsid w:val="001F4F42"/>
    <w:rsid w:val="001F5B26"/>
    <w:rsid w:val="002002EF"/>
    <w:rsid w:val="00201932"/>
    <w:rsid w:val="002111F9"/>
    <w:rsid w:val="002114A2"/>
    <w:rsid w:val="00211A5A"/>
    <w:rsid w:val="00214BCF"/>
    <w:rsid w:val="00214C8C"/>
    <w:rsid w:val="00215656"/>
    <w:rsid w:val="00220D55"/>
    <w:rsid w:val="00221D26"/>
    <w:rsid w:val="002234CB"/>
    <w:rsid w:val="00223E1C"/>
    <w:rsid w:val="00224AEF"/>
    <w:rsid w:val="00231784"/>
    <w:rsid w:val="00231A9B"/>
    <w:rsid w:val="002322CA"/>
    <w:rsid w:val="00235BCE"/>
    <w:rsid w:val="0023687E"/>
    <w:rsid w:val="00240C7F"/>
    <w:rsid w:val="002435F1"/>
    <w:rsid w:val="0024478D"/>
    <w:rsid w:val="00245D30"/>
    <w:rsid w:val="00247EAF"/>
    <w:rsid w:val="0025276B"/>
    <w:rsid w:val="00253474"/>
    <w:rsid w:val="00254F94"/>
    <w:rsid w:val="00256C9C"/>
    <w:rsid w:val="00257C95"/>
    <w:rsid w:val="0026002A"/>
    <w:rsid w:val="00263FCC"/>
    <w:rsid w:val="0026426B"/>
    <w:rsid w:val="002648D1"/>
    <w:rsid w:val="00265F93"/>
    <w:rsid w:val="0026722D"/>
    <w:rsid w:val="00267638"/>
    <w:rsid w:val="00267750"/>
    <w:rsid w:val="00270BA5"/>
    <w:rsid w:val="002728A0"/>
    <w:rsid w:val="00273108"/>
    <w:rsid w:val="00274CCA"/>
    <w:rsid w:val="002760C0"/>
    <w:rsid w:val="002809D0"/>
    <w:rsid w:val="002824C9"/>
    <w:rsid w:val="00284526"/>
    <w:rsid w:val="0028573C"/>
    <w:rsid w:val="002871B6"/>
    <w:rsid w:val="00290328"/>
    <w:rsid w:val="00294BC7"/>
    <w:rsid w:val="002962A7"/>
    <w:rsid w:val="002A4970"/>
    <w:rsid w:val="002B4B1F"/>
    <w:rsid w:val="002B69F5"/>
    <w:rsid w:val="002C0DCC"/>
    <w:rsid w:val="002C3A9A"/>
    <w:rsid w:val="002C3C23"/>
    <w:rsid w:val="002C4283"/>
    <w:rsid w:val="002C428B"/>
    <w:rsid w:val="002C58C5"/>
    <w:rsid w:val="002C6A43"/>
    <w:rsid w:val="002D0744"/>
    <w:rsid w:val="002D12F6"/>
    <w:rsid w:val="002D4011"/>
    <w:rsid w:val="002D6805"/>
    <w:rsid w:val="002D6E78"/>
    <w:rsid w:val="002E11A0"/>
    <w:rsid w:val="002E170D"/>
    <w:rsid w:val="002E1F9F"/>
    <w:rsid w:val="002E2485"/>
    <w:rsid w:val="002E355A"/>
    <w:rsid w:val="002E6A43"/>
    <w:rsid w:val="002F1190"/>
    <w:rsid w:val="002F1949"/>
    <w:rsid w:val="002F5930"/>
    <w:rsid w:val="003004EF"/>
    <w:rsid w:val="00300565"/>
    <w:rsid w:val="003021EE"/>
    <w:rsid w:val="00303CDC"/>
    <w:rsid w:val="00304100"/>
    <w:rsid w:val="003103D7"/>
    <w:rsid w:val="003119DF"/>
    <w:rsid w:val="003145AE"/>
    <w:rsid w:val="003160AB"/>
    <w:rsid w:val="00316887"/>
    <w:rsid w:val="003169CE"/>
    <w:rsid w:val="00320032"/>
    <w:rsid w:val="0032037B"/>
    <w:rsid w:val="00321A31"/>
    <w:rsid w:val="00323983"/>
    <w:rsid w:val="00323CE4"/>
    <w:rsid w:val="00326A24"/>
    <w:rsid w:val="003271E1"/>
    <w:rsid w:val="00330230"/>
    <w:rsid w:val="00330D96"/>
    <w:rsid w:val="00331411"/>
    <w:rsid w:val="00331E18"/>
    <w:rsid w:val="0033203E"/>
    <w:rsid w:val="00332876"/>
    <w:rsid w:val="003336EA"/>
    <w:rsid w:val="00333B2C"/>
    <w:rsid w:val="003340A1"/>
    <w:rsid w:val="0034029A"/>
    <w:rsid w:val="00340592"/>
    <w:rsid w:val="003418B5"/>
    <w:rsid w:val="003424E1"/>
    <w:rsid w:val="00345DF0"/>
    <w:rsid w:val="00347290"/>
    <w:rsid w:val="00351A94"/>
    <w:rsid w:val="00353414"/>
    <w:rsid w:val="003566AB"/>
    <w:rsid w:val="00360078"/>
    <w:rsid w:val="0036050F"/>
    <w:rsid w:val="00360CF6"/>
    <w:rsid w:val="00362C36"/>
    <w:rsid w:val="003633D0"/>
    <w:rsid w:val="00370528"/>
    <w:rsid w:val="00370C0E"/>
    <w:rsid w:val="00370F40"/>
    <w:rsid w:val="00371217"/>
    <w:rsid w:val="00371FE7"/>
    <w:rsid w:val="003724BE"/>
    <w:rsid w:val="003752AA"/>
    <w:rsid w:val="00375755"/>
    <w:rsid w:val="0038055F"/>
    <w:rsid w:val="0038463A"/>
    <w:rsid w:val="00384F4E"/>
    <w:rsid w:val="0039129E"/>
    <w:rsid w:val="00391961"/>
    <w:rsid w:val="00395477"/>
    <w:rsid w:val="00397564"/>
    <w:rsid w:val="003A2537"/>
    <w:rsid w:val="003A29A1"/>
    <w:rsid w:val="003A35EC"/>
    <w:rsid w:val="003A3DD8"/>
    <w:rsid w:val="003A7C87"/>
    <w:rsid w:val="003B027F"/>
    <w:rsid w:val="003B3052"/>
    <w:rsid w:val="003B37B7"/>
    <w:rsid w:val="003B62F9"/>
    <w:rsid w:val="003B6DF6"/>
    <w:rsid w:val="003B71D6"/>
    <w:rsid w:val="003C1578"/>
    <w:rsid w:val="003C1718"/>
    <w:rsid w:val="003C1DBF"/>
    <w:rsid w:val="003C1EF8"/>
    <w:rsid w:val="003C3128"/>
    <w:rsid w:val="003C5121"/>
    <w:rsid w:val="003D3C48"/>
    <w:rsid w:val="003D521D"/>
    <w:rsid w:val="003E0CBF"/>
    <w:rsid w:val="003E243D"/>
    <w:rsid w:val="003E3803"/>
    <w:rsid w:val="003E4212"/>
    <w:rsid w:val="003E5573"/>
    <w:rsid w:val="003E70B9"/>
    <w:rsid w:val="003E74A2"/>
    <w:rsid w:val="003E7606"/>
    <w:rsid w:val="003F11DE"/>
    <w:rsid w:val="003F3CE2"/>
    <w:rsid w:val="003F41CB"/>
    <w:rsid w:val="003F5442"/>
    <w:rsid w:val="003F7116"/>
    <w:rsid w:val="0040032E"/>
    <w:rsid w:val="00402BE6"/>
    <w:rsid w:val="00402C61"/>
    <w:rsid w:val="00405611"/>
    <w:rsid w:val="00407238"/>
    <w:rsid w:val="004075DB"/>
    <w:rsid w:val="0040782B"/>
    <w:rsid w:val="0040792F"/>
    <w:rsid w:val="00410624"/>
    <w:rsid w:val="00411F5F"/>
    <w:rsid w:val="0041764D"/>
    <w:rsid w:val="00422BA9"/>
    <w:rsid w:val="0042306E"/>
    <w:rsid w:val="004249DE"/>
    <w:rsid w:val="00424EBD"/>
    <w:rsid w:val="00427E1E"/>
    <w:rsid w:val="0043017D"/>
    <w:rsid w:val="00433714"/>
    <w:rsid w:val="00434979"/>
    <w:rsid w:val="0043507B"/>
    <w:rsid w:val="00435857"/>
    <w:rsid w:val="00435B68"/>
    <w:rsid w:val="00435BFB"/>
    <w:rsid w:val="00437A6F"/>
    <w:rsid w:val="00437A9D"/>
    <w:rsid w:val="00441CF8"/>
    <w:rsid w:val="00442102"/>
    <w:rsid w:val="004424A7"/>
    <w:rsid w:val="004433E4"/>
    <w:rsid w:val="00444035"/>
    <w:rsid w:val="00451570"/>
    <w:rsid w:val="00453D72"/>
    <w:rsid w:val="0045573E"/>
    <w:rsid w:val="00457824"/>
    <w:rsid w:val="004634F6"/>
    <w:rsid w:val="00463645"/>
    <w:rsid w:val="00463684"/>
    <w:rsid w:val="004639A7"/>
    <w:rsid w:val="004646BA"/>
    <w:rsid w:val="004659AF"/>
    <w:rsid w:val="00471BB7"/>
    <w:rsid w:val="0047446B"/>
    <w:rsid w:val="004745DD"/>
    <w:rsid w:val="00474E1B"/>
    <w:rsid w:val="00477CB0"/>
    <w:rsid w:val="00481A42"/>
    <w:rsid w:val="00481DAB"/>
    <w:rsid w:val="00484B2D"/>
    <w:rsid w:val="00484B4E"/>
    <w:rsid w:val="00484EF5"/>
    <w:rsid w:val="00486168"/>
    <w:rsid w:val="00487C34"/>
    <w:rsid w:val="00490005"/>
    <w:rsid w:val="00491A4D"/>
    <w:rsid w:val="0049388A"/>
    <w:rsid w:val="00495C6F"/>
    <w:rsid w:val="004A1CA1"/>
    <w:rsid w:val="004A35EC"/>
    <w:rsid w:val="004A5AB1"/>
    <w:rsid w:val="004A6690"/>
    <w:rsid w:val="004B0982"/>
    <w:rsid w:val="004B0E45"/>
    <w:rsid w:val="004B3245"/>
    <w:rsid w:val="004B3919"/>
    <w:rsid w:val="004B5150"/>
    <w:rsid w:val="004B549F"/>
    <w:rsid w:val="004B6065"/>
    <w:rsid w:val="004C73C7"/>
    <w:rsid w:val="004D0F28"/>
    <w:rsid w:val="004D1174"/>
    <w:rsid w:val="004D68FD"/>
    <w:rsid w:val="004E046F"/>
    <w:rsid w:val="004E2745"/>
    <w:rsid w:val="004E35F6"/>
    <w:rsid w:val="004E5128"/>
    <w:rsid w:val="004E6E67"/>
    <w:rsid w:val="004E7BEE"/>
    <w:rsid w:val="004F0DCF"/>
    <w:rsid w:val="004F180C"/>
    <w:rsid w:val="004F1ED4"/>
    <w:rsid w:val="004F6E5F"/>
    <w:rsid w:val="004F6E75"/>
    <w:rsid w:val="004F76CD"/>
    <w:rsid w:val="00502C89"/>
    <w:rsid w:val="00502F17"/>
    <w:rsid w:val="005032EF"/>
    <w:rsid w:val="00505B3C"/>
    <w:rsid w:val="00506357"/>
    <w:rsid w:val="00506DB2"/>
    <w:rsid w:val="00512D37"/>
    <w:rsid w:val="00513AB8"/>
    <w:rsid w:val="005144A0"/>
    <w:rsid w:val="00515171"/>
    <w:rsid w:val="005154C3"/>
    <w:rsid w:val="00516213"/>
    <w:rsid w:val="00517B84"/>
    <w:rsid w:val="00517F7D"/>
    <w:rsid w:val="00520280"/>
    <w:rsid w:val="00522249"/>
    <w:rsid w:val="00522E5E"/>
    <w:rsid w:val="00523264"/>
    <w:rsid w:val="00523FB7"/>
    <w:rsid w:val="00524F57"/>
    <w:rsid w:val="005314B7"/>
    <w:rsid w:val="005326CA"/>
    <w:rsid w:val="00532D63"/>
    <w:rsid w:val="00535EB2"/>
    <w:rsid w:val="00536B9E"/>
    <w:rsid w:val="00541182"/>
    <w:rsid w:val="005415E5"/>
    <w:rsid w:val="0054306A"/>
    <w:rsid w:val="0054482B"/>
    <w:rsid w:val="00544A11"/>
    <w:rsid w:val="00547B84"/>
    <w:rsid w:val="005515F8"/>
    <w:rsid w:val="00551F13"/>
    <w:rsid w:val="00552776"/>
    <w:rsid w:val="00554991"/>
    <w:rsid w:val="00560BBD"/>
    <w:rsid w:val="0056305A"/>
    <w:rsid w:val="005634D1"/>
    <w:rsid w:val="00564913"/>
    <w:rsid w:val="00567C8A"/>
    <w:rsid w:val="00570EB0"/>
    <w:rsid w:val="00571C06"/>
    <w:rsid w:val="005727F4"/>
    <w:rsid w:val="005739B4"/>
    <w:rsid w:val="00574BC2"/>
    <w:rsid w:val="0057566B"/>
    <w:rsid w:val="00575A7E"/>
    <w:rsid w:val="00576A6A"/>
    <w:rsid w:val="00580A04"/>
    <w:rsid w:val="005823D5"/>
    <w:rsid w:val="00582B46"/>
    <w:rsid w:val="005869AD"/>
    <w:rsid w:val="00590C94"/>
    <w:rsid w:val="00593D57"/>
    <w:rsid w:val="005A00B4"/>
    <w:rsid w:val="005A0B99"/>
    <w:rsid w:val="005A1BE3"/>
    <w:rsid w:val="005A26C6"/>
    <w:rsid w:val="005A27BB"/>
    <w:rsid w:val="005A36B9"/>
    <w:rsid w:val="005A3FC3"/>
    <w:rsid w:val="005A4211"/>
    <w:rsid w:val="005A4A42"/>
    <w:rsid w:val="005A6FEC"/>
    <w:rsid w:val="005A718B"/>
    <w:rsid w:val="005B1C10"/>
    <w:rsid w:val="005B1C71"/>
    <w:rsid w:val="005B23A9"/>
    <w:rsid w:val="005B4208"/>
    <w:rsid w:val="005C1077"/>
    <w:rsid w:val="005C2F2C"/>
    <w:rsid w:val="005C7461"/>
    <w:rsid w:val="005C7512"/>
    <w:rsid w:val="005D00F0"/>
    <w:rsid w:val="005D014F"/>
    <w:rsid w:val="005D3206"/>
    <w:rsid w:val="005D35F3"/>
    <w:rsid w:val="005D40E6"/>
    <w:rsid w:val="005D4DCB"/>
    <w:rsid w:val="005D67AE"/>
    <w:rsid w:val="005D6806"/>
    <w:rsid w:val="005D7492"/>
    <w:rsid w:val="005E02D1"/>
    <w:rsid w:val="005E59A9"/>
    <w:rsid w:val="005E6A9D"/>
    <w:rsid w:val="005E7E2F"/>
    <w:rsid w:val="005F2167"/>
    <w:rsid w:val="005F28DE"/>
    <w:rsid w:val="005F624B"/>
    <w:rsid w:val="006019F3"/>
    <w:rsid w:val="006028D6"/>
    <w:rsid w:val="006034EB"/>
    <w:rsid w:val="0060373C"/>
    <w:rsid w:val="006060DA"/>
    <w:rsid w:val="0060649A"/>
    <w:rsid w:val="00607C55"/>
    <w:rsid w:val="00611761"/>
    <w:rsid w:val="006123E6"/>
    <w:rsid w:val="006134BD"/>
    <w:rsid w:val="00616F43"/>
    <w:rsid w:val="00621538"/>
    <w:rsid w:val="00627768"/>
    <w:rsid w:val="006304A2"/>
    <w:rsid w:val="006314A1"/>
    <w:rsid w:val="00632EBC"/>
    <w:rsid w:val="00633A08"/>
    <w:rsid w:val="00634B33"/>
    <w:rsid w:val="00634B5C"/>
    <w:rsid w:val="00634D0B"/>
    <w:rsid w:val="00641B30"/>
    <w:rsid w:val="006431A5"/>
    <w:rsid w:val="00644091"/>
    <w:rsid w:val="00644D98"/>
    <w:rsid w:val="00645678"/>
    <w:rsid w:val="00652699"/>
    <w:rsid w:val="006529B4"/>
    <w:rsid w:val="00661C84"/>
    <w:rsid w:val="0066265A"/>
    <w:rsid w:val="00663896"/>
    <w:rsid w:val="00663F0D"/>
    <w:rsid w:val="00667ED3"/>
    <w:rsid w:val="00670E1A"/>
    <w:rsid w:val="00671316"/>
    <w:rsid w:val="00672387"/>
    <w:rsid w:val="00672F3F"/>
    <w:rsid w:val="0067682E"/>
    <w:rsid w:val="00677350"/>
    <w:rsid w:val="00682255"/>
    <w:rsid w:val="00682F9B"/>
    <w:rsid w:val="00684434"/>
    <w:rsid w:val="00684CE6"/>
    <w:rsid w:val="006850C7"/>
    <w:rsid w:val="0069117C"/>
    <w:rsid w:val="00697781"/>
    <w:rsid w:val="00697F9B"/>
    <w:rsid w:val="006A08D6"/>
    <w:rsid w:val="006A0C38"/>
    <w:rsid w:val="006A1E16"/>
    <w:rsid w:val="006A1FC4"/>
    <w:rsid w:val="006A7BE0"/>
    <w:rsid w:val="006B1143"/>
    <w:rsid w:val="006B33FF"/>
    <w:rsid w:val="006B49AF"/>
    <w:rsid w:val="006B4BCD"/>
    <w:rsid w:val="006B56CA"/>
    <w:rsid w:val="006B5FE8"/>
    <w:rsid w:val="006B614F"/>
    <w:rsid w:val="006B73B1"/>
    <w:rsid w:val="006C141B"/>
    <w:rsid w:val="006C33F0"/>
    <w:rsid w:val="006C3765"/>
    <w:rsid w:val="006C410B"/>
    <w:rsid w:val="006C4F6C"/>
    <w:rsid w:val="006C6449"/>
    <w:rsid w:val="006C66A8"/>
    <w:rsid w:val="006C69E8"/>
    <w:rsid w:val="006C6C0F"/>
    <w:rsid w:val="006D0083"/>
    <w:rsid w:val="006D02EB"/>
    <w:rsid w:val="006D2BFB"/>
    <w:rsid w:val="006D47AC"/>
    <w:rsid w:val="006E117B"/>
    <w:rsid w:val="006E1499"/>
    <w:rsid w:val="006E3267"/>
    <w:rsid w:val="006E53CF"/>
    <w:rsid w:val="006E6799"/>
    <w:rsid w:val="006F37BD"/>
    <w:rsid w:val="006F4241"/>
    <w:rsid w:val="006F42A2"/>
    <w:rsid w:val="006F4E1E"/>
    <w:rsid w:val="006F786C"/>
    <w:rsid w:val="007007CA"/>
    <w:rsid w:val="00702208"/>
    <w:rsid w:val="00703DAF"/>
    <w:rsid w:val="00710EE9"/>
    <w:rsid w:val="007112B6"/>
    <w:rsid w:val="007126D2"/>
    <w:rsid w:val="0071549E"/>
    <w:rsid w:val="00715654"/>
    <w:rsid w:val="00716713"/>
    <w:rsid w:val="00721969"/>
    <w:rsid w:val="00725595"/>
    <w:rsid w:val="0072607E"/>
    <w:rsid w:val="00727892"/>
    <w:rsid w:val="007324EF"/>
    <w:rsid w:val="00733282"/>
    <w:rsid w:val="0073502F"/>
    <w:rsid w:val="00742D81"/>
    <w:rsid w:val="0074373D"/>
    <w:rsid w:val="00743758"/>
    <w:rsid w:val="00744528"/>
    <w:rsid w:val="00746BC2"/>
    <w:rsid w:val="00750C6A"/>
    <w:rsid w:val="00751BA8"/>
    <w:rsid w:val="00752DB0"/>
    <w:rsid w:val="00757AA2"/>
    <w:rsid w:val="00760922"/>
    <w:rsid w:val="007628CA"/>
    <w:rsid w:val="0077062A"/>
    <w:rsid w:val="007708F4"/>
    <w:rsid w:val="00770FB8"/>
    <w:rsid w:val="0077346C"/>
    <w:rsid w:val="00774F18"/>
    <w:rsid w:val="00775CE3"/>
    <w:rsid w:val="00776F05"/>
    <w:rsid w:val="0078073C"/>
    <w:rsid w:val="00780F74"/>
    <w:rsid w:val="00785C17"/>
    <w:rsid w:val="00791AEB"/>
    <w:rsid w:val="00794C1D"/>
    <w:rsid w:val="007A057B"/>
    <w:rsid w:val="007A11B9"/>
    <w:rsid w:val="007A1E44"/>
    <w:rsid w:val="007A21B4"/>
    <w:rsid w:val="007A24D0"/>
    <w:rsid w:val="007A3847"/>
    <w:rsid w:val="007A7351"/>
    <w:rsid w:val="007B0745"/>
    <w:rsid w:val="007B210D"/>
    <w:rsid w:val="007B2344"/>
    <w:rsid w:val="007B7BB5"/>
    <w:rsid w:val="007C10CE"/>
    <w:rsid w:val="007C2E5B"/>
    <w:rsid w:val="007C3371"/>
    <w:rsid w:val="007C5402"/>
    <w:rsid w:val="007C680D"/>
    <w:rsid w:val="007C6AFF"/>
    <w:rsid w:val="007D245B"/>
    <w:rsid w:val="007D4C6A"/>
    <w:rsid w:val="007D6475"/>
    <w:rsid w:val="007D6803"/>
    <w:rsid w:val="007E31C3"/>
    <w:rsid w:val="007E38C2"/>
    <w:rsid w:val="007E4EA6"/>
    <w:rsid w:val="007E688F"/>
    <w:rsid w:val="007E6C0C"/>
    <w:rsid w:val="007F0228"/>
    <w:rsid w:val="007F0A5C"/>
    <w:rsid w:val="007F12C9"/>
    <w:rsid w:val="007F2EC5"/>
    <w:rsid w:val="007F5E73"/>
    <w:rsid w:val="007F6AB7"/>
    <w:rsid w:val="007F7C64"/>
    <w:rsid w:val="00803DDA"/>
    <w:rsid w:val="00805255"/>
    <w:rsid w:val="008061D2"/>
    <w:rsid w:val="00810B6E"/>
    <w:rsid w:val="008124CB"/>
    <w:rsid w:val="00814EEA"/>
    <w:rsid w:val="00821943"/>
    <w:rsid w:val="008223A9"/>
    <w:rsid w:val="008242B5"/>
    <w:rsid w:val="00824A97"/>
    <w:rsid w:val="00824F81"/>
    <w:rsid w:val="00831A2A"/>
    <w:rsid w:val="008325E5"/>
    <w:rsid w:val="00832C3C"/>
    <w:rsid w:val="00835277"/>
    <w:rsid w:val="00836CD3"/>
    <w:rsid w:val="00841485"/>
    <w:rsid w:val="00841CA7"/>
    <w:rsid w:val="00843020"/>
    <w:rsid w:val="00847AC3"/>
    <w:rsid w:val="00850541"/>
    <w:rsid w:val="00850EB5"/>
    <w:rsid w:val="00851177"/>
    <w:rsid w:val="008513E9"/>
    <w:rsid w:val="0085171E"/>
    <w:rsid w:val="00852704"/>
    <w:rsid w:val="00856E43"/>
    <w:rsid w:val="0086337B"/>
    <w:rsid w:val="00864F44"/>
    <w:rsid w:val="008666D8"/>
    <w:rsid w:val="00866B3B"/>
    <w:rsid w:val="00867FD7"/>
    <w:rsid w:val="008717B0"/>
    <w:rsid w:val="008726C1"/>
    <w:rsid w:val="00873B40"/>
    <w:rsid w:val="00881EED"/>
    <w:rsid w:val="00884A19"/>
    <w:rsid w:val="008852CE"/>
    <w:rsid w:val="00885B52"/>
    <w:rsid w:val="00887A57"/>
    <w:rsid w:val="008901DE"/>
    <w:rsid w:val="00891E13"/>
    <w:rsid w:val="00893C94"/>
    <w:rsid w:val="00893EBA"/>
    <w:rsid w:val="00897C3B"/>
    <w:rsid w:val="008A2C95"/>
    <w:rsid w:val="008A4EEF"/>
    <w:rsid w:val="008B1066"/>
    <w:rsid w:val="008B1372"/>
    <w:rsid w:val="008B6828"/>
    <w:rsid w:val="008C015C"/>
    <w:rsid w:val="008C2730"/>
    <w:rsid w:val="008C2E1E"/>
    <w:rsid w:val="008C37F0"/>
    <w:rsid w:val="008C4263"/>
    <w:rsid w:val="008C7FB0"/>
    <w:rsid w:val="008D282A"/>
    <w:rsid w:val="008D3D50"/>
    <w:rsid w:val="008D42E3"/>
    <w:rsid w:val="008D5747"/>
    <w:rsid w:val="008D7576"/>
    <w:rsid w:val="008E1277"/>
    <w:rsid w:val="008E1DEA"/>
    <w:rsid w:val="008E3C1A"/>
    <w:rsid w:val="008E5D96"/>
    <w:rsid w:val="008F0082"/>
    <w:rsid w:val="008F0676"/>
    <w:rsid w:val="008F0DA2"/>
    <w:rsid w:val="008F21A1"/>
    <w:rsid w:val="008F6202"/>
    <w:rsid w:val="008F6E4F"/>
    <w:rsid w:val="0090024F"/>
    <w:rsid w:val="00903565"/>
    <w:rsid w:val="00903E8E"/>
    <w:rsid w:val="00904400"/>
    <w:rsid w:val="00905D7C"/>
    <w:rsid w:val="00907C98"/>
    <w:rsid w:val="00912AA0"/>
    <w:rsid w:val="0091488A"/>
    <w:rsid w:val="00916986"/>
    <w:rsid w:val="009203CA"/>
    <w:rsid w:val="0092320B"/>
    <w:rsid w:val="0092567A"/>
    <w:rsid w:val="00930C2F"/>
    <w:rsid w:val="009327A5"/>
    <w:rsid w:val="00932893"/>
    <w:rsid w:val="00933DC2"/>
    <w:rsid w:val="009343D0"/>
    <w:rsid w:val="00934E0B"/>
    <w:rsid w:val="00940634"/>
    <w:rsid w:val="00940EEE"/>
    <w:rsid w:val="00941D36"/>
    <w:rsid w:val="00942016"/>
    <w:rsid w:val="009420BE"/>
    <w:rsid w:val="00942C7D"/>
    <w:rsid w:val="00943EB6"/>
    <w:rsid w:val="009454BA"/>
    <w:rsid w:val="00946338"/>
    <w:rsid w:val="009464A4"/>
    <w:rsid w:val="009467F3"/>
    <w:rsid w:val="00950073"/>
    <w:rsid w:val="00950F56"/>
    <w:rsid w:val="009550AE"/>
    <w:rsid w:val="00955EED"/>
    <w:rsid w:val="009567DF"/>
    <w:rsid w:val="00956FCA"/>
    <w:rsid w:val="00957073"/>
    <w:rsid w:val="00957BD5"/>
    <w:rsid w:val="00960D2A"/>
    <w:rsid w:val="00964F7A"/>
    <w:rsid w:val="00966DA3"/>
    <w:rsid w:val="00970466"/>
    <w:rsid w:val="0097299F"/>
    <w:rsid w:val="0097405B"/>
    <w:rsid w:val="009761A8"/>
    <w:rsid w:val="009816DE"/>
    <w:rsid w:val="009818D5"/>
    <w:rsid w:val="00982EEC"/>
    <w:rsid w:val="00983F2D"/>
    <w:rsid w:val="00990E72"/>
    <w:rsid w:val="009927AF"/>
    <w:rsid w:val="00992EA4"/>
    <w:rsid w:val="0099600B"/>
    <w:rsid w:val="00996B0B"/>
    <w:rsid w:val="009A18EC"/>
    <w:rsid w:val="009A1B83"/>
    <w:rsid w:val="009A4C5B"/>
    <w:rsid w:val="009A4C6B"/>
    <w:rsid w:val="009A6351"/>
    <w:rsid w:val="009A68B5"/>
    <w:rsid w:val="009A6C44"/>
    <w:rsid w:val="009B02DC"/>
    <w:rsid w:val="009B0A47"/>
    <w:rsid w:val="009B13A5"/>
    <w:rsid w:val="009B175F"/>
    <w:rsid w:val="009B3E47"/>
    <w:rsid w:val="009B3E62"/>
    <w:rsid w:val="009B55DC"/>
    <w:rsid w:val="009C45E2"/>
    <w:rsid w:val="009C4B5D"/>
    <w:rsid w:val="009C51DF"/>
    <w:rsid w:val="009C5E35"/>
    <w:rsid w:val="009C7AB5"/>
    <w:rsid w:val="009C7D8F"/>
    <w:rsid w:val="009D1F35"/>
    <w:rsid w:val="009D3968"/>
    <w:rsid w:val="009D69A4"/>
    <w:rsid w:val="009D7597"/>
    <w:rsid w:val="009D7EFA"/>
    <w:rsid w:val="009E0D46"/>
    <w:rsid w:val="009E35A3"/>
    <w:rsid w:val="009E4D54"/>
    <w:rsid w:val="009E6046"/>
    <w:rsid w:val="009E6FA1"/>
    <w:rsid w:val="009E737F"/>
    <w:rsid w:val="009E77FB"/>
    <w:rsid w:val="009F05FA"/>
    <w:rsid w:val="009F6CDA"/>
    <w:rsid w:val="00A00B78"/>
    <w:rsid w:val="00A04ADB"/>
    <w:rsid w:val="00A10175"/>
    <w:rsid w:val="00A103E4"/>
    <w:rsid w:val="00A12D91"/>
    <w:rsid w:val="00A12E6A"/>
    <w:rsid w:val="00A15029"/>
    <w:rsid w:val="00A15841"/>
    <w:rsid w:val="00A17468"/>
    <w:rsid w:val="00A204ED"/>
    <w:rsid w:val="00A213DB"/>
    <w:rsid w:val="00A22217"/>
    <w:rsid w:val="00A230C3"/>
    <w:rsid w:val="00A24A23"/>
    <w:rsid w:val="00A25132"/>
    <w:rsid w:val="00A251C8"/>
    <w:rsid w:val="00A274AD"/>
    <w:rsid w:val="00A27F2A"/>
    <w:rsid w:val="00A3142C"/>
    <w:rsid w:val="00A31BAD"/>
    <w:rsid w:val="00A37D83"/>
    <w:rsid w:val="00A44988"/>
    <w:rsid w:val="00A47224"/>
    <w:rsid w:val="00A472F5"/>
    <w:rsid w:val="00A50DB2"/>
    <w:rsid w:val="00A51439"/>
    <w:rsid w:val="00A51C44"/>
    <w:rsid w:val="00A530FA"/>
    <w:rsid w:val="00A53909"/>
    <w:rsid w:val="00A550AB"/>
    <w:rsid w:val="00A55889"/>
    <w:rsid w:val="00A55896"/>
    <w:rsid w:val="00A55B2B"/>
    <w:rsid w:val="00A57505"/>
    <w:rsid w:val="00A60345"/>
    <w:rsid w:val="00A60BB7"/>
    <w:rsid w:val="00A62977"/>
    <w:rsid w:val="00A63F38"/>
    <w:rsid w:val="00A71A7B"/>
    <w:rsid w:val="00A747F6"/>
    <w:rsid w:val="00A7577B"/>
    <w:rsid w:val="00A7695D"/>
    <w:rsid w:val="00A8200A"/>
    <w:rsid w:val="00A8700B"/>
    <w:rsid w:val="00A91796"/>
    <w:rsid w:val="00A91E31"/>
    <w:rsid w:val="00A93C26"/>
    <w:rsid w:val="00A95B64"/>
    <w:rsid w:val="00A95E1B"/>
    <w:rsid w:val="00A95EED"/>
    <w:rsid w:val="00A97A3B"/>
    <w:rsid w:val="00AA0003"/>
    <w:rsid w:val="00AA04CD"/>
    <w:rsid w:val="00AA1223"/>
    <w:rsid w:val="00AA1FF5"/>
    <w:rsid w:val="00AA64B2"/>
    <w:rsid w:val="00AB19B9"/>
    <w:rsid w:val="00AB2B44"/>
    <w:rsid w:val="00AB32CF"/>
    <w:rsid w:val="00AB392F"/>
    <w:rsid w:val="00AB462B"/>
    <w:rsid w:val="00AC0368"/>
    <w:rsid w:val="00AC081E"/>
    <w:rsid w:val="00AC0D6B"/>
    <w:rsid w:val="00AC1050"/>
    <w:rsid w:val="00AC1FE8"/>
    <w:rsid w:val="00AC651F"/>
    <w:rsid w:val="00AC7A01"/>
    <w:rsid w:val="00AC7D9D"/>
    <w:rsid w:val="00AD19B8"/>
    <w:rsid w:val="00AD42A7"/>
    <w:rsid w:val="00AD4951"/>
    <w:rsid w:val="00AD5953"/>
    <w:rsid w:val="00AD7F1D"/>
    <w:rsid w:val="00AE516B"/>
    <w:rsid w:val="00AF259B"/>
    <w:rsid w:val="00AF2C82"/>
    <w:rsid w:val="00AF37DB"/>
    <w:rsid w:val="00AF3F62"/>
    <w:rsid w:val="00AF62C5"/>
    <w:rsid w:val="00AF6B38"/>
    <w:rsid w:val="00B00F11"/>
    <w:rsid w:val="00B0318C"/>
    <w:rsid w:val="00B05C7F"/>
    <w:rsid w:val="00B07CA3"/>
    <w:rsid w:val="00B16508"/>
    <w:rsid w:val="00B23E1A"/>
    <w:rsid w:val="00B2582A"/>
    <w:rsid w:val="00B2588B"/>
    <w:rsid w:val="00B262F3"/>
    <w:rsid w:val="00B30A62"/>
    <w:rsid w:val="00B3179D"/>
    <w:rsid w:val="00B319C9"/>
    <w:rsid w:val="00B36B28"/>
    <w:rsid w:val="00B40781"/>
    <w:rsid w:val="00B408C0"/>
    <w:rsid w:val="00B4375C"/>
    <w:rsid w:val="00B470AE"/>
    <w:rsid w:val="00B47E61"/>
    <w:rsid w:val="00B5005B"/>
    <w:rsid w:val="00B52CC0"/>
    <w:rsid w:val="00B54FF9"/>
    <w:rsid w:val="00B55E81"/>
    <w:rsid w:val="00B56310"/>
    <w:rsid w:val="00B5660D"/>
    <w:rsid w:val="00B569EC"/>
    <w:rsid w:val="00B60416"/>
    <w:rsid w:val="00B61E17"/>
    <w:rsid w:val="00B6268E"/>
    <w:rsid w:val="00B6317E"/>
    <w:rsid w:val="00B644D3"/>
    <w:rsid w:val="00B65E97"/>
    <w:rsid w:val="00B6660B"/>
    <w:rsid w:val="00B66E04"/>
    <w:rsid w:val="00B70A38"/>
    <w:rsid w:val="00B7335A"/>
    <w:rsid w:val="00B75521"/>
    <w:rsid w:val="00B76528"/>
    <w:rsid w:val="00B809C5"/>
    <w:rsid w:val="00B80E08"/>
    <w:rsid w:val="00B834E5"/>
    <w:rsid w:val="00B83E29"/>
    <w:rsid w:val="00B84472"/>
    <w:rsid w:val="00B848A0"/>
    <w:rsid w:val="00B84BAB"/>
    <w:rsid w:val="00B85BF3"/>
    <w:rsid w:val="00B87A7C"/>
    <w:rsid w:val="00B87D19"/>
    <w:rsid w:val="00B95124"/>
    <w:rsid w:val="00B955F7"/>
    <w:rsid w:val="00B96061"/>
    <w:rsid w:val="00BA2391"/>
    <w:rsid w:val="00BA4C04"/>
    <w:rsid w:val="00BA5BBA"/>
    <w:rsid w:val="00BA6646"/>
    <w:rsid w:val="00BA79AC"/>
    <w:rsid w:val="00BB181B"/>
    <w:rsid w:val="00BB2B47"/>
    <w:rsid w:val="00BB3E84"/>
    <w:rsid w:val="00BB45F4"/>
    <w:rsid w:val="00BC225D"/>
    <w:rsid w:val="00BC520B"/>
    <w:rsid w:val="00BC6332"/>
    <w:rsid w:val="00BC65C4"/>
    <w:rsid w:val="00BC6A54"/>
    <w:rsid w:val="00BC7375"/>
    <w:rsid w:val="00BD011B"/>
    <w:rsid w:val="00BD0743"/>
    <w:rsid w:val="00BD12B7"/>
    <w:rsid w:val="00BD3EF3"/>
    <w:rsid w:val="00BD3F91"/>
    <w:rsid w:val="00BD59B1"/>
    <w:rsid w:val="00BD7708"/>
    <w:rsid w:val="00BE058F"/>
    <w:rsid w:val="00BE172B"/>
    <w:rsid w:val="00BE1BBE"/>
    <w:rsid w:val="00BE6008"/>
    <w:rsid w:val="00BF2459"/>
    <w:rsid w:val="00BF79B0"/>
    <w:rsid w:val="00C03D58"/>
    <w:rsid w:val="00C04BB2"/>
    <w:rsid w:val="00C1381B"/>
    <w:rsid w:val="00C1469B"/>
    <w:rsid w:val="00C1566E"/>
    <w:rsid w:val="00C20C61"/>
    <w:rsid w:val="00C229E2"/>
    <w:rsid w:val="00C24866"/>
    <w:rsid w:val="00C24E83"/>
    <w:rsid w:val="00C25044"/>
    <w:rsid w:val="00C25598"/>
    <w:rsid w:val="00C25AFD"/>
    <w:rsid w:val="00C263FB"/>
    <w:rsid w:val="00C26BF6"/>
    <w:rsid w:val="00C3269A"/>
    <w:rsid w:val="00C3369C"/>
    <w:rsid w:val="00C33C66"/>
    <w:rsid w:val="00C41A34"/>
    <w:rsid w:val="00C44A00"/>
    <w:rsid w:val="00C47B60"/>
    <w:rsid w:val="00C5117E"/>
    <w:rsid w:val="00C5371F"/>
    <w:rsid w:val="00C5377B"/>
    <w:rsid w:val="00C53AF8"/>
    <w:rsid w:val="00C54923"/>
    <w:rsid w:val="00C607AE"/>
    <w:rsid w:val="00C60C14"/>
    <w:rsid w:val="00C60D3A"/>
    <w:rsid w:val="00C62A66"/>
    <w:rsid w:val="00C62C73"/>
    <w:rsid w:val="00C6323E"/>
    <w:rsid w:val="00C63A6E"/>
    <w:rsid w:val="00C63C67"/>
    <w:rsid w:val="00C67547"/>
    <w:rsid w:val="00C718F8"/>
    <w:rsid w:val="00C71BBA"/>
    <w:rsid w:val="00C74B04"/>
    <w:rsid w:val="00C7616D"/>
    <w:rsid w:val="00C81678"/>
    <w:rsid w:val="00C82D57"/>
    <w:rsid w:val="00C863B2"/>
    <w:rsid w:val="00C9021D"/>
    <w:rsid w:val="00C90712"/>
    <w:rsid w:val="00C92583"/>
    <w:rsid w:val="00C95A45"/>
    <w:rsid w:val="00C965BC"/>
    <w:rsid w:val="00C96C8B"/>
    <w:rsid w:val="00C96CBE"/>
    <w:rsid w:val="00C97C3D"/>
    <w:rsid w:val="00CA375A"/>
    <w:rsid w:val="00CA39C5"/>
    <w:rsid w:val="00CA3C74"/>
    <w:rsid w:val="00CA4B2D"/>
    <w:rsid w:val="00CA6E12"/>
    <w:rsid w:val="00CA6FF3"/>
    <w:rsid w:val="00CB0816"/>
    <w:rsid w:val="00CB11B1"/>
    <w:rsid w:val="00CB3A6F"/>
    <w:rsid w:val="00CB5318"/>
    <w:rsid w:val="00CB5635"/>
    <w:rsid w:val="00CB72DD"/>
    <w:rsid w:val="00CC137B"/>
    <w:rsid w:val="00CC4E7C"/>
    <w:rsid w:val="00CC5A43"/>
    <w:rsid w:val="00CC5EE4"/>
    <w:rsid w:val="00CC6CB8"/>
    <w:rsid w:val="00CD2F38"/>
    <w:rsid w:val="00CE1FEB"/>
    <w:rsid w:val="00CE635D"/>
    <w:rsid w:val="00CE6A09"/>
    <w:rsid w:val="00CF1376"/>
    <w:rsid w:val="00CF7A8C"/>
    <w:rsid w:val="00CF7E70"/>
    <w:rsid w:val="00D00DA9"/>
    <w:rsid w:val="00D019D7"/>
    <w:rsid w:val="00D036B7"/>
    <w:rsid w:val="00D067DA"/>
    <w:rsid w:val="00D10AB9"/>
    <w:rsid w:val="00D110BA"/>
    <w:rsid w:val="00D12471"/>
    <w:rsid w:val="00D12A79"/>
    <w:rsid w:val="00D14830"/>
    <w:rsid w:val="00D1715A"/>
    <w:rsid w:val="00D21258"/>
    <w:rsid w:val="00D238FB"/>
    <w:rsid w:val="00D2511C"/>
    <w:rsid w:val="00D25BCD"/>
    <w:rsid w:val="00D25C20"/>
    <w:rsid w:val="00D26026"/>
    <w:rsid w:val="00D31B3C"/>
    <w:rsid w:val="00D31F3E"/>
    <w:rsid w:val="00D333A1"/>
    <w:rsid w:val="00D33517"/>
    <w:rsid w:val="00D3358F"/>
    <w:rsid w:val="00D355A9"/>
    <w:rsid w:val="00D36A86"/>
    <w:rsid w:val="00D40397"/>
    <w:rsid w:val="00D43421"/>
    <w:rsid w:val="00D44224"/>
    <w:rsid w:val="00D5161C"/>
    <w:rsid w:val="00D547A7"/>
    <w:rsid w:val="00D54F97"/>
    <w:rsid w:val="00D55E46"/>
    <w:rsid w:val="00D60025"/>
    <w:rsid w:val="00D6198B"/>
    <w:rsid w:val="00D72AE0"/>
    <w:rsid w:val="00D72F1E"/>
    <w:rsid w:val="00D75DF7"/>
    <w:rsid w:val="00D7715B"/>
    <w:rsid w:val="00D77AC2"/>
    <w:rsid w:val="00D8167B"/>
    <w:rsid w:val="00D8536A"/>
    <w:rsid w:val="00D858BC"/>
    <w:rsid w:val="00D93B69"/>
    <w:rsid w:val="00D93D02"/>
    <w:rsid w:val="00D951EB"/>
    <w:rsid w:val="00D95754"/>
    <w:rsid w:val="00D964E0"/>
    <w:rsid w:val="00D97A62"/>
    <w:rsid w:val="00DA0E72"/>
    <w:rsid w:val="00DA32A0"/>
    <w:rsid w:val="00DA7A4B"/>
    <w:rsid w:val="00DB0320"/>
    <w:rsid w:val="00DB0F42"/>
    <w:rsid w:val="00DB11C0"/>
    <w:rsid w:val="00DB5D25"/>
    <w:rsid w:val="00DB6801"/>
    <w:rsid w:val="00DB6C67"/>
    <w:rsid w:val="00DB7164"/>
    <w:rsid w:val="00DC28CA"/>
    <w:rsid w:val="00DC2CAC"/>
    <w:rsid w:val="00DC4EA6"/>
    <w:rsid w:val="00DC66A1"/>
    <w:rsid w:val="00DD1090"/>
    <w:rsid w:val="00DD5847"/>
    <w:rsid w:val="00DD70C9"/>
    <w:rsid w:val="00DD7428"/>
    <w:rsid w:val="00DE0F67"/>
    <w:rsid w:val="00DE14C2"/>
    <w:rsid w:val="00DE2850"/>
    <w:rsid w:val="00DE2DBF"/>
    <w:rsid w:val="00DE325C"/>
    <w:rsid w:val="00DE3736"/>
    <w:rsid w:val="00DF11FD"/>
    <w:rsid w:val="00DF1D30"/>
    <w:rsid w:val="00DF202E"/>
    <w:rsid w:val="00DF23E4"/>
    <w:rsid w:val="00DF2442"/>
    <w:rsid w:val="00DF2EEF"/>
    <w:rsid w:val="00DF438D"/>
    <w:rsid w:val="00DF67CB"/>
    <w:rsid w:val="00DF7B89"/>
    <w:rsid w:val="00E00A34"/>
    <w:rsid w:val="00E0352E"/>
    <w:rsid w:val="00E05239"/>
    <w:rsid w:val="00E10C98"/>
    <w:rsid w:val="00E1314D"/>
    <w:rsid w:val="00E24518"/>
    <w:rsid w:val="00E2504C"/>
    <w:rsid w:val="00E26F73"/>
    <w:rsid w:val="00E3319A"/>
    <w:rsid w:val="00E353C9"/>
    <w:rsid w:val="00E35890"/>
    <w:rsid w:val="00E410D5"/>
    <w:rsid w:val="00E4184D"/>
    <w:rsid w:val="00E41A9D"/>
    <w:rsid w:val="00E41C47"/>
    <w:rsid w:val="00E424D8"/>
    <w:rsid w:val="00E426F1"/>
    <w:rsid w:val="00E44B97"/>
    <w:rsid w:val="00E45C0A"/>
    <w:rsid w:val="00E566CC"/>
    <w:rsid w:val="00E61AB4"/>
    <w:rsid w:val="00E63095"/>
    <w:rsid w:val="00E63D32"/>
    <w:rsid w:val="00E63FB3"/>
    <w:rsid w:val="00E70350"/>
    <w:rsid w:val="00E7112F"/>
    <w:rsid w:val="00E715C9"/>
    <w:rsid w:val="00E735A0"/>
    <w:rsid w:val="00E75A6D"/>
    <w:rsid w:val="00E775A6"/>
    <w:rsid w:val="00E77B80"/>
    <w:rsid w:val="00E80CDE"/>
    <w:rsid w:val="00E84D5F"/>
    <w:rsid w:val="00E907B2"/>
    <w:rsid w:val="00E9225B"/>
    <w:rsid w:val="00E923E0"/>
    <w:rsid w:val="00E92E09"/>
    <w:rsid w:val="00E94162"/>
    <w:rsid w:val="00E96CAD"/>
    <w:rsid w:val="00EA0442"/>
    <w:rsid w:val="00EA202A"/>
    <w:rsid w:val="00EA2D51"/>
    <w:rsid w:val="00EA300F"/>
    <w:rsid w:val="00EA45CE"/>
    <w:rsid w:val="00EA5D74"/>
    <w:rsid w:val="00EA6725"/>
    <w:rsid w:val="00EB354A"/>
    <w:rsid w:val="00EB52C8"/>
    <w:rsid w:val="00EB7B7E"/>
    <w:rsid w:val="00EC0535"/>
    <w:rsid w:val="00EC1F9A"/>
    <w:rsid w:val="00EC3A90"/>
    <w:rsid w:val="00EC43A2"/>
    <w:rsid w:val="00EC59B7"/>
    <w:rsid w:val="00EC712E"/>
    <w:rsid w:val="00EC7878"/>
    <w:rsid w:val="00EC79FD"/>
    <w:rsid w:val="00ED32BB"/>
    <w:rsid w:val="00ED6B45"/>
    <w:rsid w:val="00EE21A9"/>
    <w:rsid w:val="00EE259B"/>
    <w:rsid w:val="00EE348B"/>
    <w:rsid w:val="00EE493D"/>
    <w:rsid w:val="00EE60FF"/>
    <w:rsid w:val="00EE63DF"/>
    <w:rsid w:val="00EE7470"/>
    <w:rsid w:val="00EF1234"/>
    <w:rsid w:val="00EF5305"/>
    <w:rsid w:val="00EF5497"/>
    <w:rsid w:val="00EF67FB"/>
    <w:rsid w:val="00F02033"/>
    <w:rsid w:val="00F02FEA"/>
    <w:rsid w:val="00F06CB6"/>
    <w:rsid w:val="00F06FEC"/>
    <w:rsid w:val="00F13F6A"/>
    <w:rsid w:val="00F14A6E"/>
    <w:rsid w:val="00F15152"/>
    <w:rsid w:val="00F15A8A"/>
    <w:rsid w:val="00F16247"/>
    <w:rsid w:val="00F17109"/>
    <w:rsid w:val="00F17627"/>
    <w:rsid w:val="00F217F2"/>
    <w:rsid w:val="00F2317B"/>
    <w:rsid w:val="00F23C74"/>
    <w:rsid w:val="00F2469B"/>
    <w:rsid w:val="00F266CE"/>
    <w:rsid w:val="00F310D1"/>
    <w:rsid w:val="00F334D1"/>
    <w:rsid w:val="00F33C53"/>
    <w:rsid w:val="00F35CC0"/>
    <w:rsid w:val="00F407C1"/>
    <w:rsid w:val="00F4178F"/>
    <w:rsid w:val="00F45809"/>
    <w:rsid w:val="00F46E82"/>
    <w:rsid w:val="00F47218"/>
    <w:rsid w:val="00F50675"/>
    <w:rsid w:val="00F535B2"/>
    <w:rsid w:val="00F53B10"/>
    <w:rsid w:val="00F57227"/>
    <w:rsid w:val="00F615D3"/>
    <w:rsid w:val="00F628B2"/>
    <w:rsid w:val="00F65087"/>
    <w:rsid w:val="00F6540C"/>
    <w:rsid w:val="00F74DC5"/>
    <w:rsid w:val="00F76025"/>
    <w:rsid w:val="00F769D0"/>
    <w:rsid w:val="00F8214C"/>
    <w:rsid w:val="00F8273A"/>
    <w:rsid w:val="00F8565A"/>
    <w:rsid w:val="00F8603B"/>
    <w:rsid w:val="00F9031D"/>
    <w:rsid w:val="00F907F3"/>
    <w:rsid w:val="00F92BF8"/>
    <w:rsid w:val="00F9656D"/>
    <w:rsid w:val="00F974B5"/>
    <w:rsid w:val="00FA0A2F"/>
    <w:rsid w:val="00FA11EB"/>
    <w:rsid w:val="00FA233C"/>
    <w:rsid w:val="00FA3181"/>
    <w:rsid w:val="00FA5A7E"/>
    <w:rsid w:val="00FA7F11"/>
    <w:rsid w:val="00FB0328"/>
    <w:rsid w:val="00FB38AF"/>
    <w:rsid w:val="00FB4F46"/>
    <w:rsid w:val="00FC0A60"/>
    <w:rsid w:val="00FC0FF4"/>
    <w:rsid w:val="00FC3527"/>
    <w:rsid w:val="00FC3F2F"/>
    <w:rsid w:val="00FC468F"/>
    <w:rsid w:val="00FC4744"/>
    <w:rsid w:val="00FC521B"/>
    <w:rsid w:val="00FC525E"/>
    <w:rsid w:val="00FC5915"/>
    <w:rsid w:val="00FC5D29"/>
    <w:rsid w:val="00FD153A"/>
    <w:rsid w:val="00FE111C"/>
    <w:rsid w:val="00FE1150"/>
    <w:rsid w:val="00FE22E4"/>
    <w:rsid w:val="00FE278C"/>
    <w:rsid w:val="00FE2C45"/>
    <w:rsid w:val="00FE3175"/>
    <w:rsid w:val="00FE3737"/>
    <w:rsid w:val="00FF0843"/>
    <w:rsid w:val="00FF3F63"/>
    <w:rsid w:val="00FF7126"/>
    <w:rsid w:val="010016CB"/>
    <w:rsid w:val="010A7BB0"/>
    <w:rsid w:val="01164A5A"/>
    <w:rsid w:val="011C31D5"/>
    <w:rsid w:val="0123313C"/>
    <w:rsid w:val="01250A31"/>
    <w:rsid w:val="012B5D9F"/>
    <w:rsid w:val="014D3881"/>
    <w:rsid w:val="016D4521"/>
    <w:rsid w:val="018C5165"/>
    <w:rsid w:val="019650E7"/>
    <w:rsid w:val="01BE6D6B"/>
    <w:rsid w:val="01D60B63"/>
    <w:rsid w:val="01EC20D4"/>
    <w:rsid w:val="01EC4F7D"/>
    <w:rsid w:val="021A42DF"/>
    <w:rsid w:val="02287804"/>
    <w:rsid w:val="022A2C9E"/>
    <w:rsid w:val="0233428E"/>
    <w:rsid w:val="023630A4"/>
    <w:rsid w:val="023C7CA5"/>
    <w:rsid w:val="028661B8"/>
    <w:rsid w:val="02A4327A"/>
    <w:rsid w:val="02AC0E62"/>
    <w:rsid w:val="02B72DE8"/>
    <w:rsid w:val="02D31A18"/>
    <w:rsid w:val="02D75BD6"/>
    <w:rsid w:val="02DF15A0"/>
    <w:rsid w:val="02FB378D"/>
    <w:rsid w:val="030B0EA2"/>
    <w:rsid w:val="03447020"/>
    <w:rsid w:val="034D5574"/>
    <w:rsid w:val="03523680"/>
    <w:rsid w:val="036B133D"/>
    <w:rsid w:val="03825CE2"/>
    <w:rsid w:val="03825D61"/>
    <w:rsid w:val="0386117D"/>
    <w:rsid w:val="039E6195"/>
    <w:rsid w:val="03B00574"/>
    <w:rsid w:val="03D708D9"/>
    <w:rsid w:val="03EF22DE"/>
    <w:rsid w:val="03F10A77"/>
    <w:rsid w:val="03FB485E"/>
    <w:rsid w:val="04142AEB"/>
    <w:rsid w:val="04297630"/>
    <w:rsid w:val="043C4F0E"/>
    <w:rsid w:val="044449FD"/>
    <w:rsid w:val="04527209"/>
    <w:rsid w:val="045B70AB"/>
    <w:rsid w:val="045C2145"/>
    <w:rsid w:val="04652E10"/>
    <w:rsid w:val="04746577"/>
    <w:rsid w:val="04837E0F"/>
    <w:rsid w:val="04933008"/>
    <w:rsid w:val="049A676A"/>
    <w:rsid w:val="049F2E9F"/>
    <w:rsid w:val="04A93C72"/>
    <w:rsid w:val="04B66F97"/>
    <w:rsid w:val="04C3652E"/>
    <w:rsid w:val="04C52E10"/>
    <w:rsid w:val="04CB2D61"/>
    <w:rsid w:val="04CE5EAF"/>
    <w:rsid w:val="04E248CA"/>
    <w:rsid w:val="04F51B09"/>
    <w:rsid w:val="050406CB"/>
    <w:rsid w:val="05123FA5"/>
    <w:rsid w:val="05244EAC"/>
    <w:rsid w:val="05285C0E"/>
    <w:rsid w:val="052D1B26"/>
    <w:rsid w:val="052F31B4"/>
    <w:rsid w:val="052F383F"/>
    <w:rsid w:val="053A52E3"/>
    <w:rsid w:val="054C4117"/>
    <w:rsid w:val="05583D2C"/>
    <w:rsid w:val="056B7688"/>
    <w:rsid w:val="05785F13"/>
    <w:rsid w:val="058838FA"/>
    <w:rsid w:val="059053A9"/>
    <w:rsid w:val="0593035D"/>
    <w:rsid w:val="059B0BD5"/>
    <w:rsid w:val="05B07649"/>
    <w:rsid w:val="05B95ACD"/>
    <w:rsid w:val="0600629A"/>
    <w:rsid w:val="061C2CC5"/>
    <w:rsid w:val="06277C2A"/>
    <w:rsid w:val="062E562E"/>
    <w:rsid w:val="06311710"/>
    <w:rsid w:val="06634315"/>
    <w:rsid w:val="067311AF"/>
    <w:rsid w:val="067C1819"/>
    <w:rsid w:val="067F3EE5"/>
    <w:rsid w:val="06885B7E"/>
    <w:rsid w:val="068E4DC4"/>
    <w:rsid w:val="069459A5"/>
    <w:rsid w:val="06D22ACF"/>
    <w:rsid w:val="06EE2A57"/>
    <w:rsid w:val="06EE5606"/>
    <w:rsid w:val="06FE29CD"/>
    <w:rsid w:val="070E4724"/>
    <w:rsid w:val="071466F4"/>
    <w:rsid w:val="07192ED0"/>
    <w:rsid w:val="07306435"/>
    <w:rsid w:val="073B35AA"/>
    <w:rsid w:val="073F3B3D"/>
    <w:rsid w:val="07686325"/>
    <w:rsid w:val="07713842"/>
    <w:rsid w:val="07876A78"/>
    <w:rsid w:val="079344B6"/>
    <w:rsid w:val="07A13E7D"/>
    <w:rsid w:val="07AE40D3"/>
    <w:rsid w:val="07D42AC3"/>
    <w:rsid w:val="07DC45AF"/>
    <w:rsid w:val="07DF19B4"/>
    <w:rsid w:val="07F742F8"/>
    <w:rsid w:val="07FA156D"/>
    <w:rsid w:val="08056BDF"/>
    <w:rsid w:val="08337C69"/>
    <w:rsid w:val="08494017"/>
    <w:rsid w:val="08561C49"/>
    <w:rsid w:val="08562177"/>
    <w:rsid w:val="085B2641"/>
    <w:rsid w:val="085C4D68"/>
    <w:rsid w:val="086B311E"/>
    <w:rsid w:val="088675AB"/>
    <w:rsid w:val="08931668"/>
    <w:rsid w:val="08977DD6"/>
    <w:rsid w:val="08994F17"/>
    <w:rsid w:val="08A339CE"/>
    <w:rsid w:val="08A9578F"/>
    <w:rsid w:val="08AD5DF3"/>
    <w:rsid w:val="08B20452"/>
    <w:rsid w:val="08F7552C"/>
    <w:rsid w:val="09065F86"/>
    <w:rsid w:val="091E0194"/>
    <w:rsid w:val="092334C2"/>
    <w:rsid w:val="09351286"/>
    <w:rsid w:val="09355935"/>
    <w:rsid w:val="093C25C2"/>
    <w:rsid w:val="09403B6A"/>
    <w:rsid w:val="098B1CE8"/>
    <w:rsid w:val="099D5763"/>
    <w:rsid w:val="09A516BD"/>
    <w:rsid w:val="09AC2D89"/>
    <w:rsid w:val="09BE5A9E"/>
    <w:rsid w:val="09CE1A6C"/>
    <w:rsid w:val="09D13D0F"/>
    <w:rsid w:val="09FA5DCD"/>
    <w:rsid w:val="0A1E79D1"/>
    <w:rsid w:val="0A2031B5"/>
    <w:rsid w:val="0A282AD6"/>
    <w:rsid w:val="0A2D623B"/>
    <w:rsid w:val="0A2E5614"/>
    <w:rsid w:val="0A36359E"/>
    <w:rsid w:val="0A4B09FA"/>
    <w:rsid w:val="0A717760"/>
    <w:rsid w:val="0A80290F"/>
    <w:rsid w:val="0A893F53"/>
    <w:rsid w:val="0AA534C2"/>
    <w:rsid w:val="0ADA2399"/>
    <w:rsid w:val="0ADE1BC4"/>
    <w:rsid w:val="0AE20F17"/>
    <w:rsid w:val="0AFA2EF2"/>
    <w:rsid w:val="0B075B45"/>
    <w:rsid w:val="0B0B1939"/>
    <w:rsid w:val="0B0F724D"/>
    <w:rsid w:val="0B205F12"/>
    <w:rsid w:val="0B276941"/>
    <w:rsid w:val="0B522EB6"/>
    <w:rsid w:val="0B534495"/>
    <w:rsid w:val="0B5E1B8A"/>
    <w:rsid w:val="0B764444"/>
    <w:rsid w:val="0B9934D6"/>
    <w:rsid w:val="0B994B3B"/>
    <w:rsid w:val="0BA1592A"/>
    <w:rsid w:val="0BB87C26"/>
    <w:rsid w:val="0BD90E1D"/>
    <w:rsid w:val="0BE01E63"/>
    <w:rsid w:val="0BE11A83"/>
    <w:rsid w:val="0BFA241A"/>
    <w:rsid w:val="0C030C22"/>
    <w:rsid w:val="0C11185F"/>
    <w:rsid w:val="0C32780C"/>
    <w:rsid w:val="0C4A1105"/>
    <w:rsid w:val="0C5C6ED1"/>
    <w:rsid w:val="0C6050C5"/>
    <w:rsid w:val="0C685488"/>
    <w:rsid w:val="0C7B0469"/>
    <w:rsid w:val="0CA83B9D"/>
    <w:rsid w:val="0CC01AC5"/>
    <w:rsid w:val="0CC62081"/>
    <w:rsid w:val="0CDF3C57"/>
    <w:rsid w:val="0CEB7FE6"/>
    <w:rsid w:val="0CF87377"/>
    <w:rsid w:val="0CF95EC3"/>
    <w:rsid w:val="0CFF4059"/>
    <w:rsid w:val="0D1D7F42"/>
    <w:rsid w:val="0D423DC7"/>
    <w:rsid w:val="0D472DC7"/>
    <w:rsid w:val="0D520468"/>
    <w:rsid w:val="0D6E6EA8"/>
    <w:rsid w:val="0D7D3DB8"/>
    <w:rsid w:val="0D947407"/>
    <w:rsid w:val="0D9B3871"/>
    <w:rsid w:val="0DB3641B"/>
    <w:rsid w:val="0DBC612F"/>
    <w:rsid w:val="0DC57FFF"/>
    <w:rsid w:val="0DD350C0"/>
    <w:rsid w:val="0DE739EF"/>
    <w:rsid w:val="0DE85E53"/>
    <w:rsid w:val="0DFD4004"/>
    <w:rsid w:val="0E127B90"/>
    <w:rsid w:val="0E2B5CE9"/>
    <w:rsid w:val="0E32736C"/>
    <w:rsid w:val="0E36584B"/>
    <w:rsid w:val="0E3F7F8D"/>
    <w:rsid w:val="0E573E6C"/>
    <w:rsid w:val="0E7E3515"/>
    <w:rsid w:val="0E806AA2"/>
    <w:rsid w:val="0EC9081C"/>
    <w:rsid w:val="0F085D66"/>
    <w:rsid w:val="0F1A1A85"/>
    <w:rsid w:val="0F2603CA"/>
    <w:rsid w:val="0F433E22"/>
    <w:rsid w:val="0F48017C"/>
    <w:rsid w:val="0F8C42C1"/>
    <w:rsid w:val="0FA03246"/>
    <w:rsid w:val="0FCD6689"/>
    <w:rsid w:val="0FE373AE"/>
    <w:rsid w:val="0FE678E0"/>
    <w:rsid w:val="10016B13"/>
    <w:rsid w:val="10335DFE"/>
    <w:rsid w:val="10361ACA"/>
    <w:rsid w:val="103E3775"/>
    <w:rsid w:val="105E236E"/>
    <w:rsid w:val="105F5761"/>
    <w:rsid w:val="10641062"/>
    <w:rsid w:val="10822809"/>
    <w:rsid w:val="109128E5"/>
    <w:rsid w:val="10951B80"/>
    <w:rsid w:val="109C73C6"/>
    <w:rsid w:val="10AC674F"/>
    <w:rsid w:val="10C73003"/>
    <w:rsid w:val="10DA1092"/>
    <w:rsid w:val="10F47FB4"/>
    <w:rsid w:val="10F53C15"/>
    <w:rsid w:val="10FF5BAD"/>
    <w:rsid w:val="11117EEC"/>
    <w:rsid w:val="11214545"/>
    <w:rsid w:val="11245263"/>
    <w:rsid w:val="11371AF4"/>
    <w:rsid w:val="113E48FD"/>
    <w:rsid w:val="114B1447"/>
    <w:rsid w:val="1150392B"/>
    <w:rsid w:val="116319CB"/>
    <w:rsid w:val="116506CB"/>
    <w:rsid w:val="11684160"/>
    <w:rsid w:val="117B78D9"/>
    <w:rsid w:val="118F2161"/>
    <w:rsid w:val="11954CF5"/>
    <w:rsid w:val="11AC0787"/>
    <w:rsid w:val="11CE1E34"/>
    <w:rsid w:val="11DC0BE1"/>
    <w:rsid w:val="11DD31D5"/>
    <w:rsid w:val="120B7339"/>
    <w:rsid w:val="12195E48"/>
    <w:rsid w:val="122A0DB3"/>
    <w:rsid w:val="122C33AC"/>
    <w:rsid w:val="124A4BF7"/>
    <w:rsid w:val="12607325"/>
    <w:rsid w:val="12866435"/>
    <w:rsid w:val="1297062A"/>
    <w:rsid w:val="12A3792C"/>
    <w:rsid w:val="12B12A80"/>
    <w:rsid w:val="12B87249"/>
    <w:rsid w:val="12D0713C"/>
    <w:rsid w:val="12D36F96"/>
    <w:rsid w:val="12D53DB6"/>
    <w:rsid w:val="12D80406"/>
    <w:rsid w:val="12DB7AA1"/>
    <w:rsid w:val="130C7E25"/>
    <w:rsid w:val="13161C8E"/>
    <w:rsid w:val="131D3BCB"/>
    <w:rsid w:val="132276B2"/>
    <w:rsid w:val="132337B3"/>
    <w:rsid w:val="133B097A"/>
    <w:rsid w:val="135902F8"/>
    <w:rsid w:val="13654F2C"/>
    <w:rsid w:val="138D76C3"/>
    <w:rsid w:val="138E7112"/>
    <w:rsid w:val="13A032DF"/>
    <w:rsid w:val="13B61FFE"/>
    <w:rsid w:val="13BA0ED9"/>
    <w:rsid w:val="13CF069E"/>
    <w:rsid w:val="13E320AB"/>
    <w:rsid w:val="14080AD1"/>
    <w:rsid w:val="141649F6"/>
    <w:rsid w:val="14223625"/>
    <w:rsid w:val="14247B68"/>
    <w:rsid w:val="142551C6"/>
    <w:rsid w:val="142F74CB"/>
    <w:rsid w:val="143545EC"/>
    <w:rsid w:val="143A6CDD"/>
    <w:rsid w:val="143C4A3A"/>
    <w:rsid w:val="14500726"/>
    <w:rsid w:val="14706F01"/>
    <w:rsid w:val="1489260C"/>
    <w:rsid w:val="148E5DD1"/>
    <w:rsid w:val="14945EDD"/>
    <w:rsid w:val="14C32F7A"/>
    <w:rsid w:val="14E36AF3"/>
    <w:rsid w:val="14ED7036"/>
    <w:rsid w:val="14F145D0"/>
    <w:rsid w:val="14FF42D6"/>
    <w:rsid w:val="15167286"/>
    <w:rsid w:val="151D571A"/>
    <w:rsid w:val="15614311"/>
    <w:rsid w:val="15641D3C"/>
    <w:rsid w:val="156950B7"/>
    <w:rsid w:val="156E5437"/>
    <w:rsid w:val="15703E66"/>
    <w:rsid w:val="1576760D"/>
    <w:rsid w:val="157B2FDB"/>
    <w:rsid w:val="158E02E8"/>
    <w:rsid w:val="15BC4226"/>
    <w:rsid w:val="15E01755"/>
    <w:rsid w:val="16230301"/>
    <w:rsid w:val="162A2B34"/>
    <w:rsid w:val="1639394F"/>
    <w:rsid w:val="163E053B"/>
    <w:rsid w:val="164230B3"/>
    <w:rsid w:val="164557DA"/>
    <w:rsid w:val="165854A2"/>
    <w:rsid w:val="1681553F"/>
    <w:rsid w:val="16913C04"/>
    <w:rsid w:val="16A06326"/>
    <w:rsid w:val="16B274B6"/>
    <w:rsid w:val="16E66DD2"/>
    <w:rsid w:val="16EE2266"/>
    <w:rsid w:val="16F60AB4"/>
    <w:rsid w:val="16F61474"/>
    <w:rsid w:val="16FC5BC4"/>
    <w:rsid w:val="172F463D"/>
    <w:rsid w:val="173343A7"/>
    <w:rsid w:val="173E3E47"/>
    <w:rsid w:val="1756781F"/>
    <w:rsid w:val="175F17AF"/>
    <w:rsid w:val="176044EA"/>
    <w:rsid w:val="17696569"/>
    <w:rsid w:val="177961CC"/>
    <w:rsid w:val="177F0BD5"/>
    <w:rsid w:val="178C4DE3"/>
    <w:rsid w:val="179E58E6"/>
    <w:rsid w:val="17A43C8C"/>
    <w:rsid w:val="17B1775F"/>
    <w:rsid w:val="17BE0D41"/>
    <w:rsid w:val="17CD484A"/>
    <w:rsid w:val="17E1537A"/>
    <w:rsid w:val="17FD4BE9"/>
    <w:rsid w:val="181D777C"/>
    <w:rsid w:val="18220D31"/>
    <w:rsid w:val="182C132E"/>
    <w:rsid w:val="184D0973"/>
    <w:rsid w:val="1852358A"/>
    <w:rsid w:val="185653EF"/>
    <w:rsid w:val="185E0DD2"/>
    <w:rsid w:val="18606343"/>
    <w:rsid w:val="18721178"/>
    <w:rsid w:val="187E02C8"/>
    <w:rsid w:val="189071DA"/>
    <w:rsid w:val="18976E9B"/>
    <w:rsid w:val="189A093F"/>
    <w:rsid w:val="18B14C57"/>
    <w:rsid w:val="18CA19B7"/>
    <w:rsid w:val="18DB458C"/>
    <w:rsid w:val="18EE41D6"/>
    <w:rsid w:val="1906639A"/>
    <w:rsid w:val="194F79FD"/>
    <w:rsid w:val="19574BA4"/>
    <w:rsid w:val="196077C4"/>
    <w:rsid w:val="196A00A7"/>
    <w:rsid w:val="19747058"/>
    <w:rsid w:val="1981450C"/>
    <w:rsid w:val="19BA50AF"/>
    <w:rsid w:val="19C03E5A"/>
    <w:rsid w:val="19C7260E"/>
    <w:rsid w:val="19FC34FB"/>
    <w:rsid w:val="19FF71A8"/>
    <w:rsid w:val="1A060851"/>
    <w:rsid w:val="1A0B1C03"/>
    <w:rsid w:val="1A0F4502"/>
    <w:rsid w:val="1A2C067E"/>
    <w:rsid w:val="1A2F704A"/>
    <w:rsid w:val="1A333753"/>
    <w:rsid w:val="1A3B18D3"/>
    <w:rsid w:val="1A435636"/>
    <w:rsid w:val="1A465B9E"/>
    <w:rsid w:val="1A5245E3"/>
    <w:rsid w:val="1A6903D5"/>
    <w:rsid w:val="1A700CC5"/>
    <w:rsid w:val="1A714CEC"/>
    <w:rsid w:val="1A7E670D"/>
    <w:rsid w:val="1A955CF8"/>
    <w:rsid w:val="1A9E375B"/>
    <w:rsid w:val="1AC86720"/>
    <w:rsid w:val="1AD135A6"/>
    <w:rsid w:val="1AD57705"/>
    <w:rsid w:val="1AD627BF"/>
    <w:rsid w:val="1AE87228"/>
    <w:rsid w:val="1B0363C9"/>
    <w:rsid w:val="1B160DBC"/>
    <w:rsid w:val="1B4D6AFD"/>
    <w:rsid w:val="1B757370"/>
    <w:rsid w:val="1B804352"/>
    <w:rsid w:val="1B845409"/>
    <w:rsid w:val="1B8867F6"/>
    <w:rsid w:val="1B924FE8"/>
    <w:rsid w:val="1BD20640"/>
    <w:rsid w:val="1BDA3475"/>
    <w:rsid w:val="1BDD5BFA"/>
    <w:rsid w:val="1BF24AC6"/>
    <w:rsid w:val="1BF31400"/>
    <w:rsid w:val="1BF6220E"/>
    <w:rsid w:val="1BFB0701"/>
    <w:rsid w:val="1C1313C5"/>
    <w:rsid w:val="1C21405F"/>
    <w:rsid w:val="1C2227BD"/>
    <w:rsid w:val="1C2464AE"/>
    <w:rsid w:val="1C34435E"/>
    <w:rsid w:val="1C3556E5"/>
    <w:rsid w:val="1C362334"/>
    <w:rsid w:val="1C3E797B"/>
    <w:rsid w:val="1C40390C"/>
    <w:rsid w:val="1C436714"/>
    <w:rsid w:val="1C4F5B07"/>
    <w:rsid w:val="1C552017"/>
    <w:rsid w:val="1C613EEC"/>
    <w:rsid w:val="1CA47B32"/>
    <w:rsid w:val="1CB16310"/>
    <w:rsid w:val="1CC340BF"/>
    <w:rsid w:val="1CD91289"/>
    <w:rsid w:val="1CE8231B"/>
    <w:rsid w:val="1CF17C7D"/>
    <w:rsid w:val="1CF713BD"/>
    <w:rsid w:val="1D0773C2"/>
    <w:rsid w:val="1D097574"/>
    <w:rsid w:val="1D0B3196"/>
    <w:rsid w:val="1D26066E"/>
    <w:rsid w:val="1D2879CE"/>
    <w:rsid w:val="1D2B5077"/>
    <w:rsid w:val="1D512EB5"/>
    <w:rsid w:val="1D8C5154"/>
    <w:rsid w:val="1D95688A"/>
    <w:rsid w:val="1D9F0F03"/>
    <w:rsid w:val="1D9F71FA"/>
    <w:rsid w:val="1DA834A0"/>
    <w:rsid w:val="1DAF6E12"/>
    <w:rsid w:val="1DBC5204"/>
    <w:rsid w:val="1E1D0648"/>
    <w:rsid w:val="1E2062FD"/>
    <w:rsid w:val="1E225F85"/>
    <w:rsid w:val="1E296B4B"/>
    <w:rsid w:val="1E370994"/>
    <w:rsid w:val="1E3B6A99"/>
    <w:rsid w:val="1E630A36"/>
    <w:rsid w:val="1E6D760A"/>
    <w:rsid w:val="1E797DA5"/>
    <w:rsid w:val="1EAB503A"/>
    <w:rsid w:val="1ECE0B15"/>
    <w:rsid w:val="1F151D56"/>
    <w:rsid w:val="1F1856A8"/>
    <w:rsid w:val="1F1A7AAD"/>
    <w:rsid w:val="1F1E40EE"/>
    <w:rsid w:val="1F2B5EB7"/>
    <w:rsid w:val="1F431043"/>
    <w:rsid w:val="1F5556A7"/>
    <w:rsid w:val="1F6559EA"/>
    <w:rsid w:val="1F6958EC"/>
    <w:rsid w:val="1F9B49E7"/>
    <w:rsid w:val="1FAB51D3"/>
    <w:rsid w:val="1FC57644"/>
    <w:rsid w:val="1FDA2115"/>
    <w:rsid w:val="1FEB4DBF"/>
    <w:rsid w:val="1FF5608F"/>
    <w:rsid w:val="20010EE2"/>
    <w:rsid w:val="200E59F7"/>
    <w:rsid w:val="20107139"/>
    <w:rsid w:val="201211A5"/>
    <w:rsid w:val="20223918"/>
    <w:rsid w:val="202329A1"/>
    <w:rsid w:val="202C131D"/>
    <w:rsid w:val="202F3D3C"/>
    <w:rsid w:val="205D66FE"/>
    <w:rsid w:val="20605F5E"/>
    <w:rsid w:val="20740665"/>
    <w:rsid w:val="20753C67"/>
    <w:rsid w:val="20863D50"/>
    <w:rsid w:val="20B54342"/>
    <w:rsid w:val="20B74721"/>
    <w:rsid w:val="20BD113B"/>
    <w:rsid w:val="20E40163"/>
    <w:rsid w:val="20F733CA"/>
    <w:rsid w:val="21274409"/>
    <w:rsid w:val="21422253"/>
    <w:rsid w:val="21435B03"/>
    <w:rsid w:val="215313AB"/>
    <w:rsid w:val="215543FF"/>
    <w:rsid w:val="216C478D"/>
    <w:rsid w:val="21874FB5"/>
    <w:rsid w:val="21B61A5E"/>
    <w:rsid w:val="21BF4542"/>
    <w:rsid w:val="21D54C95"/>
    <w:rsid w:val="21DC7358"/>
    <w:rsid w:val="21F25941"/>
    <w:rsid w:val="22146C71"/>
    <w:rsid w:val="223258A0"/>
    <w:rsid w:val="224B059A"/>
    <w:rsid w:val="225D2A72"/>
    <w:rsid w:val="22780CE9"/>
    <w:rsid w:val="227C287C"/>
    <w:rsid w:val="22AA460B"/>
    <w:rsid w:val="22BD0FA0"/>
    <w:rsid w:val="22D162B9"/>
    <w:rsid w:val="22D62349"/>
    <w:rsid w:val="22E0620D"/>
    <w:rsid w:val="22F50FAF"/>
    <w:rsid w:val="22FA5539"/>
    <w:rsid w:val="23031DDC"/>
    <w:rsid w:val="233741F6"/>
    <w:rsid w:val="23434740"/>
    <w:rsid w:val="234B11FB"/>
    <w:rsid w:val="23502087"/>
    <w:rsid w:val="23602097"/>
    <w:rsid w:val="237C7EBA"/>
    <w:rsid w:val="238314C6"/>
    <w:rsid w:val="23A06C25"/>
    <w:rsid w:val="23BD4226"/>
    <w:rsid w:val="23F72D02"/>
    <w:rsid w:val="23FA66E9"/>
    <w:rsid w:val="24024F8B"/>
    <w:rsid w:val="244914AF"/>
    <w:rsid w:val="245151C9"/>
    <w:rsid w:val="24570CF7"/>
    <w:rsid w:val="2462346B"/>
    <w:rsid w:val="24776FAB"/>
    <w:rsid w:val="24804F7E"/>
    <w:rsid w:val="248645AD"/>
    <w:rsid w:val="24BF0CF8"/>
    <w:rsid w:val="24D17F0B"/>
    <w:rsid w:val="24D23F01"/>
    <w:rsid w:val="24F25B71"/>
    <w:rsid w:val="25020167"/>
    <w:rsid w:val="25077449"/>
    <w:rsid w:val="250C17CE"/>
    <w:rsid w:val="25370B1E"/>
    <w:rsid w:val="2538134D"/>
    <w:rsid w:val="253822E8"/>
    <w:rsid w:val="254C3D07"/>
    <w:rsid w:val="25632160"/>
    <w:rsid w:val="25664B72"/>
    <w:rsid w:val="256964AA"/>
    <w:rsid w:val="25793565"/>
    <w:rsid w:val="25852502"/>
    <w:rsid w:val="25A1383B"/>
    <w:rsid w:val="25A14F5D"/>
    <w:rsid w:val="25A85C14"/>
    <w:rsid w:val="25AD1622"/>
    <w:rsid w:val="25B81EC3"/>
    <w:rsid w:val="25B85A0F"/>
    <w:rsid w:val="25CF6802"/>
    <w:rsid w:val="25D106F1"/>
    <w:rsid w:val="25E358B3"/>
    <w:rsid w:val="25EB68CA"/>
    <w:rsid w:val="25F643FA"/>
    <w:rsid w:val="261074CB"/>
    <w:rsid w:val="262B4C8D"/>
    <w:rsid w:val="264B2FAA"/>
    <w:rsid w:val="26506E36"/>
    <w:rsid w:val="266F0C45"/>
    <w:rsid w:val="26890E0E"/>
    <w:rsid w:val="269828C4"/>
    <w:rsid w:val="269A0BCC"/>
    <w:rsid w:val="26A37158"/>
    <w:rsid w:val="26F32080"/>
    <w:rsid w:val="26F770C0"/>
    <w:rsid w:val="27124DFF"/>
    <w:rsid w:val="271C5B9B"/>
    <w:rsid w:val="27223712"/>
    <w:rsid w:val="274B7458"/>
    <w:rsid w:val="27726010"/>
    <w:rsid w:val="27A41BF5"/>
    <w:rsid w:val="27A54210"/>
    <w:rsid w:val="27A73311"/>
    <w:rsid w:val="27A963A3"/>
    <w:rsid w:val="27D66D26"/>
    <w:rsid w:val="27DB0AD2"/>
    <w:rsid w:val="27DD5399"/>
    <w:rsid w:val="27E51FB2"/>
    <w:rsid w:val="27F2121D"/>
    <w:rsid w:val="28080D34"/>
    <w:rsid w:val="28126380"/>
    <w:rsid w:val="28386432"/>
    <w:rsid w:val="2840498C"/>
    <w:rsid w:val="28435AFC"/>
    <w:rsid w:val="28450AF7"/>
    <w:rsid w:val="28493B8E"/>
    <w:rsid w:val="284C0FB4"/>
    <w:rsid w:val="284D045C"/>
    <w:rsid w:val="2858185A"/>
    <w:rsid w:val="285B1578"/>
    <w:rsid w:val="285C3136"/>
    <w:rsid w:val="28642194"/>
    <w:rsid w:val="2889597D"/>
    <w:rsid w:val="288C63E8"/>
    <w:rsid w:val="28951B4B"/>
    <w:rsid w:val="28B00C75"/>
    <w:rsid w:val="28BD2817"/>
    <w:rsid w:val="28CD6074"/>
    <w:rsid w:val="28EB5B42"/>
    <w:rsid w:val="28F41645"/>
    <w:rsid w:val="28F44015"/>
    <w:rsid w:val="290943C7"/>
    <w:rsid w:val="2910169C"/>
    <w:rsid w:val="29122838"/>
    <w:rsid w:val="293C546B"/>
    <w:rsid w:val="29500C04"/>
    <w:rsid w:val="2952651B"/>
    <w:rsid w:val="295E4FF7"/>
    <w:rsid w:val="29750465"/>
    <w:rsid w:val="29D367BD"/>
    <w:rsid w:val="29FA54A4"/>
    <w:rsid w:val="2A0A38B3"/>
    <w:rsid w:val="2A1F30FB"/>
    <w:rsid w:val="2A3203B7"/>
    <w:rsid w:val="2A3D4579"/>
    <w:rsid w:val="2A501A61"/>
    <w:rsid w:val="2A567C3D"/>
    <w:rsid w:val="2A7C4CC6"/>
    <w:rsid w:val="2A810318"/>
    <w:rsid w:val="2A8139AA"/>
    <w:rsid w:val="2AB104E2"/>
    <w:rsid w:val="2ABD370F"/>
    <w:rsid w:val="2AEE292D"/>
    <w:rsid w:val="2B1C7580"/>
    <w:rsid w:val="2B2E0968"/>
    <w:rsid w:val="2B322F58"/>
    <w:rsid w:val="2B646686"/>
    <w:rsid w:val="2B774470"/>
    <w:rsid w:val="2B7C1E84"/>
    <w:rsid w:val="2B876758"/>
    <w:rsid w:val="2B8B5D19"/>
    <w:rsid w:val="2B9D55A1"/>
    <w:rsid w:val="2BB347B2"/>
    <w:rsid w:val="2BCD063C"/>
    <w:rsid w:val="2BCE6B9D"/>
    <w:rsid w:val="2BDC3057"/>
    <w:rsid w:val="2BE301F5"/>
    <w:rsid w:val="2BE43EFB"/>
    <w:rsid w:val="2BE540DB"/>
    <w:rsid w:val="2BFD48FB"/>
    <w:rsid w:val="2C0508D0"/>
    <w:rsid w:val="2C1F0015"/>
    <w:rsid w:val="2C212B91"/>
    <w:rsid w:val="2C433D83"/>
    <w:rsid w:val="2C4B294A"/>
    <w:rsid w:val="2C5348D0"/>
    <w:rsid w:val="2C696E43"/>
    <w:rsid w:val="2C6E356F"/>
    <w:rsid w:val="2C786626"/>
    <w:rsid w:val="2C7E0099"/>
    <w:rsid w:val="2C8C4D1C"/>
    <w:rsid w:val="2C964BEC"/>
    <w:rsid w:val="2C965111"/>
    <w:rsid w:val="2C9902E0"/>
    <w:rsid w:val="2CA46252"/>
    <w:rsid w:val="2CB90005"/>
    <w:rsid w:val="2CC24B35"/>
    <w:rsid w:val="2CC26FF2"/>
    <w:rsid w:val="2CD35A1D"/>
    <w:rsid w:val="2CDE3034"/>
    <w:rsid w:val="2CF22532"/>
    <w:rsid w:val="2CF40C48"/>
    <w:rsid w:val="2D013EF3"/>
    <w:rsid w:val="2D1446CB"/>
    <w:rsid w:val="2D333F35"/>
    <w:rsid w:val="2D3A6E6B"/>
    <w:rsid w:val="2D4D3873"/>
    <w:rsid w:val="2D575F39"/>
    <w:rsid w:val="2D642557"/>
    <w:rsid w:val="2D6B330F"/>
    <w:rsid w:val="2D721BCA"/>
    <w:rsid w:val="2DD27562"/>
    <w:rsid w:val="2DD72825"/>
    <w:rsid w:val="2DE46EDB"/>
    <w:rsid w:val="2DFB7A22"/>
    <w:rsid w:val="2E2144DF"/>
    <w:rsid w:val="2E2864A1"/>
    <w:rsid w:val="2E6C7616"/>
    <w:rsid w:val="2E7755E6"/>
    <w:rsid w:val="2E821813"/>
    <w:rsid w:val="2E8658D0"/>
    <w:rsid w:val="2E9612E1"/>
    <w:rsid w:val="2E9E74CE"/>
    <w:rsid w:val="2EA459B6"/>
    <w:rsid w:val="2EB1626F"/>
    <w:rsid w:val="2EBE6D84"/>
    <w:rsid w:val="2EDF11DA"/>
    <w:rsid w:val="2EDF5219"/>
    <w:rsid w:val="2EEB50CD"/>
    <w:rsid w:val="2F080EB4"/>
    <w:rsid w:val="2F0F2CC4"/>
    <w:rsid w:val="2F233EE9"/>
    <w:rsid w:val="2F2D7B06"/>
    <w:rsid w:val="2F2E1DA9"/>
    <w:rsid w:val="2F2F27CF"/>
    <w:rsid w:val="2F2F5897"/>
    <w:rsid w:val="2F312AB2"/>
    <w:rsid w:val="2F432FC2"/>
    <w:rsid w:val="2F716855"/>
    <w:rsid w:val="2F757226"/>
    <w:rsid w:val="2F8715ED"/>
    <w:rsid w:val="2F88637E"/>
    <w:rsid w:val="2F927958"/>
    <w:rsid w:val="2FB95D06"/>
    <w:rsid w:val="2FC8547B"/>
    <w:rsid w:val="2FDC3312"/>
    <w:rsid w:val="2FDC771E"/>
    <w:rsid w:val="2FDD130D"/>
    <w:rsid w:val="2FFA68DD"/>
    <w:rsid w:val="301A0232"/>
    <w:rsid w:val="301F78F1"/>
    <w:rsid w:val="30267BA8"/>
    <w:rsid w:val="302D6A83"/>
    <w:rsid w:val="302F3652"/>
    <w:rsid w:val="303142A8"/>
    <w:rsid w:val="304706A3"/>
    <w:rsid w:val="3052471D"/>
    <w:rsid w:val="305C2A18"/>
    <w:rsid w:val="307717B8"/>
    <w:rsid w:val="3088675D"/>
    <w:rsid w:val="309327C4"/>
    <w:rsid w:val="30A831A4"/>
    <w:rsid w:val="30D266EA"/>
    <w:rsid w:val="30EE67DC"/>
    <w:rsid w:val="30F90D46"/>
    <w:rsid w:val="30FF7235"/>
    <w:rsid w:val="31082C53"/>
    <w:rsid w:val="31266E84"/>
    <w:rsid w:val="31291BA8"/>
    <w:rsid w:val="31371FDD"/>
    <w:rsid w:val="31385CA0"/>
    <w:rsid w:val="31464B11"/>
    <w:rsid w:val="319702C7"/>
    <w:rsid w:val="31996A52"/>
    <w:rsid w:val="31A76FE4"/>
    <w:rsid w:val="31C12796"/>
    <w:rsid w:val="31CA78E1"/>
    <w:rsid w:val="31CE51E8"/>
    <w:rsid w:val="31F243A0"/>
    <w:rsid w:val="321F6815"/>
    <w:rsid w:val="324D7A1F"/>
    <w:rsid w:val="32620386"/>
    <w:rsid w:val="32765D35"/>
    <w:rsid w:val="32783F46"/>
    <w:rsid w:val="32784E23"/>
    <w:rsid w:val="32920717"/>
    <w:rsid w:val="32B10067"/>
    <w:rsid w:val="32C11F0A"/>
    <w:rsid w:val="32E5240D"/>
    <w:rsid w:val="3330055B"/>
    <w:rsid w:val="33343F21"/>
    <w:rsid w:val="33444564"/>
    <w:rsid w:val="33522473"/>
    <w:rsid w:val="336A1F6B"/>
    <w:rsid w:val="33736959"/>
    <w:rsid w:val="33774508"/>
    <w:rsid w:val="339C20DE"/>
    <w:rsid w:val="33B475E0"/>
    <w:rsid w:val="33B979BC"/>
    <w:rsid w:val="33C1183A"/>
    <w:rsid w:val="33E07F1E"/>
    <w:rsid w:val="33E4718E"/>
    <w:rsid w:val="33E52DA2"/>
    <w:rsid w:val="33F23BAF"/>
    <w:rsid w:val="34031E41"/>
    <w:rsid w:val="34195C5C"/>
    <w:rsid w:val="34284C73"/>
    <w:rsid w:val="343917A9"/>
    <w:rsid w:val="34521899"/>
    <w:rsid w:val="34704C35"/>
    <w:rsid w:val="34941231"/>
    <w:rsid w:val="349574DB"/>
    <w:rsid w:val="349C6CE9"/>
    <w:rsid w:val="349D4BAF"/>
    <w:rsid w:val="34C37967"/>
    <w:rsid w:val="34C82870"/>
    <w:rsid w:val="34D16043"/>
    <w:rsid w:val="34E31D7E"/>
    <w:rsid w:val="34E33B8A"/>
    <w:rsid w:val="34EE5880"/>
    <w:rsid w:val="34EF0C72"/>
    <w:rsid w:val="354D7B86"/>
    <w:rsid w:val="35550367"/>
    <w:rsid w:val="35613868"/>
    <w:rsid w:val="356706E6"/>
    <w:rsid w:val="357263DE"/>
    <w:rsid w:val="358E48F8"/>
    <w:rsid w:val="35923393"/>
    <w:rsid w:val="359258F0"/>
    <w:rsid w:val="359842FC"/>
    <w:rsid w:val="35AA29F9"/>
    <w:rsid w:val="35AD2494"/>
    <w:rsid w:val="35D04343"/>
    <w:rsid w:val="35D05D3F"/>
    <w:rsid w:val="35EC681B"/>
    <w:rsid w:val="360D1029"/>
    <w:rsid w:val="36226445"/>
    <w:rsid w:val="3642258C"/>
    <w:rsid w:val="364D0258"/>
    <w:rsid w:val="36626713"/>
    <w:rsid w:val="3672157B"/>
    <w:rsid w:val="36814874"/>
    <w:rsid w:val="368610FB"/>
    <w:rsid w:val="36873C91"/>
    <w:rsid w:val="36A57BFC"/>
    <w:rsid w:val="36CE4DCA"/>
    <w:rsid w:val="36E953E9"/>
    <w:rsid w:val="36FC302D"/>
    <w:rsid w:val="372F6391"/>
    <w:rsid w:val="374D3291"/>
    <w:rsid w:val="375258DB"/>
    <w:rsid w:val="37611129"/>
    <w:rsid w:val="378F0E3D"/>
    <w:rsid w:val="37967F99"/>
    <w:rsid w:val="37B8118D"/>
    <w:rsid w:val="37CD13D1"/>
    <w:rsid w:val="37D752C0"/>
    <w:rsid w:val="37E511FF"/>
    <w:rsid w:val="37E775D6"/>
    <w:rsid w:val="37F0510D"/>
    <w:rsid w:val="37F77192"/>
    <w:rsid w:val="38361527"/>
    <w:rsid w:val="38804B56"/>
    <w:rsid w:val="388A46E9"/>
    <w:rsid w:val="388A4C4D"/>
    <w:rsid w:val="388B2F23"/>
    <w:rsid w:val="389A2CF3"/>
    <w:rsid w:val="38B347C6"/>
    <w:rsid w:val="38B61AC3"/>
    <w:rsid w:val="38BC675E"/>
    <w:rsid w:val="38E01D29"/>
    <w:rsid w:val="38E206AC"/>
    <w:rsid w:val="38E75AD2"/>
    <w:rsid w:val="39136493"/>
    <w:rsid w:val="39136B4F"/>
    <w:rsid w:val="391B2E86"/>
    <w:rsid w:val="391E41CA"/>
    <w:rsid w:val="391F3A92"/>
    <w:rsid w:val="39237CED"/>
    <w:rsid w:val="39263061"/>
    <w:rsid w:val="392D0DA3"/>
    <w:rsid w:val="39304F89"/>
    <w:rsid w:val="393A1D4A"/>
    <w:rsid w:val="393C57FE"/>
    <w:rsid w:val="39521CA1"/>
    <w:rsid w:val="395227FD"/>
    <w:rsid w:val="395263C0"/>
    <w:rsid w:val="397C6931"/>
    <w:rsid w:val="3985157D"/>
    <w:rsid w:val="39A05970"/>
    <w:rsid w:val="39A267BE"/>
    <w:rsid w:val="39BF6772"/>
    <w:rsid w:val="3A155864"/>
    <w:rsid w:val="3A266148"/>
    <w:rsid w:val="3A327779"/>
    <w:rsid w:val="3A381AB5"/>
    <w:rsid w:val="3A416DAA"/>
    <w:rsid w:val="3A722CAC"/>
    <w:rsid w:val="3A822A6A"/>
    <w:rsid w:val="3A825D37"/>
    <w:rsid w:val="3A94443F"/>
    <w:rsid w:val="3AD5393B"/>
    <w:rsid w:val="3AEC0CB1"/>
    <w:rsid w:val="3B135F44"/>
    <w:rsid w:val="3B1912BF"/>
    <w:rsid w:val="3B2C655C"/>
    <w:rsid w:val="3B2E03F9"/>
    <w:rsid w:val="3B4629E3"/>
    <w:rsid w:val="3B536C4E"/>
    <w:rsid w:val="3B7D1578"/>
    <w:rsid w:val="3B8E6F82"/>
    <w:rsid w:val="3B9445F0"/>
    <w:rsid w:val="3B95272E"/>
    <w:rsid w:val="3B962BAD"/>
    <w:rsid w:val="3BAF50E6"/>
    <w:rsid w:val="3BCE4CCF"/>
    <w:rsid w:val="3BDC5098"/>
    <w:rsid w:val="3BE22CBC"/>
    <w:rsid w:val="3BE37FE4"/>
    <w:rsid w:val="3BEA409A"/>
    <w:rsid w:val="3BEA4F28"/>
    <w:rsid w:val="3BFB2DEC"/>
    <w:rsid w:val="3BFC41B3"/>
    <w:rsid w:val="3C187D7C"/>
    <w:rsid w:val="3C304BA3"/>
    <w:rsid w:val="3C42621A"/>
    <w:rsid w:val="3C4B7C4C"/>
    <w:rsid w:val="3C606E71"/>
    <w:rsid w:val="3C715D4B"/>
    <w:rsid w:val="3C7C0A31"/>
    <w:rsid w:val="3C8A74C0"/>
    <w:rsid w:val="3C8D6DD0"/>
    <w:rsid w:val="3CBF580C"/>
    <w:rsid w:val="3CDE0765"/>
    <w:rsid w:val="3CE22AFF"/>
    <w:rsid w:val="3CF20008"/>
    <w:rsid w:val="3D182A73"/>
    <w:rsid w:val="3D1A5168"/>
    <w:rsid w:val="3D1C0C7F"/>
    <w:rsid w:val="3D251C5D"/>
    <w:rsid w:val="3D354447"/>
    <w:rsid w:val="3D3D1DB4"/>
    <w:rsid w:val="3D52126F"/>
    <w:rsid w:val="3D57583D"/>
    <w:rsid w:val="3D943E10"/>
    <w:rsid w:val="3DB47D4F"/>
    <w:rsid w:val="3DBC2074"/>
    <w:rsid w:val="3DCB476D"/>
    <w:rsid w:val="3DD6375E"/>
    <w:rsid w:val="3DE516FF"/>
    <w:rsid w:val="3DF11541"/>
    <w:rsid w:val="3E0952B0"/>
    <w:rsid w:val="3E0B59C9"/>
    <w:rsid w:val="3E181D51"/>
    <w:rsid w:val="3E2B29C8"/>
    <w:rsid w:val="3E37544C"/>
    <w:rsid w:val="3E394CC6"/>
    <w:rsid w:val="3E66732D"/>
    <w:rsid w:val="3E8374E4"/>
    <w:rsid w:val="3E863F45"/>
    <w:rsid w:val="3EAC1CEA"/>
    <w:rsid w:val="3EC44CC6"/>
    <w:rsid w:val="3ED11098"/>
    <w:rsid w:val="3F00614C"/>
    <w:rsid w:val="3F015FF4"/>
    <w:rsid w:val="3F0C26CA"/>
    <w:rsid w:val="3F193A87"/>
    <w:rsid w:val="3F1D1CB3"/>
    <w:rsid w:val="3F2579AD"/>
    <w:rsid w:val="3F3A696D"/>
    <w:rsid w:val="3F3F0567"/>
    <w:rsid w:val="3F5A3AA9"/>
    <w:rsid w:val="3F5B5EE0"/>
    <w:rsid w:val="3F5D0234"/>
    <w:rsid w:val="3F6642FD"/>
    <w:rsid w:val="3F6C0F4A"/>
    <w:rsid w:val="3F7029ED"/>
    <w:rsid w:val="3F7619AD"/>
    <w:rsid w:val="3F7B6F87"/>
    <w:rsid w:val="3F8C4718"/>
    <w:rsid w:val="3F8E3AB5"/>
    <w:rsid w:val="3F942D5B"/>
    <w:rsid w:val="3FC84D8B"/>
    <w:rsid w:val="3FCA55C0"/>
    <w:rsid w:val="3FD34D6E"/>
    <w:rsid w:val="3FD52CF8"/>
    <w:rsid w:val="3FEC4A80"/>
    <w:rsid w:val="3FF73B8C"/>
    <w:rsid w:val="400261DF"/>
    <w:rsid w:val="40131F91"/>
    <w:rsid w:val="402728A2"/>
    <w:rsid w:val="40414089"/>
    <w:rsid w:val="40454623"/>
    <w:rsid w:val="404E29F0"/>
    <w:rsid w:val="40570EBA"/>
    <w:rsid w:val="40702002"/>
    <w:rsid w:val="40805CAF"/>
    <w:rsid w:val="40831BCF"/>
    <w:rsid w:val="40845B1B"/>
    <w:rsid w:val="408A2B76"/>
    <w:rsid w:val="408E4D21"/>
    <w:rsid w:val="409C1BA3"/>
    <w:rsid w:val="40DE04D0"/>
    <w:rsid w:val="410F14B5"/>
    <w:rsid w:val="41294265"/>
    <w:rsid w:val="413C4018"/>
    <w:rsid w:val="415331FC"/>
    <w:rsid w:val="4160109A"/>
    <w:rsid w:val="416E6D41"/>
    <w:rsid w:val="417050D1"/>
    <w:rsid w:val="41804BCB"/>
    <w:rsid w:val="419F2509"/>
    <w:rsid w:val="41A11C81"/>
    <w:rsid w:val="41D1230A"/>
    <w:rsid w:val="41D627C3"/>
    <w:rsid w:val="41EC6503"/>
    <w:rsid w:val="42290D1A"/>
    <w:rsid w:val="4232786F"/>
    <w:rsid w:val="426375F7"/>
    <w:rsid w:val="426F5291"/>
    <w:rsid w:val="42835316"/>
    <w:rsid w:val="42877A85"/>
    <w:rsid w:val="42894CC1"/>
    <w:rsid w:val="428D7868"/>
    <w:rsid w:val="429E27EE"/>
    <w:rsid w:val="42B53EA1"/>
    <w:rsid w:val="42B63177"/>
    <w:rsid w:val="42BE478A"/>
    <w:rsid w:val="42D5256E"/>
    <w:rsid w:val="42D57FEA"/>
    <w:rsid w:val="42D85230"/>
    <w:rsid w:val="42E31EC0"/>
    <w:rsid w:val="42F6310A"/>
    <w:rsid w:val="430F3263"/>
    <w:rsid w:val="431D57DA"/>
    <w:rsid w:val="4320516C"/>
    <w:rsid w:val="432F0581"/>
    <w:rsid w:val="43486A50"/>
    <w:rsid w:val="434929F7"/>
    <w:rsid w:val="436043BC"/>
    <w:rsid w:val="437D76D6"/>
    <w:rsid w:val="438057C1"/>
    <w:rsid w:val="43A11161"/>
    <w:rsid w:val="43B779B1"/>
    <w:rsid w:val="43C01D3C"/>
    <w:rsid w:val="43C97662"/>
    <w:rsid w:val="43CD14B5"/>
    <w:rsid w:val="43FD75C6"/>
    <w:rsid w:val="44102BF9"/>
    <w:rsid w:val="44137665"/>
    <w:rsid w:val="4415063B"/>
    <w:rsid w:val="442F3A47"/>
    <w:rsid w:val="44575177"/>
    <w:rsid w:val="44A14307"/>
    <w:rsid w:val="44A469B9"/>
    <w:rsid w:val="44B46150"/>
    <w:rsid w:val="44C17D0F"/>
    <w:rsid w:val="44DC1730"/>
    <w:rsid w:val="44E04CA8"/>
    <w:rsid w:val="44E6505F"/>
    <w:rsid w:val="44EF09E7"/>
    <w:rsid w:val="44FA74A2"/>
    <w:rsid w:val="450901FC"/>
    <w:rsid w:val="45200718"/>
    <w:rsid w:val="452D0EED"/>
    <w:rsid w:val="452D6F0D"/>
    <w:rsid w:val="45320207"/>
    <w:rsid w:val="45581E1A"/>
    <w:rsid w:val="455971A6"/>
    <w:rsid w:val="45730683"/>
    <w:rsid w:val="457C6D97"/>
    <w:rsid w:val="457E16BC"/>
    <w:rsid w:val="45856E4A"/>
    <w:rsid w:val="459619C0"/>
    <w:rsid w:val="459A6675"/>
    <w:rsid w:val="459B4FBD"/>
    <w:rsid w:val="45A1062A"/>
    <w:rsid w:val="45C07781"/>
    <w:rsid w:val="45D3511A"/>
    <w:rsid w:val="45DF433D"/>
    <w:rsid w:val="45E6445E"/>
    <w:rsid w:val="45ED57A0"/>
    <w:rsid w:val="46080FE1"/>
    <w:rsid w:val="462A1D65"/>
    <w:rsid w:val="462D2C29"/>
    <w:rsid w:val="462E2233"/>
    <w:rsid w:val="46347358"/>
    <w:rsid w:val="46495BDF"/>
    <w:rsid w:val="4669794D"/>
    <w:rsid w:val="466A6B10"/>
    <w:rsid w:val="46737207"/>
    <w:rsid w:val="46B86872"/>
    <w:rsid w:val="46E2292A"/>
    <w:rsid w:val="46E57892"/>
    <w:rsid w:val="4713171C"/>
    <w:rsid w:val="471A729D"/>
    <w:rsid w:val="471D1268"/>
    <w:rsid w:val="4736526F"/>
    <w:rsid w:val="476937D3"/>
    <w:rsid w:val="477E4EA7"/>
    <w:rsid w:val="478141AD"/>
    <w:rsid w:val="479D1656"/>
    <w:rsid w:val="47A379E9"/>
    <w:rsid w:val="47B460D9"/>
    <w:rsid w:val="47BE085E"/>
    <w:rsid w:val="47D708D8"/>
    <w:rsid w:val="47F36043"/>
    <w:rsid w:val="480B2C88"/>
    <w:rsid w:val="48132603"/>
    <w:rsid w:val="481432C6"/>
    <w:rsid w:val="48144995"/>
    <w:rsid w:val="481A224B"/>
    <w:rsid w:val="48280D5F"/>
    <w:rsid w:val="48507F77"/>
    <w:rsid w:val="48661FC1"/>
    <w:rsid w:val="48702046"/>
    <w:rsid w:val="487918AC"/>
    <w:rsid w:val="48870E83"/>
    <w:rsid w:val="488D6EB6"/>
    <w:rsid w:val="489E4F48"/>
    <w:rsid w:val="489F4119"/>
    <w:rsid w:val="48A322AD"/>
    <w:rsid w:val="48A836C4"/>
    <w:rsid w:val="48C44AAD"/>
    <w:rsid w:val="48F7505F"/>
    <w:rsid w:val="48F96DD9"/>
    <w:rsid w:val="49127A31"/>
    <w:rsid w:val="49152BEB"/>
    <w:rsid w:val="491934DF"/>
    <w:rsid w:val="492B5F39"/>
    <w:rsid w:val="492C34E4"/>
    <w:rsid w:val="49306A68"/>
    <w:rsid w:val="497632E7"/>
    <w:rsid w:val="49784A83"/>
    <w:rsid w:val="497A32F5"/>
    <w:rsid w:val="497B3D42"/>
    <w:rsid w:val="497D3D8E"/>
    <w:rsid w:val="498850C5"/>
    <w:rsid w:val="499E6473"/>
    <w:rsid w:val="49A816F4"/>
    <w:rsid w:val="49B32CC4"/>
    <w:rsid w:val="49C76E53"/>
    <w:rsid w:val="49CA2DD1"/>
    <w:rsid w:val="49D24B7B"/>
    <w:rsid w:val="49EF169A"/>
    <w:rsid w:val="49F1670F"/>
    <w:rsid w:val="49FA1D50"/>
    <w:rsid w:val="49FE5C7A"/>
    <w:rsid w:val="4A026C1B"/>
    <w:rsid w:val="4A0422D7"/>
    <w:rsid w:val="4A052598"/>
    <w:rsid w:val="4A0B17BC"/>
    <w:rsid w:val="4A211605"/>
    <w:rsid w:val="4A29476F"/>
    <w:rsid w:val="4A3F49AD"/>
    <w:rsid w:val="4A4C7355"/>
    <w:rsid w:val="4A60057B"/>
    <w:rsid w:val="4A7413AB"/>
    <w:rsid w:val="4A885F4C"/>
    <w:rsid w:val="4A8B56AB"/>
    <w:rsid w:val="4A9035F0"/>
    <w:rsid w:val="4A9323FB"/>
    <w:rsid w:val="4AAA5C63"/>
    <w:rsid w:val="4ABE75B2"/>
    <w:rsid w:val="4AE953A9"/>
    <w:rsid w:val="4AF917C1"/>
    <w:rsid w:val="4AFB7F39"/>
    <w:rsid w:val="4B1D42C7"/>
    <w:rsid w:val="4B484235"/>
    <w:rsid w:val="4B7B170C"/>
    <w:rsid w:val="4B922C57"/>
    <w:rsid w:val="4BAE7F30"/>
    <w:rsid w:val="4BCA06A4"/>
    <w:rsid w:val="4BCE2F4D"/>
    <w:rsid w:val="4BDF3B9A"/>
    <w:rsid w:val="4BE40E7F"/>
    <w:rsid w:val="4C100189"/>
    <w:rsid w:val="4C160DF9"/>
    <w:rsid w:val="4C387F56"/>
    <w:rsid w:val="4C453E9B"/>
    <w:rsid w:val="4C467AE4"/>
    <w:rsid w:val="4C4C45A7"/>
    <w:rsid w:val="4C510816"/>
    <w:rsid w:val="4C542433"/>
    <w:rsid w:val="4C58294E"/>
    <w:rsid w:val="4C6D2507"/>
    <w:rsid w:val="4C767FBE"/>
    <w:rsid w:val="4C9A6DE7"/>
    <w:rsid w:val="4CB2220D"/>
    <w:rsid w:val="4CBE1FB6"/>
    <w:rsid w:val="4CC42B0A"/>
    <w:rsid w:val="4CCD0941"/>
    <w:rsid w:val="4CD16357"/>
    <w:rsid w:val="4CD207BC"/>
    <w:rsid w:val="4CD81257"/>
    <w:rsid w:val="4CDC3BC4"/>
    <w:rsid w:val="4CEA53AA"/>
    <w:rsid w:val="4CEE16BC"/>
    <w:rsid w:val="4D1B31D6"/>
    <w:rsid w:val="4D2E0BA4"/>
    <w:rsid w:val="4D5862B5"/>
    <w:rsid w:val="4D6C15BD"/>
    <w:rsid w:val="4D716728"/>
    <w:rsid w:val="4D7A0A1D"/>
    <w:rsid w:val="4D8F038C"/>
    <w:rsid w:val="4DC402A0"/>
    <w:rsid w:val="4DE652F5"/>
    <w:rsid w:val="4E0D5C11"/>
    <w:rsid w:val="4E1C1AC2"/>
    <w:rsid w:val="4E275AC9"/>
    <w:rsid w:val="4E312670"/>
    <w:rsid w:val="4E356839"/>
    <w:rsid w:val="4E393A55"/>
    <w:rsid w:val="4E3D2FF4"/>
    <w:rsid w:val="4E3D5F87"/>
    <w:rsid w:val="4E4E0752"/>
    <w:rsid w:val="4E753FFC"/>
    <w:rsid w:val="4E946CB5"/>
    <w:rsid w:val="4EA92E02"/>
    <w:rsid w:val="4EA9310B"/>
    <w:rsid w:val="4EAA3D53"/>
    <w:rsid w:val="4EBA19C5"/>
    <w:rsid w:val="4ECB369E"/>
    <w:rsid w:val="4ECB4BC8"/>
    <w:rsid w:val="4EDC6C48"/>
    <w:rsid w:val="4EDE737A"/>
    <w:rsid w:val="4EE64804"/>
    <w:rsid w:val="4EF633C8"/>
    <w:rsid w:val="4EFF615A"/>
    <w:rsid w:val="4F0122D3"/>
    <w:rsid w:val="4F274E79"/>
    <w:rsid w:val="4F3C4D1C"/>
    <w:rsid w:val="4F3D744C"/>
    <w:rsid w:val="4F5A7F41"/>
    <w:rsid w:val="4F7B0FA2"/>
    <w:rsid w:val="4F83412B"/>
    <w:rsid w:val="4F8E7DBE"/>
    <w:rsid w:val="4F927479"/>
    <w:rsid w:val="4FAC472E"/>
    <w:rsid w:val="4FB5214B"/>
    <w:rsid w:val="4FBA03B4"/>
    <w:rsid w:val="4FBA2399"/>
    <w:rsid w:val="4FBB1304"/>
    <w:rsid w:val="4FBB4C8B"/>
    <w:rsid w:val="4FBD7FB6"/>
    <w:rsid w:val="4FC22B5F"/>
    <w:rsid w:val="4FD10A01"/>
    <w:rsid w:val="4FD26393"/>
    <w:rsid w:val="4FD46F19"/>
    <w:rsid w:val="4FD506B9"/>
    <w:rsid w:val="4FE03FCD"/>
    <w:rsid w:val="4FFD1BE8"/>
    <w:rsid w:val="500858E3"/>
    <w:rsid w:val="500D6EAA"/>
    <w:rsid w:val="50180CE0"/>
    <w:rsid w:val="501E3A1C"/>
    <w:rsid w:val="503625B4"/>
    <w:rsid w:val="503F4FB1"/>
    <w:rsid w:val="50420B5C"/>
    <w:rsid w:val="504C21FE"/>
    <w:rsid w:val="50586979"/>
    <w:rsid w:val="505B4741"/>
    <w:rsid w:val="505F28C5"/>
    <w:rsid w:val="506651AD"/>
    <w:rsid w:val="506C2DBD"/>
    <w:rsid w:val="507372A2"/>
    <w:rsid w:val="50896CB5"/>
    <w:rsid w:val="50936594"/>
    <w:rsid w:val="50AA4DC7"/>
    <w:rsid w:val="50AB1EFD"/>
    <w:rsid w:val="50AC5158"/>
    <w:rsid w:val="50C36376"/>
    <w:rsid w:val="50D02A04"/>
    <w:rsid w:val="50D05358"/>
    <w:rsid w:val="50D25DB3"/>
    <w:rsid w:val="50DE60AD"/>
    <w:rsid w:val="51054BC6"/>
    <w:rsid w:val="511964B1"/>
    <w:rsid w:val="5121416F"/>
    <w:rsid w:val="514121F5"/>
    <w:rsid w:val="51524D44"/>
    <w:rsid w:val="51607D25"/>
    <w:rsid w:val="51615C25"/>
    <w:rsid w:val="51A607D5"/>
    <w:rsid w:val="51AC02C7"/>
    <w:rsid w:val="51AE19CB"/>
    <w:rsid w:val="51B7763B"/>
    <w:rsid w:val="51B87437"/>
    <w:rsid w:val="51CD3240"/>
    <w:rsid w:val="51D074B7"/>
    <w:rsid w:val="51E06CB3"/>
    <w:rsid w:val="51F2504C"/>
    <w:rsid w:val="5200741D"/>
    <w:rsid w:val="52057311"/>
    <w:rsid w:val="5207623B"/>
    <w:rsid w:val="521358D3"/>
    <w:rsid w:val="52146E72"/>
    <w:rsid w:val="522114C7"/>
    <w:rsid w:val="524316CD"/>
    <w:rsid w:val="524C4BB9"/>
    <w:rsid w:val="5261177F"/>
    <w:rsid w:val="52661035"/>
    <w:rsid w:val="527D0B80"/>
    <w:rsid w:val="52982B4E"/>
    <w:rsid w:val="529B19DB"/>
    <w:rsid w:val="52B365B7"/>
    <w:rsid w:val="52CB5C7E"/>
    <w:rsid w:val="52D12E6D"/>
    <w:rsid w:val="530A6A0B"/>
    <w:rsid w:val="531C6681"/>
    <w:rsid w:val="531F2420"/>
    <w:rsid w:val="532C3A7D"/>
    <w:rsid w:val="533124FA"/>
    <w:rsid w:val="533202D2"/>
    <w:rsid w:val="5337380C"/>
    <w:rsid w:val="536C09B6"/>
    <w:rsid w:val="53747AF5"/>
    <w:rsid w:val="538C7E58"/>
    <w:rsid w:val="5397508D"/>
    <w:rsid w:val="53AD535F"/>
    <w:rsid w:val="53C329CB"/>
    <w:rsid w:val="53C567F4"/>
    <w:rsid w:val="53D069EE"/>
    <w:rsid w:val="53E47E00"/>
    <w:rsid w:val="53FC6DF5"/>
    <w:rsid w:val="53FE47A0"/>
    <w:rsid w:val="54394568"/>
    <w:rsid w:val="54501762"/>
    <w:rsid w:val="54527E86"/>
    <w:rsid w:val="546B6A2B"/>
    <w:rsid w:val="54735FA2"/>
    <w:rsid w:val="547F3EAB"/>
    <w:rsid w:val="54943EBC"/>
    <w:rsid w:val="54D72575"/>
    <w:rsid w:val="54DF7930"/>
    <w:rsid w:val="54E9440D"/>
    <w:rsid w:val="54F104CA"/>
    <w:rsid w:val="550E1676"/>
    <w:rsid w:val="552703F9"/>
    <w:rsid w:val="5529085E"/>
    <w:rsid w:val="553669E4"/>
    <w:rsid w:val="557C1DF5"/>
    <w:rsid w:val="559F5C88"/>
    <w:rsid w:val="55D60839"/>
    <w:rsid w:val="55E664EB"/>
    <w:rsid w:val="55E94162"/>
    <w:rsid w:val="55F4745A"/>
    <w:rsid w:val="55F65B8D"/>
    <w:rsid w:val="55F70C62"/>
    <w:rsid w:val="56164826"/>
    <w:rsid w:val="56170A0C"/>
    <w:rsid w:val="56255C81"/>
    <w:rsid w:val="56283B91"/>
    <w:rsid w:val="562D6714"/>
    <w:rsid w:val="565A1369"/>
    <w:rsid w:val="56783CD3"/>
    <w:rsid w:val="567D06B8"/>
    <w:rsid w:val="56872307"/>
    <w:rsid w:val="56AE0C99"/>
    <w:rsid w:val="56B00F25"/>
    <w:rsid w:val="56D537A9"/>
    <w:rsid w:val="56DC3F4E"/>
    <w:rsid w:val="56F407D6"/>
    <w:rsid w:val="56FE09A8"/>
    <w:rsid w:val="571E2689"/>
    <w:rsid w:val="57212A06"/>
    <w:rsid w:val="57227979"/>
    <w:rsid w:val="57461687"/>
    <w:rsid w:val="575426C3"/>
    <w:rsid w:val="575E3538"/>
    <w:rsid w:val="57741EB7"/>
    <w:rsid w:val="57775087"/>
    <w:rsid w:val="5782494B"/>
    <w:rsid w:val="579F482D"/>
    <w:rsid w:val="57CC4C8D"/>
    <w:rsid w:val="57CF2AC7"/>
    <w:rsid w:val="57D46639"/>
    <w:rsid w:val="57D76BC1"/>
    <w:rsid w:val="57F50629"/>
    <w:rsid w:val="580C4297"/>
    <w:rsid w:val="58162520"/>
    <w:rsid w:val="582863CE"/>
    <w:rsid w:val="582A22ED"/>
    <w:rsid w:val="58300DD3"/>
    <w:rsid w:val="583D495F"/>
    <w:rsid w:val="583D530F"/>
    <w:rsid w:val="58547E52"/>
    <w:rsid w:val="58607145"/>
    <w:rsid w:val="586719E4"/>
    <w:rsid w:val="586D6297"/>
    <w:rsid w:val="58743521"/>
    <w:rsid w:val="5877637C"/>
    <w:rsid w:val="587D68BE"/>
    <w:rsid w:val="58AD19FB"/>
    <w:rsid w:val="58B03639"/>
    <w:rsid w:val="58CD1D8F"/>
    <w:rsid w:val="58F95A3F"/>
    <w:rsid w:val="59090058"/>
    <w:rsid w:val="592646EA"/>
    <w:rsid w:val="593A6D10"/>
    <w:rsid w:val="595A1E81"/>
    <w:rsid w:val="596756C6"/>
    <w:rsid w:val="59743BF7"/>
    <w:rsid w:val="597F3F5C"/>
    <w:rsid w:val="599B546E"/>
    <w:rsid w:val="599F45A4"/>
    <w:rsid w:val="59B62222"/>
    <w:rsid w:val="59C41A31"/>
    <w:rsid w:val="59C52FD5"/>
    <w:rsid w:val="59C662E5"/>
    <w:rsid w:val="59DF4294"/>
    <w:rsid w:val="59F146EF"/>
    <w:rsid w:val="5A10091F"/>
    <w:rsid w:val="5A247146"/>
    <w:rsid w:val="5A422485"/>
    <w:rsid w:val="5A45514A"/>
    <w:rsid w:val="5A5A5E59"/>
    <w:rsid w:val="5A7F0CAF"/>
    <w:rsid w:val="5A9F0126"/>
    <w:rsid w:val="5AC0022E"/>
    <w:rsid w:val="5AE20D29"/>
    <w:rsid w:val="5AF252EF"/>
    <w:rsid w:val="5AF446DC"/>
    <w:rsid w:val="5B052328"/>
    <w:rsid w:val="5B074F88"/>
    <w:rsid w:val="5B171315"/>
    <w:rsid w:val="5B175E96"/>
    <w:rsid w:val="5B1A6D74"/>
    <w:rsid w:val="5B2012C0"/>
    <w:rsid w:val="5B343B37"/>
    <w:rsid w:val="5B535A03"/>
    <w:rsid w:val="5B65016D"/>
    <w:rsid w:val="5B724332"/>
    <w:rsid w:val="5B9272C8"/>
    <w:rsid w:val="5B9B00F1"/>
    <w:rsid w:val="5BAE4876"/>
    <w:rsid w:val="5BB436C3"/>
    <w:rsid w:val="5BBD506C"/>
    <w:rsid w:val="5BCC7C9F"/>
    <w:rsid w:val="5BCD1281"/>
    <w:rsid w:val="5BF91597"/>
    <w:rsid w:val="5C014D8E"/>
    <w:rsid w:val="5C1D0ACC"/>
    <w:rsid w:val="5C2F23F4"/>
    <w:rsid w:val="5C35748D"/>
    <w:rsid w:val="5C54271A"/>
    <w:rsid w:val="5C5F68AD"/>
    <w:rsid w:val="5C6975B8"/>
    <w:rsid w:val="5C78316A"/>
    <w:rsid w:val="5C8036A7"/>
    <w:rsid w:val="5C9D4C92"/>
    <w:rsid w:val="5CA22662"/>
    <w:rsid w:val="5CAC3900"/>
    <w:rsid w:val="5CAE3B60"/>
    <w:rsid w:val="5CBC6D08"/>
    <w:rsid w:val="5CCC0271"/>
    <w:rsid w:val="5CD34DFA"/>
    <w:rsid w:val="5CD41C40"/>
    <w:rsid w:val="5D2A19DF"/>
    <w:rsid w:val="5D544B59"/>
    <w:rsid w:val="5D6F781B"/>
    <w:rsid w:val="5D756D64"/>
    <w:rsid w:val="5D7A5F9B"/>
    <w:rsid w:val="5D8E407C"/>
    <w:rsid w:val="5DAB2C98"/>
    <w:rsid w:val="5DDA0DC7"/>
    <w:rsid w:val="5DE60077"/>
    <w:rsid w:val="5DE63CE9"/>
    <w:rsid w:val="5E022B5F"/>
    <w:rsid w:val="5E0B2BE8"/>
    <w:rsid w:val="5E192218"/>
    <w:rsid w:val="5E20771D"/>
    <w:rsid w:val="5E37096B"/>
    <w:rsid w:val="5E481DD8"/>
    <w:rsid w:val="5E554695"/>
    <w:rsid w:val="5E63115F"/>
    <w:rsid w:val="5E6425B4"/>
    <w:rsid w:val="5E646AF2"/>
    <w:rsid w:val="5E71419D"/>
    <w:rsid w:val="5E7F4F0A"/>
    <w:rsid w:val="5E8B2B58"/>
    <w:rsid w:val="5E9421E5"/>
    <w:rsid w:val="5E945F23"/>
    <w:rsid w:val="5EA236F0"/>
    <w:rsid w:val="5EA45AAC"/>
    <w:rsid w:val="5EB200E6"/>
    <w:rsid w:val="5EB268D4"/>
    <w:rsid w:val="5EDA4C4A"/>
    <w:rsid w:val="5EDC6773"/>
    <w:rsid w:val="5EDE1387"/>
    <w:rsid w:val="5EFA611A"/>
    <w:rsid w:val="5F150583"/>
    <w:rsid w:val="5F221E49"/>
    <w:rsid w:val="5F2627A6"/>
    <w:rsid w:val="5F3760BE"/>
    <w:rsid w:val="5F67177D"/>
    <w:rsid w:val="5F6A33BA"/>
    <w:rsid w:val="5FA747D8"/>
    <w:rsid w:val="5FB300F8"/>
    <w:rsid w:val="5FC04BEF"/>
    <w:rsid w:val="5FC51B5D"/>
    <w:rsid w:val="5FCD4E5F"/>
    <w:rsid w:val="5FDC5A2A"/>
    <w:rsid w:val="5FF43892"/>
    <w:rsid w:val="60076C17"/>
    <w:rsid w:val="600D644D"/>
    <w:rsid w:val="601027B5"/>
    <w:rsid w:val="6011136D"/>
    <w:rsid w:val="60193E0E"/>
    <w:rsid w:val="603C2AAD"/>
    <w:rsid w:val="603E2DD7"/>
    <w:rsid w:val="603E51B0"/>
    <w:rsid w:val="6041432A"/>
    <w:rsid w:val="60450754"/>
    <w:rsid w:val="6045723C"/>
    <w:rsid w:val="60781363"/>
    <w:rsid w:val="608C5DEA"/>
    <w:rsid w:val="60931069"/>
    <w:rsid w:val="609F6AB7"/>
    <w:rsid w:val="60B2241A"/>
    <w:rsid w:val="60BF0F8B"/>
    <w:rsid w:val="60C62ADF"/>
    <w:rsid w:val="60D5728C"/>
    <w:rsid w:val="60E1162B"/>
    <w:rsid w:val="60E6758A"/>
    <w:rsid w:val="60EA184F"/>
    <w:rsid w:val="60FA7C8E"/>
    <w:rsid w:val="610D02E7"/>
    <w:rsid w:val="610D3375"/>
    <w:rsid w:val="610D338C"/>
    <w:rsid w:val="61175A74"/>
    <w:rsid w:val="61290BF9"/>
    <w:rsid w:val="612B60A8"/>
    <w:rsid w:val="61307475"/>
    <w:rsid w:val="61342854"/>
    <w:rsid w:val="614B1EF8"/>
    <w:rsid w:val="61530E36"/>
    <w:rsid w:val="617051F5"/>
    <w:rsid w:val="61A56EFC"/>
    <w:rsid w:val="61C643A2"/>
    <w:rsid w:val="61E971F9"/>
    <w:rsid w:val="61F11370"/>
    <w:rsid w:val="61F22632"/>
    <w:rsid w:val="61F27D0F"/>
    <w:rsid w:val="621F0C0B"/>
    <w:rsid w:val="623B0390"/>
    <w:rsid w:val="623B0F65"/>
    <w:rsid w:val="623B3BD3"/>
    <w:rsid w:val="624015CA"/>
    <w:rsid w:val="62520268"/>
    <w:rsid w:val="62590739"/>
    <w:rsid w:val="6276391C"/>
    <w:rsid w:val="627C0EB1"/>
    <w:rsid w:val="62921111"/>
    <w:rsid w:val="6294201B"/>
    <w:rsid w:val="62BB6DC5"/>
    <w:rsid w:val="62D17F8E"/>
    <w:rsid w:val="62D30012"/>
    <w:rsid w:val="62F50D62"/>
    <w:rsid w:val="630E1E26"/>
    <w:rsid w:val="63144F2A"/>
    <w:rsid w:val="63371DBD"/>
    <w:rsid w:val="633B3BD7"/>
    <w:rsid w:val="63456027"/>
    <w:rsid w:val="63644042"/>
    <w:rsid w:val="637E2C34"/>
    <w:rsid w:val="63845DA1"/>
    <w:rsid w:val="638C1B55"/>
    <w:rsid w:val="63C150FF"/>
    <w:rsid w:val="63E80900"/>
    <w:rsid w:val="63F45CDF"/>
    <w:rsid w:val="63FB1B7F"/>
    <w:rsid w:val="641B7588"/>
    <w:rsid w:val="642C44D0"/>
    <w:rsid w:val="643D6C35"/>
    <w:rsid w:val="644C2CC2"/>
    <w:rsid w:val="645513F5"/>
    <w:rsid w:val="645A680B"/>
    <w:rsid w:val="64810BCB"/>
    <w:rsid w:val="649459BF"/>
    <w:rsid w:val="649A6C64"/>
    <w:rsid w:val="64AA5E41"/>
    <w:rsid w:val="64B42C5D"/>
    <w:rsid w:val="64B80ECD"/>
    <w:rsid w:val="64BC14CD"/>
    <w:rsid w:val="64D430B8"/>
    <w:rsid w:val="64EA3153"/>
    <w:rsid w:val="650D71F1"/>
    <w:rsid w:val="655C3389"/>
    <w:rsid w:val="65615058"/>
    <w:rsid w:val="65730CA2"/>
    <w:rsid w:val="658D02BB"/>
    <w:rsid w:val="65A24823"/>
    <w:rsid w:val="65AA4932"/>
    <w:rsid w:val="65B20A5B"/>
    <w:rsid w:val="65D26838"/>
    <w:rsid w:val="65E3752E"/>
    <w:rsid w:val="65F12DBD"/>
    <w:rsid w:val="65F25E41"/>
    <w:rsid w:val="660A21FD"/>
    <w:rsid w:val="66171DF4"/>
    <w:rsid w:val="664F6C65"/>
    <w:rsid w:val="668B3235"/>
    <w:rsid w:val="668E6C4F"/>
    <w:rsid w:val="66B807FC"/>
    <w:rsid w:val="66B8796A"/>
    <w:rsid w:val="66C61700"/>
    <w:rsid w:val="66CB0715"/>
    <w:rsid w:val="66EF6915"/>
    <w:rsid w:val="66F904D5"/>
    <w:rsid w:val="67102B6E"/>
    <w:rsid w:val="6712172F"/>
    <w:rsid w:val="67174D0F"/>
    <w:rsid w:val="67222A01"/>
    <w:rsid w:val="67364FFB"/>
    <w:rsid w:val="673B7B9F"/>
    <w:rsid w:val="673C4C0F"/>
    <w:rsid w:val="67572CAE"/>
    <w:rsid w:val="67716842"/>
    <w:rsid w:val="677B1B7E"/>
    <w:rsid w:val="67816B9D"/>
    <w:rsid w:val="67837D36"/>
    <w:rsid w:val="678963DD"/>
    <w:rsid w:val="67AF3547"/>
    <w:rsid w:val="67BC2510"/>
    <w:rsid w:val="67DC6113"/>
    <w:rsid w:val="67E571EB"/>
    <w:rsid w:val="67EC7469"/>
    <w:rsid w:val="680258D0"/>
    <w:rsid w:val="68064CFE"/>
    <w:rsid w:val="681D4239"/>
    <w:rsid w:val="681E5679"/>
    <w:rsid w:val="683A19BE"/>
    <w:rsid w:val="683C38E8"/>
    <w:rsid w:val="683F5CE7"/>
    <w:rsid w:val="684323C0"/>
    <w:rsid w:val="68535D01"/>
    <w:rsid w:val="685750B3"/>
    <w:rsid w:val="685965DB"/>
    <w:rsid w:val="687B0BE5"/>
    <w:rsid w:val="68872CA9"/>
    <w:rsid w:val="688B5201"/>
    <w:rsid w:val="68990AF2"/>
    <w:rsid w:val="68AF7C94"/>
    <w:rsid w:val="68B15764"/>
    <w:rsid w:val="68B20DFE"/>
    <w:rsid w:val="68B8288E"/>
    <w:rsid w:val="68B93767"/>
    <w:rsid w:val="68BA13E1"/>
    <w:rsid w:val="68BF58CD"/>
    <w:rsid w:val="68E9366B"/>
    <w:rsid w:val="690E5E46"/>
    <w:rsid w:val="691A6FB0"/>
    <w:rsid w:val="69551569"/>
    <w:rsid w:val="696307C1"/>
    <w:rsid w:val="69781286"/>
    <w:rsid w:val="6983150B"/>
    <w:rsid w:val="698B0694"/>
    <w:rsid w:val="69901F26"/>
    <w:rsid w:val="69904018"/>
    <w:rsid w:val="69997ECC"/>
    <w:rsid w:val="699F3A6B"/>
    <w:rsid w:val="69EF50C8"/>
    <w:rsid w:val="6A013E19"/>
    <w:rsid w:val="6A030452"/>
    <w:rsid w:val="6A1A4859"/>
    <w:rsid w:val="6A1A66F9"/>
    <w:rsid w:val="6A3C635D"/>
    <w:rsid w:val="6A414B4B"/>
    <w:rsid w:val="6A4F60B0"/>
    <w:rsid w:val="6A60018A"/>
    <w:rsid w:val="6A606E8F"/>
    <w:rsid w:val="6A6B0F0E"/>
    <w:rsid w:val="6A8C4A91"/>
    <w:rsid w:val="6A954243"/>
    <w:rsid w:val="6AA230EF"/>
    <w:rsid w:val="6AA276F1"/>
    <w:rsid w:val="6ABD73DD"/>
    <w:rsid w:val="6AD8616D"/>
    <w:rsid w:val="6AF906DD"/>
    <w:rsid w:val="6AFC2421"/>
    <w:rsid w:val="6B182070"/>
    <w:rsid w:val="6B242C0E"/>
    <w:rsid w:val="6B2A66BE"/>
    <w:rsid w:val="6B3012C6"/>
    <w:rsid w:val="6B3318F5"/>
    <w:rsid w:val="6B4248CB"/>
    <w:rsid w:val="6B547A65"/>
    <w:rsid w:val="6B7B1AD4"/>
    <w:rsid w:val="6B7D559F"/>
    <w:rsid w:val="6B8140E2"/>
    <w:rsid w:val="6BAC018F"/>
    <w:rsid w:val="6BCA5323"/>
    <w:rsid w:val="6BDC3C91"/>
    <w:rsid w:val="6BDE217C"/>
    <w:rsid w:val="6BE013A2"/>
    <w:rsid w:val="6BE460AA"/>
    <w:rsid w:val="6C171A6B"/>
    <w:rsid w:val="6C173444"/>
    <w:rsid w:val="6C1A4EB2"/>
    <w:rsid w:val="6C1C3A19"/>
    <w:rsid w:val="6C282BCE"/>
    <w:rsid w:val="6C291F2C"/>
    <w:rsid w:val="6C412A96"/>
    <w:rsid w:val="6C5A7FAB"/>
    <w:rsid w:val="6C6F4F90"/>
    <w:rsid w:val="6C964150"/>
    <w:rsid w:val="6CB225D5"/>
    <w:rsid w:val="6CB5251A"/>
    <w:rsid w:val="6CDD3042"/>
    <w:rsid w:val="6CED71F2"/>
    <w:rsid w:val="6CF749B8"/>
    <w:rsid w:val="6D211C79"/>
    <w:rsid w:val="6D456588"/>
    <w:rsid w:val="6D47057C"/>
    <w:rsid w:val="6D4D25B9"/>
    <w:rsid w:val="6D5478B0"/>
    <w:rsid w:val="6D6D4C44"/>
    <w:rsid w:val="6D701759"/>
    <w:rsid w:val="6D706364"/>
    <w:rsid w:val="6D9E3ECE"/>
    <w:rsid w:val="6DA97814"/>
    <w:rsid w:val="6DC310F6"/>
    <w:rsid w:val="6DC35D96"/>
    <w:rsid w:val="6DD44A34"/>
    <w:rsid w:val="6DE16C41"/>
    <w:rsid w:val="6DE6232B"/>
    <w:rsid w:val="6DE673A9"/>
    <w:rsid w:val="6DE928CC"/>
    <w:rsid w:val="6E2533A3"/>
    <w:rsid w:val="6E286147"/>
    <w:rsid w:val="6E3A3BB0"/>
    <w:rsid w:val="6E4F5373"/>
    <w:rsid w:val="6E5C24BD"/>
    <w:rsid w:val="6E617220"/>
    <w:rsid w:val="6E641520"/>
    <w:rsid w:val="6E6F5EB4"/>
    <w:rsid w:val="6E706E30"/>
    <w:rsid w:val="6E8E59B6"/>
    <w:rsid w:val="6E983756"/>
    <w:rsid w:val="6ED0343B"/>
    <w:rsid w:val="6EE55481"/>
    <w:rsid w:val="6F1867AA"/>
    <w:rsid w:val="6F466468"/>
    <w:rsid w:val="6F5F344F"/>
    <w:rsid w:val="6F711760"/>
    <w:rsid w:val="6F75156F"/>
    <w:rsid w:val="6F763B46"/>
    <w:rsid w:val="6F8C44AB"/>
    <w:rsid w:val="6F9308FD"/>
    <w:rsid w:val="6FA77444"/>
    <w:rsid w:val="6FCC0A03"/>
    <w:rsid w:val="6FD165F5"/>
    <w:rsid w:val="6FE84B38"/>
    <w:rsid w:val="6FF55618"/>
    <w:rsid w:val="70086DB5"/>
    <w:rsid w:val="700C5A39"/>
    <w:rsid w:val="702569D0"/>
    <w:rsid w:val="703032D2"/>
    <w:rsid w:val="70605F08"/>
    <w:rsid w:val="70657F4E"/>
    <w:rsid w:val="706B5CD5"/>
    <w:rsid w:val="707B7014"/>
    <w:rsid w:val="70800914"/>
    <w:rsid w:val="709209C9"/>
    <w:rsid w:val="70956AB3"/>
    <w:rsid w:val="70965C15"/>
    <w:rsid w:val="70980E9D"/>
    <w:rsid w:val="70BF0B36"/>
    <w:rsid w:val="70C2424C"/>
    <w:rsid w:val="70D00FAC"/>
    <w:rsid w:val="70EC4EFD"/>
    <w:rsid w:val="71023906"/>
    <w:rsid w:val="7118499E"/>
    <w:rsid w:val="712412E7"/>
    <w:rsid w:val="71296FD7"/>
    <w:rsid w:val="713669BE"/>
    <w:rsid w:val="713B6AD3"/>
    <w:rsid w:val="715836FD"/>
    <w:rsid w:val="7166244A"/>
    <w:rsid w:val="71876CAF"/>
    <w:rsid w:val="71906179"/>
    <w:rsid w:val="71A93FA8"/>
    <w:rsid w:val="71B46E18"/>
    <w:rsid w:val="71CD157F"/>
    <w:rsid w:val="71D46C97"/>
    <w:rsid w:val="71D835EC"/>
    <w:rsid w:val="71E44422"/>
    <w:rsid w:val="71F748E2"/>
    <w:rsid w:val="71F847BE"/>
    <w:rsid w:val="71FE0C4A"/>
    <w:rsid w:val="72225C77"/>
    <w:rsid w:val="723208E2"/>
    <w:rsid w:val="724753FB"/>
    <w:rsid w:val="72581575"/>
    <w:rsid w:val="72815E20"/>
    <w:rsid w:val="72871B1B"/>
    <w:rsid w:val="729D0D47"/>
    <w:rsid w:val="72A52287"/>
    <w:rsid w:val="72AF4898"/>
    <w:rsid w:val="72BD1BDC"/>
    <w:rsid w:val="72BE0529"/>
    <w:rsid w:val="72D963F1"/>
    <w:rsid w:val="72D96D9D"/>
    <w:rsid w:val="72DC4362"/>
    <w:rsid w:val="72DC775F"/>
    <w:rsid w:val="72DE2545"/>
    <w:rsid w:val="72EA70D4"/>
    <w:rsid w:val="72ED1DB9"/>
    <w:rsid w:val="73103A08"/>
    <w:rsid w:val="7320376A"/>
    <w:rsid w:val="7326315D"/>
    <w:rsid w:val="73347BBB"/>
    <w:rsid w:val="73437BD9"/>
    <w:rsid w:val="735B218C"/>
    <w:rsid w:val="735D7F04"/>
    <w:rsid w:val="73727AAD"/>
    <w:rsid w:val="73765004"/>
    <w:rsid w:val="7399053D"/>
    <w:rsid w:val="73BB6F4F"/>
    <w:rsid w:val="73CC6F0E"/>
    <w:rsid w:val="73CD03DC"/>
    <w:rsid w:val="73CE20B2"/>
    <w:rsid w:val="73DE4F87"/>
    <w:rsid w:val="73EF33FF"/>
    <w:rsid w:val="73F922DD"/>
    <w:rsid w:val="740C0565"/>
    <w:rsid w:val="74111D77"/>
    <w:rsid w:val="74485A6A"/>
    <w:rsid w:val="745164B4"/>
    <w:rsid w:val="745219AD"/>
    <w:rsid w:val="745D5957"/>
    <w:rsid w:val="746A17FE"/>
    <w:rsid w:val="74736578"/>
    <w:rsid w:val="74A11F1E"/>
    <w:rsid w:val="74DC65C9"/>
    <w:rsid w:val="7515601B"/>
    <w:rsid w:val="751B1AB9"/>
    <w:rsid w:val="751C1760"/>
    <w:rsid w:val="75250DF5"/>
    <w:rsid w:val="75277476"/>
    <w:rsid w:val="752E70BC"/>
    <w:rsid w:val="7537111E"/>
    <w:rsid w:val="75457B9A"/>
    <w:rsid w:val="756662B8"/>
    <w:rsid w:val="756C6EAF"/>
    <w:rsid w:val="759914A2"/>
    <w:rsid w:val="75B678AC"/>
    <w:rsid w:val="75BA6AE1"/>
    <w:rsid w:val="75C22B65"/>
    <w:rsid w:val="75D06D60"/>
    <w:rsid w:val="75D63746"/>
    <w:rsid w:val="75E46C37"/>
    <w:rsid w:val="762A3332"/>
    <w:rsid w:val="76577D51"/>
    <w:rsid w:val="766C4E1A"/>
    <w:rsid w:val="767E59A4"/>
    <w:rsid w:val="768154F6"/>
    <w:rsid w:val="76875A5B"/>
    <w:rsid w:val="768D269A"/>
    <w:rsid w:val="768F66E6"/>
    <w:rsid w:val="76904B4C"/>
    <w:rsid w:val="76906398"/>
    <w:rsid w:val="7692021E"/>
    <w:rsid w:val="7692295C"/>
    <w:rsid w:val="76987296"/>
    <w:rsid w:val="76AD37EA"/>
    <w:rsid w:val="76DD7040"/>
    <w:rsid w:val="77141A56"/>
    <w:rsid w:val="773724AA"/>
    <w:rsid w:val="77471359"/>
    <w:rsid w:val="77487DBB"/>
    <w:rsid w:val="775723C9"/>
    <w:rsid w:val="7793298D"/>
    <w:rsid w:val="779B0E28"/>
    <w:rsid w:val="779D36A5"/>
    <w:rsid w:val="77A93498"/>
    <w:rsid w:val="77BD362F"/>
    <w:rsid w:val="77C0299F"/>
    <w:rsid w:val="77C34452"/>
    <w:rsid w:val="77C62998"/>
    <w:rsid w:val="77EF6C39"/>
    <w:rsid w:val="77FA5E99"/>
    <w:rsid w:val="7800019C"/>
    <w:rsid w:val="7802716D"/>
    <w:rsid w:val="781411DC"/>
    <w:rsid w:val="78181510"/>
    <w:rsid w:val="783C1085"/>
    <w:rsid w:val="78511A1F"/>
    <w:rsid w:val="78687D28"/>
    <w:rsid w:val="78695554"/>
    <w:rsid w:val="787578D6"/>
    <w:rsid w:val="78835280"/>
    <w:rsid w:val="789C1E36"/>
    <w:rsid w:val="78B91D5A"/>
    <w:rsid w:val="79376484"/>
    <w:rsid w:val="79395B42"/>
    <w:rsid w:val="796A387D"/>
    <w:rsid w:val="798C45A2"/>
    <w:rsid w:val="798E37EC"/>
    <w:rsid w:val="799816E3"/>
    <w:rsid w:val="79A50D62"/>
    <w:rsid w:val="79AF6B79"/>
    <w:rsid w:val="79BA1EE0"/>
    <w:rsid w:val="79E06559"/>
    <w:rsid w:val="79E45B22"/>
    <w:rsid w:val="79E90618"/>
    <w:rsid w:val="79FF3743"/>
    <w:rsid w:val="7A0F338D"/>
    <w:rsid w:val="7A136B84"/>
    <w:rsid w:val="7A140C86"/>
    <w:rsid w:val="7A415D1C"/>
    <w:rsid w:val="7A691A14"/>
    <w:rsid w:val="7A6D2DBD"/>
    <w:rsid w:val="7A745085"/>
    <w:rsid w:val="7A9B4862"/>
    <w:rsid w:val="7AA2751E"/>
    <w:rsid w:val="7AB465CB"/>
    <w:rsid w:val="7AC31617"/>
    <w:rsid w:val="7AD23232"/>
    <w:rsid w:val="7AD907F7"/>
    <w:rsid w:val="7ADC3888"/>
    <w:rsid w:val="7AE17274"/>
    <w:rsid w:val="7AE17FF2"/>
    <w:rsid w:val="7B1020BF"/>
    <w:rsid w:val="7B2C4219"/>
    <w:rsid w:val="7B4E3BF4"/>
    <w:rsid w:val="7B686316"/>
    <w:rsid w:val="7B7E1476"/>
    <w:rsid w:val="7B7E42C9"/>
    <w:rsid w:val="7B817344"/>
    <w:rsid w:val="7B937A3D"/>
    <w:rsid w:val="7B9B7AF4"/>
    <w:rsid w:val="7BB82963"/>
    <w:rsid w:val="7BBD41AD"/>
    <w:rsid w:val="7BDD579A"/>
    <w:rsid w:val="7BE235FF"/>
    <w:rsid w:val="7BE703B0"/>
    <w:rsid w:val="7BFD5540"/>
    <w:rsid w:val="7C0C4892"/>
    <w:rsid w:val="7C115F93"/>
    <w:rsid w:val="7C1533E4"/>
    <w:rsid w:val="7C7B5A19"/>
    <w:rsid w:val="7C7D2246"/>
    <w:rsid w:val="7C9E66A5"/>
    <w:rsid w:val="7CB50F6F"/>
    <w:rsid w:val="7CCC117F"/>
    <w:rsid w:val="7D010506"/>
    <w:rsid w:val="7D095CC4"/>
    <w:rsid w:val="7D180AA7"/>
    <w:rsid w:val="7D1D419D"/>
    <w:rsid w:val="7D252546"/>
    <w:rsid w:val="7D3B3437"/>
    <w:rsid w:val="7D4905FC"/>
    <w:rsid w:val="7D5B100B"/>
    <w:rsid w:val="7D77039F"/>
    <w:rsid w:val="7D795601"/>
    <w:rsid w:val="7D8E3DCA"/>
    <w:rsid w:val="7D9E5160"/>
    <w:rsid w:val="7DA14952"/>
    <w:rsid w:val="7DFA308C"/>
    <w:rsid w:val="7DFE387C"/>
    <w:rsid w:val="7E005A68"/>
    <w:rsid w:val="7E1D7649"/>
    <w:rsid w:val="7E245841"/>
    <w:rsid w:val="7E275DC0"/>
    <w:rsid w:val="7E3C7D86"/>
    <w:rsid w:val="7E52000F"/>
    <w:rsid w:val="7E786396"/>
    <w:rsid w:val="7E8D315C"/>
    <w:rsid w:val="7EA002E4"/>
    <w:rsid w:val="7EA3323F"/>
    <w:rsid w:val="7EA60C34"/>
    <w:rsid w:val="7EBA59A3"/>
    <w:rsid w:val="7EBF4774"/>
    <w:rsid w:val="7ECF72D9"/>
    <w:rsid w:val="7EDC04EF"/>
    <w:rsid w:val="7EE2315A"/>
    <w:rsid w:val="7EE27F72"/>
    <w:rsid w:val="7EE421C4"/>
    <w:rsid w:val="7EEF0A0D"/>
    <w:rsid w:val="7EF95511"/>
    <w:rsid w:val="7EFB373D"/>
    <w:rsid w:val="7EFD19F2"/>
    <w:rsid w:val="7F127E3E"/>
    <w:rsid w:val="7F1A1EBA"/>
    <w:rsid w:val="7F207B32"/>
    <w:rsid w:val="7F4815E0"/>
    <w:rsid w:val="7F8A605D"/>
    <w:rsid w:val="7F9760C5"/>
    <w:rsid w:val="7F9A5DD8"/>
    <w:rsid w:val="7F9F66EA"/>
    <w:rsid w:val="7FC0764B"/>
    <w:rsid w:val="7FD43A3A"/>
    <w:rsid w:val="7FFE21AF"/>
    <w:rsid w:val="7FFF119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ind w:firstLine="200" w:firstLineChars="200"/>
      <w:jc w:val="both"/>
    </w:pPr>
    <w:rPr>
      <w:rFonts w:ascii="Times New Roman" w:hAnsi="Times New Roman" w:eastAsia="方正仿宋_GBK" w:cstheme="minorBidi"/>
      <w:kern w:val="2"/>
      <w:sz w:val="32"/>
      <w:szCs w:val="22"/>
      <w:lang w:val="en-US" w:eastAsia="zh-CN" w:bidi="ar-SA"/>
    </w:rPr>
  </w:style>
  <w:style w:type="paragraph" w:styleId="7">
    <w:name w:val="heading 1"/>
    <w:basedOn w:val="1"/>
    <w:next w:val="1"/>
    <w:link w:val="38"/>
    <w:qFormat/>
    <w:uiPriority w:val="9"/>
    <w:pPr>
      <w:keepNext/>
      <w:keepLines/>
      <w:spacing w:before="340" w:after="330" w:line="360" w:lineRule="auto"/>
      <w:outlineLvl w:val="0"/>
    </w:pPr>
    <w:rPr>
      <w:rFonts w:eastAsia="黑体"/>
      <w:b/>
      <w:bCs/>
      <w:kern w:val="44"/>
      <w:sz w:val="44"/>
      <w:szCs w:val="44"/>
    </w:rPr>
  </w:style>
  <w:style w:type="paragraph" w:styleId="8">
    <w:name w:val="heading 2"/>
    <w:basedOn w:val="1"/>
    <w:next w:val="1"/>
    <w:link w:val="39"/>
    <w:unhideWhenUsed/>
    <w:qFormat/>
    <w:uiPriority w:val="9"/>
    <w:pPr>
      <w:keepNext/>
      <w:keepLines/>
      <w:spacing w:before="120" w:after="120" w:line="240" w:lineRule="auto"/>
      <w:outlineLvl w:val="1"/>
    </w:pPr>
    <w:rPr>
      <w:rFonts w:eastAsia="黑体" w:asciiTheme="majorHAnsi" w:hAnsiTheme="majorHAnsi" w:cstheme="majorBidi"/>
      <w:b/>
      <w:bCs/>
      <w:szCs w:val="32"/>
    </w:rPr>
  </w:style>
  <w:style w:type="paragraph" w:styleId="9">
    <w:name w:val="heading 3"/>
    <w:basedOn w:val="1"/>
    <w:next w:val="1"/>
    <w:link w:val="40"/>
    <w:unhideWhenUsed/>
    <w:qFormat/>
    <w:uiPriority w:val="9"/>
    <w:pPr>
      <w:keepNext/>
      <w:keepLines/>
      <w:outlineLvl w:val="2"/>
    </w:pPr>
    <w:rPr>
      <w:rFonts w:eastAsia="黑体"/>
      <w:bCs/>
      <w:szCs w:val="32"/>
    </w:rPr>
  </w:style>
  <w:style w:type="paragraph" w:styleId="10">
    <w:name w:val="heading 4"/>
    <w:basedOn w:val="1"/>
    <w:next w:val="1"/>
    <w:link w:val="41"/>
    <w:unhideWhenUsed/>
    <w:qFormat/>
    <w:uiPriority w:val="9"/>
    <w:pPr>
      <w:keepNext/>
      <w:keepLines/>
      <w:spacing w:beforeLines="50" w:line="240" w:lineRule="auto"/>
      <w:outlineLvl w:val="3"/>
    </w:pPr>
    <w:rPr>
      <w:rFonts w:cstheme="majorBidi"/>
      <w:b/>
      <w:bCs/>
      <w:szCs w:val="28"/>
    </w:rPr>
  </w:style>
  <w:style w:type="paragraph" w:styleId="11">
    <w:name w:val="heading 5"/>
    <w:basedOn w:val="1"/>
    <w:next w:val="1"/>
    <w:link w:val="44"/>
    <w:unhideWhenUsed/>
    <w:qFormat/>
    <w:uiPriority w:val="9"/>
    <w:pPr>
      <w:keepNext/>
      <w:keepLines/>
      <w:spacing w:before="280" w:after="290" w:line="376" w:lineRule="atLeast"/>
      <w:outlineLvl w:val="4"/>
    </w:pPr>
    <w:rPr>
      <w:b/>
      <w:bCs/>
      <w:sz w:val="28"/>
      <w:szCs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0"/>
    <w:pPr>
      <w:spacing w:after="120"/>
    </w:pPr>
  </w:style>
  <w:style w:type="paragraph" w:customStyle="1" w:styleId="3">
    <w:name w:val="页眉与页脚"/>
    <w:next w:val="4"/>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paragraph" w:styleId="4">
    <w:name w:val="annotation text"/>
    <w:basedOn w:val="1"/>
    <w:next w:val="5"/>
    <w:semiHidden/>
    <w:unhideWhenUsed/>
    <w:qFormat/>
    <w:uiPriority w:val="99"/>
    <w:pPr>
      <w:jc w:val="left"/>
    </w:pPr>
  </w:style>
  <w:style w:type="paragraph" w:styleId="5">
    <w:name w:val="footer"/>
    <w:basedOn w:val="1"/>
    <w:next w:val="6"/>
    <w:link w:val="35"/>
    <w:unhideWhenUsed/>
    <w:qFormat/>
    <w:uiPriority w:val="99"/>
    <w:pPr>
      <w:tabs>
        <w:tab w:val="center" w:pos="4153"/>
        <w:tab w:val="right" w:pos="8306"/>
      </w:tabs>
      <w:snapToGrid w:val="0"/>
      <w:jc w:val="left"/>
    </w:pPr>
    <w:rPr>
      <w:sz w:val="18"/>
      <w:szCs w:val="18"/>
    </w:rPr>
  </w:style>
  <w:style w:type="paragraph" w:styleId="6">
    <w:name w:val="Date"/>
    <w:basedOn w:val="1"/>
    <w:next w:val="1"/>
    <w:link w:val="37"/>
    <w:unhideWhenUsed/>
    <w:qFormat/>
    <w:uiPriority w:val="99"/>
    <w:pPr>
      <w:ind w:left="100" w:leftChars="2500"/>
    </w:pPr>
  </w:style>
  <w:style w:type="paragraph" w:styleId="12">
    <w:name w:val="Normal Indent"/>
    <w:basedOn w:val="1"/>
    <w:qFormat/>
    <w:uiPriority w:val="0"/>
    <w:pPr>
      <w:spacing w:line="480" w:lineRule="exact"/>
    </w:pPr>
    <w:rPr>
      <w:rFonts w:ascii="宋体" w:hAnsi="宋体" w:cs="宋体"/>
      <w:sz w:val="28"/>
      <w:szCs w:val="28"/>
    </w:rPr>
  </w:style>
  <w:style w:type="paragraph" w:styleId="13">
    <w:name w:val="Document Map"/>
    <w:basedOn w:val="1"/>
    <w:link w:val="59"/>
    <w:semiHidden/>
    <w:unhideWhenUsed/>
    <w:qFormat/>
    <w:uiPriority w:val="99"/>
    <w:rPr>
      <w:rFonts w:ascii="宋体" w:eastAsia="宋体"/>
      <w:sz w:val="18"/>
      <w:szCs w:val="18"/>
    </w:rPr>
  </w:style>
  <w:style w:type="paragraph" w:styleId="14">
    <w:name w:val="Body Text Indent"/>
    <w:basedOn w:val="1"/>
    <w:link w:val="49"/>
    <w:semiHidden/>
    <w:unhideWhenUsed/>
    <w:qFormat/>
    <w:uiPriority w:val="99"/>
    <w:pPr>
      <w:spacing w:after="120"/>
      <w:ind w:left="420" w:leftChars="200"/>
    </w:pPr>
  </w:style>
  <w:style w:type="paragraph" w:styleId="15">
    <w:name w:val="toc 3"/>
    <w:basedOn w:val="1"/>
    <w:next w:val="1"/>
    <w:unhideWhenUsed/>
    <w:qFormat/>
    <w:uiPriority w:val="39"/>
    <w:pPr>
      <w:ind w:left="840" w:leftChars="400"/>
    </w:pPr>
  </w:style>
  <w:style w:type="paragraph" w:styleId="16">
    <w:name w:val="Plain Text"/>
    <w:basedOn w:val="1"/>
    <w:link w:val="55"/>
    <w:semiHidden/>
    <w:unhideWhenUsed/>
    <w:qFormat/>
    <w:uiPriority w:val="99"/>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styleId="17">
    <w:name w:val="Body Text Indent 2"/>
    <w:basedOn w:val="1"/>
    <w:unhideWhenUsed/>
    <w:qFormat/>
    <w:uiPriority w:val="0"/>
    <w:pPr>
      <w:widowControl/>
      <w:spacing w:after="120" w:line="480" w:lineRule="auto"/>
      <w:ind w:left="420" w:leftChars="200"/>
      <w:jc w:val="left"/>
    </w:pPr>
    <w:rPr>
      <w:rFonts w:ascii="宋体" w:hAnsi="宋体"/>
      <w:kern w:val="0"/>
      <w:sz w:val="24"/>
      <w:szCs w:val="24"/>
    </w:rPr>
  </w:style>
  <w:style w:type="paragraph" w:styleId="18">
    <w:name w:val="Balloon Text"/>
    <w:basedOn w:val="1"/>
    <w:link w:val="43"/>
    <w:semiHidden/>
    <w:unhideWhenUsed/>
    <w:qFormat/>
    <w:uiPriority w:val="99"/>
    <w:pPr>
      <w:spacing w:line="240" w:lineRule="auto"/>
    </w:pPr>
    <w:rPr>
      <w:sz w:val="18"/>
      <w:szCs w:val="18"/>
    </w:rPr>
  </w:style>
  <w:style w:type="paragraph" w:styleId="19">
    <w:name w:val="header"/>
    <w:basedOn w:val="1"/>
    <w:link w:val="34"/>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tabs>
        <w:tab w:val="right" w:leader="dot" w:pos="8296"/>
      </w:tabs>
      <w:spacing w:line="240" w:lineRule="auto"/>
      <w:ind w:left="160" w:leftChars="50" w:firstLine="0" w:firstLineChars="0"/>
    </w:pPr>
    <w:rPr>
      <w:b/>
    </w:rPr>
  </w:style>
  <w:style w:type="paragraph" w:styleId="21">
    <w:name w:val="toc 2"/>
    <w:basedOn w:val="1"/>
    <w:next w:val="1"/>
    <w:unhideWhenUsed/>
    <w:qFormat/>
    <w:uiPriority w:val="39"/>
    <w:pPr>
      <w:spacing w:line="240" w:lineRule="auto"/>
      <w:ind w:left="420" w:leftChars="200"/>
    </w:pPr>
  </w:style>
  <w:style w:type="paragraph" w:styleId="22">
    <w:name w:val="HTML Preformatted"/>
    <w:basedOn w:val="1"/>
    <w:link w:val="47"/>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pPr>
    <w:rPr>
      <w:rFonts w:ascii="宋体" w:hAnsi="宋体" w:eastAsia="宋体" w:cs="宋体"/>
      <w:kern w:val="0"/>
      <w:sz w:val="24"/>
      <w:szCs w:val="24"/>
    </w:rPr>
  </w:style>
  <w:style w:type="paragraph" w:styleId="23">
    <w:name w:val="Normal (Web)"/>
    <w:basedOn w:val="1"/>
    <w:unhideWhenUsed/>
    <w:qFormat/>
    <w:uiPriority w:val="99"/>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styleId="24">
    <w:name w:val="Title"/>
    <w:basedOn w:val="1"/>
    <w:next w:val="1"/>
    <w:link w:val="36"/>
    <w:qFormat/>
    <w:uiPriority w:val="0"/>
    <w:pPr>
      <w:spacing w:before="240" w:after="60"/>
      <w:jc w:val="center"/>
      <w:outlineLvl w:val="0"/>
    </w:pPr>
    <w:rPr>
      <w:rFonts w:asciiTheme="majorHAnsi" w:hAnsiTheme="majorHAnsi" w:eastAsiaTheme="majorEastAsia" w:cstheme="majorBidi"/>
      <w:b/>
      <w:bCs/>
      <w:szCs w:val="32"/>
    </w:rPr>
  </w:style>
  <w:style w:type="paragraph" w:styleId="25">
    <w:name w:val="Body Text First Indent 2"/>
    <w:basedOn w:val="14"/>
    <w:next w:val="26"/>
    <w:link w:val="51"/>
    <w:qFormat/>
    <w:uiPriority w:val="0"/>
    <w:pPr>
      <w:adjustRightInd w:val="0"/>
      <w:snapToGrid w:val="0"/>
      <w:spacing w:line="360" w:lineRule="auto"/>
    </w:pPr>
    <w:rPr>
      <w:rFonts w:eastAsia="宋体" w:cs="Times New Roman"/>
      <w:sz w:val="24"/>
    </w:rPr>
  </w:style>
  <w:style w:type="paragraph" w:customStyle="1" w:styleId="26">
    <w:name w:val="正文1"/>
    <w:basedOn w:val="1"/>
    <w:qFormat/>
    <w:uiPriority w:val="0"/>
    <w:pPr>
      <w:spacing w:line="360" w:lineRule="auto"/>
      <w:ind w:firstLine="480"/>
      <w:jc w:val="left"/>
    </w:pPr>
    <w:rPr>
      <w:kern w:val="0"/>
      <w:sz w:val="24"/>
      <w:szCs w:val="24"/>
    </w:rPr>
  </w:style>
  <w:style w:type="table" w:styleId="28">
    <w:name w:val="Table Grid"/>
    <w:basedOn w:val="2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qFormat/>
    <w:uiPriority w:val="22"/>
    <w:rPr>
      <w:bCs/>
    </w:rPr>
  </w:style>
  <w:style w:type="character" w:styleId="31">
    <w:name w:val="Hyperlink"/>
    <w:basedOn w:val="29"/>
    <w:unhideWhenUsed/>
    <w:qFormat/>
    <w:uiPriority w:val="99"/>
    <w:rPr>
      <w:color w:val="0563C1" w:themeColor="hyperlink"/>
      <w:u w:val="single"/>
    </w:rPr>
  </w:style>
  <w:style w:type="paragraph" w:customStyle="1" w:styleId="32">
    <w:name w:val="Char1"/>
    <w:basedOn w:val="1"/>
    <w:qFormat/>
    <w:uiPriority w:val="0"/>
    <w:pPr>
      <w:widowControl/>
      <w:spacing w:after="160" w:line="240" w:lineRule="exact"/>
      <w:ind w:firstLine="0" w:firstLineChars="0"/>
      <w:jc w:val="left"/>
    </w:pPr>
    <w:rPr>
      <w:rFonts w:ascii="Arial" w:hAnsi="Arial" w:eastAsia="Times New Roman" w:cs="Verdana"/>
      <w:b/>
      <w:kern w:val="0"/>
      <w:sz w:val="24"/>
      <w:szCs w:val="24"/>
      <w:lang w:eastAsia="en-US"/>
    </w:rPr>
  </w:style>
  <w:style w:type="character" w:customStyle="1" w:styleId="33">
    <w:name w:val="正文首行缩进 2 Char"/>
    <w:qFormat/>
    <w:uiPriority w:val="0"/>
    <w:rPr>
      <w:rFonts w:ascii="Times New Roman" w:hAnsi="Times New Roman"/>
      <w:sz w:val="24"/>
      <w:lang w:bidi="ar-SA"/>
    </w:rPr>
  </w:style>
  <w:style w:type="character" w:customStyle="1" w:styleId="34">
    <w:name w:val="页眉 Char1"/>
    <w:basedOn w:val="29"/>
    <w:link w:val="19"/>
    <w:qFormat/>
    <w:uiPriority w:val="99"/>
    <w:rPr>
      <w:sz w:val="18"/>
      <w:szCs w:val="18"/>
    </w:rPr>
  </w:style>
  <w:style w:type="character" w:customStyle="1" w:styleId="35">
    <w:name w:val="页脚 Char1"/>
    <w:basedOn w:val="29"/>
    <w:link w:val="5"/>
    <w:qFormat/>
    <w:uiPriority w:val="99"/>
    <w:rPr>
      <w:sz w:val="18"/>
      <w:szCs w:val="18"/>
    </w:rPr>
  </w:style>
  <w:style w:type="character" w:customStyle="1" w:styleId="36">
    <w:name w:val="标题 Char1"/>
    <w:basedOn w:val="29"/>
    <w:link w:val="24"/>
    <w:qFormat/>
    <w:uiPriority w:val="10"/>
    <w:rPr>
      <w:rFonts w:asciiTheme="majorHAnsi" w:hAnsiTheme="majorHAnsi" w:eastAsiaTheme="majorEastAsia" w:cstheme="majorBidi"/>
      <w:bCs/>
      <w:sz w:val="32"/>
      <w:szCs w:val="32"/>
    </w:rPr>
  </w:style>
  <w:style w:type="character" w:customStyle="1" w:styleId="37">
    <w:name w:val="日期 Char"/>
    <w:basedOn w:val="29"/>
    <w:link w:val="6"/>
    <w:semiHidden/>
    <w:qFormat/>
    <w:uiPriority w:val="99"/>
  </w:style>
  <w:style w:type="character" w:customStyle="1" w:styleId="38">
    <w:name w:val="标题 1 Char"/>
    <w:basedOn w:val="29"/>
    <w:link w:val="7"/>
    <w:qFormat/>
    <w:uiPriority w:val="9"/>
    <w:rPr>
      <w:rFonts w:ascii="Times New Roman" w:hAnsi="Times New Roman" w:eastAsia="黑体"/>
      <w:bCs/>
      <w:kern w:val="44"/>
      <w:sz w:val="44"/>
      <w:szCs w:val="44"/>
    </w:rPr>
  </w:style>
  <w:style w:type="character" w:customStyle="1" w:styleId="39">
    <w:name w:val="标题 2 Char"/>
    <w:basedOn w:val="29"/>
    <w:link w:val="8"/>
    <w:qFormat/>
    <w:uiPriority w:val="9"/>
    <w:rPr>
      <w:rFonts w:eastAsia="黑体" w:asciiTheme="majorHAnsi" w:hAnsiTheme="majorHAnsi" w:cstheme="majorBidi"/>
      <w:bCs/>
      <w:sz w:val="32"/>
      <w:szCs w:val="32"/>
    </w:rPr>
  </w:style>
  <w:style w:type="character" w:customStyle="1" w:styleId="40">
    <w:name w:val="标题 3 Char"/>
    <w:basedOn w:val="29"/>
    <w:link w:val="9"/>
    <w:qFormat/>
    <w:uiPriority w:val="9"/>
    <w:rPr>
      <w:rFonts w:ascii="Times New Roman" w:hAnsi="Times New Roman" w:eastAsia="黑体"/>
      <w:bCs/>
      <w:kern w:val="2"/>
      <w:sz w:val="32"/>
      <w:szCs w:val="32"/>
    </w:rPr>
  </w:style>
  <w:style w:type="character" w:customStyle="1" w:styleId="41">
    <w:name w:val="标题 4 Char"/>
    <w:basedOn w:val="29"/>
    <w:link w:val="10"/>
    <w:qFormat/>
    <w:uiPriority w:val="9"/>
    <w:rPr>
      <w:rFonts w:ascii="Times New Roman" w:hAnsi="Times New Roman" w:eastAsia="方正仿宋_GBK" w:cstheme="majorBidi"/>
      <w:bCs/>
      <w:kern w:val="2"/>
      <w:sz w:val="32"/>
      <w:szCs w:val="28"/>
    </w:rPr>
  </w:style>
  <w:style w:type="character" w:customStyle="1" w:styleId="42">
    <w:name w:val="标题 Char"/>
    <w:basedOn w:val="29"/>
    <w:qFormat/>
    <w:uiPriority w:val="0"/>
    <w:rPr>
      <w:rFonts w:ascii="Cambria" w:hAnsi="Cambria" w:cs="Times New Roman"/>
      <w:bCs/>
      <w:kern w:val="2"/>
      <w:sz w:val="32"/>
      <w:szCs w:val="32"/>
    </w:rPr>
  </w:style>
  <w:style w:type="character" w:customStyle="1" w:styleId="43">
    <w:name w:val="批注框文本 Char"/>
    <w:basedOn w:val="29"/>
    <w:link w:val="18"/>
    <w:semiHidden/>
    <w:qFormat/>
    <w:uiPriority w:val="99"/>
    <w:rPr>
      <w:rFonts w:ascii="Times New Roman" w:hAnsi="Times New Roman" w:eastAsia="方正仿宋_GBK"/>
      <w:kern w:val="2"/>
      <w:sz w:val="18"/>
      <w:szCs w:val="18"/>
    </w:rPr>
  </w:style>
  <w:style w:type="character" w:customStyle="1" w:styleId="44">
    <w:name w:val="标题 5 Char"/>
    <w:basedOn w:val="29"/>
    <w:link w:val="11"/>
    <w:qFormat/>
    <w:uiPriority w:val="9"/>
    <w:rPr>
      <w:rFonts w:ascii="Times New Roman" w:hAnsi="Times New Roman" w:eastAsia="方正仿宋_GBK"/>
      <w:bCs/>
      <w:kern w:val="2"/>
      <w:sz w:val="28"/>
      <w:szCs w:val="28"/>
    </w:rPr>
  </w:style>
  <w:style w:type="character" w:customStyle="1" w:styleId="45">
    <w:name w:val="apple-converted-space"/>
    <w:basedOn w:val="29"/>
    <w:qFormat/>
    <w:uiPriority w:val="0"/>
  </w:style>
  <w:style w:type="paragraph" w:customStyle="1" w:styleId="46">
    <w:name w:val="Char11"/>
    <w:basedOn w:val="1"/>
    <w:qFormat/>
    <w:uiPriority w:val="0"/>
    <w:pPr>
      <w:widowControl/>
      <w:spacing w:after="160" w:line="240" w:lineRule="exact"/>
      <w:ind w:firstLine="0" w:firstLineChars="0"/>
      <w:jc w:val="left"/>
    </w:pPr>
    <w:rPr>
      <w:rFonts w:ascii="Arial" w:hAnsi="Arial" w:eastAsia="Times New Roman" w:cs="Verdana"/>
      <w:b/>
      <w:kern w:val="0"/>
      <w:sz w:val="24"/>
      <w:szCs w:val="24"/>
      <w:lang w:eastAsia="en-US"/>
    </w:rPr>
  </w:style>
  <w:style w:type="character" w:customStyle="1" w:styleId="47">
    <w:name w:val="HTML 预设格式 Char"/>
    <w:basedOn w:val="29"/>
    <w:link w:val="22"/>
    <w:semiHidden/>
    <w:qFormat/>
    <w:uiPriority w:val="99"/>
    <w:rPr>
      <w:rFonts w:ascii="宋体" w:hAnsi="宋体" w:eastAsia="宋体" w:cs="宋体"/>
      <w:sz w:val="24"/>
      <w:szCs w:val="24"/>
    </w:rPr>
  </w:style>
  <w:style w:type="paragraph" w:customStyle="1" w:styleId="48">
    <w:name w:val="trs_editor"/>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character" w:customStyle="1" w:styleId="49">
    <w:name w:val="正文文本缩进 Char"/>
    <w:basedOn w:val="29"/>
    <w:link w:val="14"/>
    <w:semiHidden/>
    <w:qFormat/>
    <w:uiPriority w:val="99"/>
    <w:rPr>
      <w:rFonts w:ascii="Times New Roman" w:hAnsi="Times New Roman" w:eastAsia="方正仿宋_GBK"/>
      <w:kern w:val="2"/>
      <w:sz w:val="32"/>
      <w:szCs w:val="22"/>
    </w:rPr>
  </w:style>
  <w:style w:type="character" w:customStyle="1" w:styleId="50">
    <w:name w:val="正文首行缩进 2 字符"/>
    <w:basedOn w:val="49"/>
    <w:semiHidden/>
    <w:qFormat/>
    <w:uiPriority w:val="99"/>
    <w:rPr>
      <w:rFonts w:ascii="Times New Roman" w:hAnsi="Times New Roman" w:eastAsia="方正仿宋_GBK"/>
      <w:kern w:val="2"/>
      <w:sz w:val="32"/>
      <w:szCs w:val="22"/>
    </w:rPr>
  </w:style>
  <w:style w:type="character" w:customStyle="1" w:styleId="51">
    <w:name w:val="正文首行缩进 2 Char1"/>
    <w:link w:val="25"/>
    <w:qFormat/>
    <w:uiPriority w:val="0"/>
    <w:rPr>
      <w:rFonts w:ascii="Times New Roman" w:hAnsi="Times New Roman" w:eastAsia="宋体" w:cs="Times New Roman"/>
      <w:sz w:val="24"/>
    </w:rPr>
  </w:style>
  <w:style w:type="paragraph" w:styleId="52">
    <w:name w:val="List Paragraph"/>
    <w:basedOn w:val="1"/>
    <w:qFormat/>
    <w:uiPriority w:val="34"/>
    <w:pPr>
      <w:ind w:firstLine="420"/>
    </w:pPr>
  </w:style>
  <w:style w:type="table" w:customStyle="1" w:styleId="53">
    <w:name w:val="网格型1"/>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4">
    <w:name w:val="Default"/>
    <w:qFormat/>
    <w:uiPriority w:val="0"/>
    <w:pPr>
      <w:widowControl w:val="0"/>
      <w:autoSpaceDE w:val="0"/>
      <w:autoSpaceDN w:val="0"/>
      <w:adjustRightInd w:val="0"/>
    </w:pPr>
    <w:rPr>
      <w:rFonts w:ascii="仿宋" w:eastAsia="仿宋" w:cs="仿宋" w:hAnsiTheme="minorHAnsi"/>
      <w:color w:val="000000"/>
      <w:sz w:val="24"/>
      <w:szCs w:val="24"/>
      <w:lang w:val="en-US" w:eastAsia="zh-CN" w:bidi="ar-SA"/>
    </w:rPr>
  </w:style>
  <w:style w:type="character" w:customStyle="1" w:styleId="55">
    <w:name w:val="纯文本 Char"/>
    <w:basedOn w:val="29"/>
    <w:link w:val="16"/>
    <w:semiHidden/>
    <w:qFormat/>
    <w:uiPriority w:val="99"/>
    <w:rPr>
      <w:rFonts w:ascii="宋体" w:hAnsi="宋体" w:eastAsia="宋体" w:cs="宋体"/>
      <w:sz w:val="24"/>
      <w:szCs w:val="24"/>
    </w:rPr>
  </w:style>
  <w:style w:type="character" w:customStyle="1" w:styleId="56">
    <w:name w:val="paragraph_title"/>
    <w:basedOn w:val="29"/>
    <w:qFormat/>
    <w:uiPriority w:val="0"/>
  </w:style>
  <w:style w:type="paragraph" w:customStyle="1" w:styleId="57">
    <w:name w:val="ident-first-line"/>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character" w:customStyle="1" w:styleId="58">
    <w:name w:val="xref"/>
    <w:basedOn w:val="29"/>
    <w:qFormat/>
    <w:uiPriority w:val="0"/>
  </w:style>
  <w:style w:type="character" w:customStyle="1" w:styleId="59">
    <w:name w:val="文档结构图 Char"/>
    <w:basedOn w:val="29"/>
    <w:link w:val="13"/>
    <w:semiHidden/>
    <w:qFormat/>
    <w:uiPriority w:val="99"/>
    <w:rPr>
      <w:rFonts w:ascii="宋体" w:hAnsi="Times New Roman" w:eastAsia="宋体"/>
      <w:kern w:val="2"/>
      <w:sz w:val="18"/>
      <w:szCs w:val="18"/>
    </w:rPr>
  </w:style>
  <w:style w:type="character" w:customStyle="1" w:styleId="60">
    <w:name w:val="页眉 Char"/>
    <w:qFormat/>
    <w:uiPriority w:val="99"/>
    <w:rPr>
      <w:rFonts w:ascii="Times New Roman" w:hAnsi="Times New Roman" w:eastAsia="宋体"/>
      <w:sz w:val="18"/>
      <w:szCs w:val="18"/>
    </w:rPr>
  </w:style>
  <w:style w:type="character" w:customStyle="1" w:styleId="61">
    <w:name w:val="页脚 Char"/>
    <w:qFormat/>
    <w:uiPriority w:val="99"/>
    <w:rPr>
      <w:rFonts w:ascii="Times New Roman" w:hAnsi="Times New Roman" w:eastAsia="宋体"/>
      <w:sz w:val="18"/>
      <w:szCs w:val="18"/>
    </w:rPr>
  </w:style>
  <w:style w:type="character" w:customStyle="1" w:styleId="62">
    <w:name w:val="html-tag"/>
    <w:basedOn w:val="29"/>
    <w:qFormat/>
    <w:uiPriority w:val="0"/>
  </w:style>
  <w:style w:type="paragraph" w:customStyle="1" w:styleId="63">
    <w:name w:val="11标题"/>
    <w:basedOn w:val="7"/>
    <w:qFormat/>
    <w:uiPriority w:val="0"/>
    <w:pPr>
      <w:adjustRightInd w:val="0"/>
      <w:spacing w:before="0" w:after="0"/>
      <w:ind w:firstLine="0" w:firstLineChars="0"/>
      <w:jc w:val="center"/>
      <w:textAlignment w:val="baseline"/>
    </w:pPr>
    <w:rPr>
      <w:b w:val="0"/>
      <w:bCs w:val="0"/>
      <w:sz w:val="32"/>
      <w:szCs w:val="20"/>
    </w:rPr>
  </w:style>
  <w:style w:type="character" w:customStyle="1" w:styleId="64">
    <w:name w:val="font01"/>
    <w:basedOn w:val="29"/>
    <w:qFormat/>
    <w:uiPriority w:val="0"/>
    <w:rPr>
      <w:rFonts w:hint="eastAsia" w:ascii="宋体" w:hAnsi="宋体" w:eastAsia="宋体" w:cs="宋体"/>
      <w:color w:val="000000"/>
      <w:sz w:val="24"/>
      <w:szCs w:val="24"/>
      <w:u w:val="none"/>
    </w:rPr>
  </w:style>
  <w:style w:type="character" w:customStyle="1" w:styleId="65">
    <w:name w:val="font31"/>
    <w:basedOn w:val="29"/>
    <w:qFormat/>
    <w:uiPriority w:val="0"/>
    <w:rPr>
      <w:rFonts w:hint="default" w:ascii="Times New Roman" w:hAnsi="Times New Roman" w:cs="Times New Roman"/>
      <w:color w:val="000000"/>
      <w:sz w:val="24"/>
      <w:szCs w:val="24"/>
      <w:u w:val="none"/>
    </w:rPr>
  </w:style>
  <w:style w:type="character" w:customStyle="1" w:styleId="66">
    <w:name w:val="font41"/>
    <w:basedOn w:val="29"/>
    <w:qFormat/>
    <w:uiPriority w:val="0"/>
    <w:rPr>
      <w:rFonts w:hint="eastAsia" w:ascii="宋体" w:hAnsi="宋体" w:eastAsia="宋体" w:cs="宋体"/>
      <w:color w:val="000000"/>
      <w:sz w:val="24"/>
      <w:szCs w:val="24"/>
      <w:u w:val="none"/>
    </w:rPr>
  </w:style>
  <w:style w:type="character" w:customStyle="1" w:styleId="67">
    <w:name w:val="font71"/>
    <w:basedOn w:val="29"/>
    <w:qFormat/>
    <w:uiPriority w:val="0"/>
    <w:rPr>
      <w:rFonts w:hint="default" w:ascii="Times New Roman" w:hAnsi="Times New Roman" w:cs="Times New Roman"/>
      <w:color w:val="000000"/>
      <w:sz w:val="24"/>
      <w:szCs w:val="24"/>
      <w:u w:val="none"/>
    </w:rPr>
  </w:style>
  <w:style w:type="character" w:customStyle="1" w:styleId="68">
    <w:name w:val="font112"/>
    <w:basedOn w:val="29"/>
    <w:qFormat/>
    <w:uiPriority w:val="0"/>
    <w:rPr>
      <w:rFonts w:hint="eastAsia" w:ascii="宋体" w:hAnsi="宋体" w:eastAsia="宋体" w:cs="宋体"/>
      <w:color w:val="FF0000"/>
      <w:sz w:val="24"/>
      <w:szCs w:val="24"/>
      <w:u w:val="none"/>
    </w:rPr>
  </w:style>
  <w:style w:type="character" w:customStyle="1" w:styleId="69">
    <w:name w:val="font91"/>
    <w:basedOn w:val="29"/>
    <w:qFormat/>
    <w:uiPriority w:val="0"/>
    <w:rPr>
      <w:rFonts w:hint="eastAsia" w:ascii="宋体" w:hAnsi="宋体" w:eastAsia="宋体" w:cs="宋体"/>
      <w:color w:val="000000"/>
      <w:sz w:val="24"/>
      <w:szCs w:val="24"/>
      <w:u w:val="none"/>
    </w:rPr>
  </w:style>
  <w:style w:type="character" w:customStyle="1" w:styleId="70">
    <w:name w:val="font121"/>
    <w:basedOn w:val="29"/>
    <w:qFormat/>
    <w:uiPriority w:val="0"/>
    <w:rPr>
      <w:rFonts w:hint="default" w:ascii="Times New Roman" w:hAnsi="Times New Roman" w:cs="Times New Roman"/>
      <w:color w:val="000000"/>
      <w:sz w:val="24"/>
      <w:szCs w:val="24"/>
      <w:u w:val="none"/>
    </w:rPr>
  </w:style>
  <w:style w:type="character" w:customStyle="1" w:styleId="71">
    <w:name w:val="font131"/>
    <w:basedOn w:val="29"/>
    <w:qFormat/>
    <w:uiPriority w:val="0"/>
    <w:rPr>
      <w:rFonts w:hint="eastAsia" w:ascii="宋体" w:hAnsi="宋体" w:eastAsia="宋体" w:cs="宋体"/>
      <w:color w:val="000000"/>
      <w:sz w:val="24"/>
      <w:szCs w:val="24"/>
      <w:u w:val="none"/>
    </w:rPr>
  </w:style>
  <w:style w:type="character" w:customStyle="1" w:styleId="72">
    <w:name w:val="font141"/>
    <w:basedOn w:val="29"/>
    <w:qFormat/>
    <w:uiPriority w:val="0"/>
    <w:rPr>
      <w:rFonts w:hint="default" w:ascii="Times New Roman" w:hAnsi="Times New Roman" w:cs="Times New Roman"/>
      <w:color w:val="000000"/>
      <w:sz w:val="24"/>
      <w:szCs w:val="24"/>
      <w:u w:val="none"/>
    </w:rPr>
  </w:style>
  <w:style w:type="character" w:customStyle="1" w:styleId="73">
    <w:name w:val="font151"/>
    <w:basedOn w:val="29"/>
    <w:qFormat/>
    <w:uiPriority w:val="0"/>
    <w:rPr>
      <w:rFonts w:hint="eastAsia" w:ascii="宋体" w:hAnsi="宋体" w:eastAsia="宋体" w:cs="宋体"/>
      <w:color w:val="000000"/>
      <w:sz w:val="24"/>
      <w:szCs w:val="24"/>
      <w:u w:val="none"/>
    </w:rPr>
  </w:style>
  <w:style w:type="character" w:customStyle="1" w:styleId="74">
    <w:name w:val="font51"/>
    <w:basedOn w:val="29"/>
    <w:qFormat/>
    <w:uiPriority w:val="0"/>
    <w:rPr>
      <w:rFonts w:hint="eastAsia" w:ascii="宋体" w:hAnsi="宋体" w:eastAsia="宋体" w:cs="宋体"/>
      <w:color w:val="000000"/>
      <w:sz w:val="24"/>
      <w:szCs w:val="24"/>
      <w:u w:val="none"/>
    </w:rPr>
  </w:style>
  <w:style w:type="character" w:customStyle="1" w:styleId="75">
    <w:name w:val="font61"/>
    <w:basedOn w:val="29"/>
    <w:qFormat/>
    <w:uiPriority w:val="0"/>
    <w:rPr>
      <w:rFonts w:hint="eastAsia" w:ascii="宋体" w:hAnsi="宋体" w:eastAsia="宋体" w:cs="宋体"/>
      <w:color w:val="000000"/>
      <w:sz w:val="24"/>
      <w:szCs w:val="24"/>
      <w:u w:val="none"/>
    </w:rPr>
  </w:style>
  <w:style w:type="paragraph" w:customStyle="1" w:styleId="76">
    <w:name w:val="表内文字"/>
    <w:basedOn w:val="1"/>
    <w:qFormat/>
    <w:uiPriority w:val="0"/>
    <w:pPr>
      <w:spacing w:line="240" w:lineRule="auto"/>
      <w:ind w:firstLine="0" w:firstLineChars="0"/>
      <w:jc w:val="center"/>
    </w:pPr>
    <w:rPr>
      <w:sz w:val="24"/>
      <w:szCs w:val="20"/>
    </w:rPr>
  </w:style>
  <w:style w:type="paragraph" w:customStyle="1" w:styleId="77">
    <w:name w:val="报告正文"/>
    <w:qFormat/>
    <w:uiPriority w:val="0"/>
    <w:pPr>
      <w:tabs>
        <w:tab w:val="left" w:pos="1350"/>
      </w:tabs>
      <w:spacing w:line="600" w:lineRule="exact"/>
      <w:ind w:firstLine="640" w:firstLineChars="200"/>
      <w:jc w:val="both"/>
    </w:pPr>
    <w:rPr>
      <w:rFonts w:ascii="仿宋_GB2312" w:hAnsi="Times New Roman" w:eastAsia="仿宋_GB2312" w:cs="Times New Roman"/>
      <w:kern w:val="2"/>
      <w:sz w:val="32"/>
      <w:szCs w:val="32"/>
      <w:lang w:val="en-US" w:eastAsia="zh-CN" w:bidi="ar-SA"/>
    </w:rPr>
  </w:style>
  <w:style w:type="character" w:customStyle="1" w:styleId="78">
    <w:name w:val="font81"/>
    <w:qFormat/>
    <w:uiPriority w:val="0"/>
    <w:rPr>
      <w:rFonts w:hint="default" w:ascii="Times New Roman" w:hAnsi="Times New Roman" w:eastAsia="Times New Roman" w:cs="Times New Roman"/>
      <w:b/>
      <w:color w:val="000000"/>
      <w:kern w:val="0"/>
      <w:sz w:val="28"/>
      <w:szCs w:val="28"/>
      <w:u w:val="none"/>
      <w:lang w:eastAsia="en-US"/>
    </w:rPr>
  </w:style>
  <w:style w:type="character" w:customStyle="1" w:styleId="79">
    <w:name w:val="font11"/>
    <w:basedOn w:val="29"/>
    <w:qFormat/>
    <w:uiPriority w:val="0"/>
    <w:rPr>
      <w:rFonts w:hint="eastAsia" w:ascii="宋体" w:hAnsi="宋体" w:eastAsia="宋体" w:cs="宋体"/>
      <w:i/>
      <w:color w:val="000000"/>
      <w:sz w:val="24"/>
      <w:szCs w:val="24"/>
      <w:u w:val="none"/>
    </w:rPr>
  </w:style>
  <w:style w:type="character" w:customStyle="1" w:styleId="80">
    <w:name w:val="font22"/>
    <w:basedOn w:val="29"/>
    <w:qFormat/>
    <w:uiPriority w:val="0"/>
    <w:rPr>
      <w:rFonts w:hint="default" w:ascii="Times New Roman" w:hAnsi="Times New Roman" w:cs="Times New Roman"/>
      <w:color w:val="000000"/>
      <w:sz w:val="24"/>
      <w:szCs w:val="24"/>
      <w:u w:val="none"/>
    </w:rPr>
  </w:style>
  <w:style w:type="character" w:customStyle="1" w:styleId="81">
    <w:name w:val="font161"/>
    <w:basedOn w:val="29"/>
    <w:qFormat/>
    <w:uiPriority w:val="0"/>
    <w:rPr>
      <w:rFonts w:hint="eastAsia" w:ascii="宋体" w:hAnsi="宋体" w:eastAsia="宋体" w:cs="宋体"/>
      <w:color w:val="000000"/>
      <w:sz w:val="24"/>
      <w:szCs w:val="24"/>
      <w:u w:val="none"/>
    </w:rPr>
  </w:style>
  <w:style w:type="character" w:customStyle="1" w:styleId="82">
    <w:name w:val="font171"/>
    <w:basedOn w:val="29"/>
    <w:qFormat/>
    <w:uiPriority w:val="0"/>
    <w:rPr>
      <w:rFonts w:hint="default" w:ascii="Times New Roman" w:hAnsi="Times New Roman" w:cs="Times New Roman"/>
      <w:color w:val="000000"/>
      <w:sz w:val="24"/>
      <w:szCs w:val="24"/>
      <w:u w:val="none"/>
    </w:rPr>
  </w:style>
  <w:style w:type="character" w:customStyle="1" w:styleId="83">
    <w:name w:val="font211"/>
    <w:basedOn w:val="29"/>
    <w:qFormat/>
    <w:uiPriority w:val="0"/>
    <w:rPr>
      <w:rFonts w:hint="default" w:ascii="Times New Roman" w:hAnsi="Times New Roman" w:cs="Times New Roman"/>
      <w:color w:val="000000"/>
      <w:sz w:val="24"/>
      <w:szCs w:val="24"/>
      <w:u w:val="none"/>
      <w:vertAlign w:val="superscript"/>
    </w:rPr>
  </w:style>
  <w:style w:type="character" w:customStyle="1" w:styleId="84">
    <w:name w:val="font181"/>
    <w:basedOn w:val="29"/>
    <w:qFormat/>
    <w:uiPriority w:val="0"/>
    <w:rPr>
      <w:rFonts w:hint="default" w:ascii="Times New Roman" w:hAnsi="Times New Roman" w:cs="Times New Roman"/>
      <w:color w:val="000000"/>
      <w:sz w:val="24"/>
      <w:szCs w:val="24"/>
      <w:u w:val="none"/>
    </w:rPr>
  </w:style>
  <w:style w:type="character" w:customStyle="1" w:styleId="85">
    <w:name w:val="fontstyle01"/>
    <w:basedOn w:val="29"/>
    <w:qFormat/>
    <w:uiPriority w:val="0"/>
    <w:rPr>
      <w:rFonts w:ascii="黑体" w:hAnsi="宋体" w:eastAsia="黑体" w:cs="黑体"/>
      <w:color w:val="000000"/>
      <w:kern w:val="0"/>
      <w:sz w:val="32"/>
      <w:szCs w:val="32"/>
      <w:lang w:eastAsia="en-US"/>
    </w:rPr>
  </w:style>
  <w:style w:type="character" w:customStyle="1" w:styleId="86">
    <w:name w:val="font21"/>
    <w:basedOn w:val="29"/>
    <w:qFormat/>
    <w:uiPriority w:val="0"/>
    <w:rPr>
      <w:rFonts w:hint="eastAsia" w:ascii="仿宋_GB2312" w:eastAsia="仿宋_GB2312" w:cs="仿宋_GB2312"/>
      <w:color w:val="00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header" Target="header6.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5.xml"/><Relationship Id="rId14" Type="http://schemas.openxmlformats.org/officeDocument/2006/relationships/header" Target="header4.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Info spid="_x0000_s1030"/>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117</Pages>
  <Words>781</Words>
  <Characters>797</Characters>
  <Lines>561</Lines>
  <Paragraphs>158</Paragraphs>
  <TotalTime>39</TotalTime>
  <ScaleCrop>false</ScaleCrop>
  <LinksUpToDate>false</LinksUpToDate>
  <CharactersWithSpaces>1033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2020-03-11T01:17:00Z</dcterms:created>
  <dc:creator>生态示范审核用户</dc:creator>
  <cp:lastModifiedBy>Rancho</cp:lastModifiedBy>
  <cp:lastPrinted>2023-11-06T03:21:00Z</cp:lastPrinted>
  <dcterms:modified xsi:type="dcterms:W3CDTF">2024-12-26T08:39:13Z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F922E22D92664042A1AAAA4514EE6D9A</vt:lpwstr>
  </property>
</Properties>
</file>