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bCs/>
          <w:sz w:val="44"/>
          <w:szCs w:val="44"/>
        </w:rPr>
      </w:pPr>
    </w:p>
    <w:p>
      <w:pPr>
        <w:ind w:firstLine="862" w:firstLineChars="196"/>
        <w:rPr>
          <w:rFonts w:ascii="仿宋_GB2312" w:hAnsi="宋体" w:eastAsia="仿宋_GB2312"/>
          <w:bCs/>
          <w:sz w:val="44"/>
          <w:szCs w:val="44"/>
        </w:rPr>
      </w:pPr>
    </w:p>
    <w:p>
      <w:pPr>
        <w:ind w:firstLine="862" w:firstLineChars="196"/>
        <w:rPr>
          <w:rFonts w:ascii="仿宋_GB2312" w:hAnsi="宋体" w:eastAsia="仿宋_GB2312"/>
          <w:bCs/>
          <w:sz w:val="44"/>
          <w:szCs w:val="44"/>
        </w:rPr>
      </w:pPr>
    </w:p>
    <w:p>
      <w:pPr>
        <w:ind w:firstLine="862" w:firstLineChars="196"/>
        <w:rPr>
          <w:rFonts w:ascii="仿宋_GB2312" w:hAnsi="宋体" w:eastAsia="仿宋_GB2312"/>
          <w:bCs/>
          <w:sz w:val="44"/>
          <w:szCs w:val="44"/>
        </w:rPr>
      </w:pPr>
    </w:p>
    <w:p>
      <w:pPr>
        <w:jc w:val="center"/>
        <w:rPr>
          <w:rFonts w:ascii="黑体" w:hAnsi="宋体" w:eastAsia="黑体"/>
          <w:bCs/>
          <w:sz w:val="44"/>
          <w:szCs w:val="44"/>
        </w:rPr>
      </w:pPr>
      <w:r>
        <w:rPr>
          <w:rFonts w:hint="eastAsia" w:ascii="黑体" w:hAnsi="宋体" w:eastAsia="黑体"/>
          <w:bCs/>
          <w:sz w:val="44"/>
          <w:szCs w:val="44"/>
        </w:rPr>
        <w:t>柳州市柳江区土博中学2023年单位预算及“三公”经费预算公开说明</w:t>
      </w:r>
    </w:p>
    <w:p>
      <w:pPr>
        <w:spacing w:beforeLines="100" w:afterLines="100" w:line="460" w:lineRule="exact"/>
        <w:ind w:firstLine="880" w:firstLineChars="200"/>
        <w:rPr>
          <w:rFonts w:ascii="黑体" w:hAnsi="宋体" w:eastAsia="黑体"/>
          <w:bCs/>
          <w:sz w:val="44"/>
          <w:szCs w:val="44"/>
        </w:rPr>
      </w:pPr>
    </w:p>
    <w:p>
      <w:pPr>
        <w:spacing w:beforeLines="100" w:afterLines="100" w:line="460" w:lineRule="exact"/>
        <w:ind w:firstLine="880" w:firstLineChars="200"/>
        <w:rPr>
          <w:rFonts w:ascii="黑体" w:hAnsi="宋体" w:eastAsia="黑体"/>
          <w:bCs/>
          <w:sz w:val="44"/>
          <w:szCs w:val="44"/>
        </w:rPr>
      </w:pPr>
      <w:r>
        <w:rPr>
          <w:rFonts w:hint="eastAsia" w:ascii="黑体" w:hAnsi="宋体" w:eastAsia="黑体"/>
          <w:bCs/>
          <w:sz w:val="44"/>
          <w:szCs w:val="44"/>
        </w:rPr>
        <w:t>目录</w:t>
      </w:r>
    </w:p>
    <w:p>
      <w:pPr>
        <w:spacing w:line="460" w:lineRule="exact"/>
        <w:ind w:firstLine="643" w:firstLineChars="200"/>
        <w:rPr>
          <w:rFonts w:ascii="宋体" w:hAnsi="宋体" w:cs="宋体"/>
          <w:b/>
          <w:bCs/>
          <w:sz w:val="32"/>
          <w:szCs w:val="32"/>
        </w:rPr>
      </w:pPr>
      <w:r>
        <w:rPr>
          <w:rFonts w:hint="eastAsia" w:ascii="宋体" w:hAnsi="宋体" w:cs="宋体"/>
          <w:b/>
          <w:bCs/>
          <w:sz w:val="32"/>
          <w:szCs w:val="32"/>
        </w:rPr>
        <w:t>第一部分：单位概况</w:t>
      </w:r>
    </w:p>
    <w:p>
      <w:pPr>
        <w:spacing w:line="460" w:lineRule="exact"/>
        <w:ind w:firstLine="640" w:firstLineChars="200"/>
        <w:rPr>
          <w:rFonts w:ascii="宋体" w:hAnsi="宋体" w:cs="宋体"/>
          <w:sz w:val="32"/>
          <w:szCs w:val="32"/>
        </w:rPr>
      </w:pPr>
      <w:r>
        <w:rPr>
          <w:rFonts w:hint="eastAsia" w:ascii="宋体" w:hAnsi="宋体" w:cs="宋体"/>
          <w:sz w:val="32"/>
          <w:szCs w:val="32"/>
        </w:rPr>
        <w:t>一、主要职责</w:t>
      </w:r>
    </w:p>
    <w:p>
      <w:pPr>
        <w:spacing w:line="460" w:lineRule="exact"/>
        <w:ind w:firstLine="640" w:firstLineChars="200"/>
        <w:rPr>
          <w:rFonts w:ascii="宋体" w:hAnsi="宋体" w:cs="宋体"/>
          <w:sz w:val="32"/>
          <w:szCs w:val="32"/>
        </w:rPr>
      </w:pPr>
      <w:r>
        <w:rPr>
          <w:rFonts w:hint="eastAsia" w:ascii="宋体" w:hAnsi="宋体" w:cs="宋体"/>
          <w:sz w:val="32"/>
          <w:szCs w:val="32"/>
        </w:rPr>
        <w:t>二、机构设置、编制现状、人员构成情况</w:t>
      </w:r>
    </w:p>
    <w:p>
      <w:pPr>
        <w:spacing w:line="460" w:lineRule="exact"/>
        <w:ind w:firstLine="640" w:firstLineChars="200"/>
        <w:rPr>
          <w:rFonts w:ascii="宋体" w:hAnsi="宋体" w:cs="宋体"/>
          <w:sz w:val="32"/>
          <w:szCs w:val="32"/>
        </w:rPr>
      </w:pPr>
      <w:r>
        <w:rPr>
          <w:rFonts w:hint="eastAsia" w:ascii="宋体" w:hAnsi="宋体" w:cs="宋体"/>
          <w:sz w:val="32"/>
          <w:szCs w:val="32"/>
        </w:rPr>
        <w:t>三、年度主要工作任务等</w:t>
      </w:r>
    </w:p>
    <w:p>
      <w:pPr>
        <w:spacing w:line="460" w:lineRule="exact"/>
        <w:ind w:firstLine="643" w:firstLineChars="200"/>
        <w:rPr>
          <w:rFonts w:ascii="宋体" w:hAnsi="宋体" w:cs="宋体"/>
          <w:b/>
          <w:bCs/>
          <w:sz w:val="32"/>
          <w:szCs w:val="32"/>
        </w:rPr>
      </w:pPr>
      <w:r>
        <w:rPr>
          <w:rFonts w:hint="eastAsia" w:ascii="宋体" w:hAnsi="宋体" w:cs="宋体"/>
          <w:b/>
          <w:bCs/>
          <w:sz w:val="32"/>
          <w:szCs w:val="32"/>
        </w:rPr>
        <w:t>第二部分：单位预算公开表</w:t>
      </w:r>
    </w:p>
    <w:p>
      <w:pPr>
        <w:spacing w:line="460" w:lineRule="exact"/>
        <w:ind w:firstLine="643" w:firstLineChars="200"/>
        <w:rPr>
          <w:rFonts w:ascii="宋体" w:hAnsi="宋体" w:cs="宋体"/>
          <w:sz w:val="32"/>
          <w:szCs w:val="32"/>
        </w:rPr>
      </w:pPr>
      <w:r>
        <w:rPr>
          <w:rFonts w:hint="eastAsia" w:ascii="宋体" w:hAnsi="宋体" w:cs="宋体"/>
          <w:b/>
          <w:bCs/>
          <w:sz w:val="32"/>
          <w:szCs w:val="32"/>
        </w:rPr>
        <w:t>第三部分：单位预算及“三公”经费预算报表说明</w:t>
      </w:r>
    </w:p>
    <w:p>
      <w:pPr>
        <w:spacing w:line="460" w:lineRule="exact"/>
        <w:ind w:firstLine="640" w:firstLineChars="200"/>
        <w:rPr>
          <w:rFonts w:ascii="宋体" w:hAnsi="宋体" w:cs="宋体"/>
          <w:sz w:val="32"/>
          <w:szCs w:val="32"/>
        </w:rPr>
      </w:pPr>
      <w:r>
        <w:rPr>
          <w:rFonts w:hint="eastAsia" w:ascii="宋体" w:hAnsi="宋体" w:cs="宋体"/>
          <w:sz w:val="32"/>
          <w:szCs w:val="32"/>
        </w:rPr>
        <w:t>一、2023年收支总体情况的说明</w:t>
      </w:r>
    </w:p>
    <w:p>
      <w:pPr>
        <w:spacing w:line="460" w:lineRule="exact"/>
        <w:ind w:firstLine="640" w:firstLineChars="200"/>
        <w:rPr>
          <w:rFonts w:ascii="宋体" w:hAnsi="宋体" w:cs="宋体"/>
          <w:sz w:val="32"/>
          <w:szCs w:val="32"/>
        </w:rPr>
      </w:pPr>
      <w:r>
        <w:rPr>
          <w:rFonts w:hint="eastAsia" w:ascii="宋体" w:hAnsi="宋体" w:cs="宋体"/>
          <w:sz w:val="32"/>
          <w:szCs w:val="32"/>
        </w:rPr>
        <w:t>（一）收入预算说明</w:t>
      </w:r>
    </w:p>
    <w:p>
      <w:pPr>
        <w:spacing w:line="460" w:lineRule="exact"/>
        <w:ind w:firstLine="640" w:firstLineChars="200"/>
        <w:rPr>
          <w:rFonts w:ascii="宋体" w:hAnsi="宋体" w:cs="宋体"/>
          <w:sz w:val="32"/>
          <w:szCs w:val="32"/>
        </w:rPr>
      </w:pPr>
      <w:r>
        <w:rPr>
          <w:rFonts w:hint="eastAsia" w:ascii="宋体" w:hAnsi="宋体" w:cs="宋体"/>
          <w:sz w:val="32"/>
          <w:szCs w:val="32"/>
        </w:rPr>
        <w:t>（二）支出预算说明</w:t>
      </w:r>
    </w:p>
    <w:p>
      <w:pPr>
        <w:spacing w:line="460" w:lineRule="exact"/>
        <w:ind w:firstLine="640" w:firstLineChars="200"/>
        <w:rPr>
          <w:rFonts w:ascii="宋体" w:hAnsi="宋体" w:cs="宋体"/>
          <w:sz w:val="32"/>
          <w:szCs w:val="32"/>
        </w:rPr>
      </w:pPr>
      <w:r>
        <w:rPr>
          <w:rFonts w:hint="eastAsia" w:ascii="宋体" w:hAnsi="宋体" w:cs="宋体"/>
          <w:sz w:val="32"/>
          <w:szCs w:val="32"/>
        </w:rPr>
        <w:t>二、财政拨款支出预算情况</w:t>
      </w:r>
    </w:p>
    <w:p>
      <w:pPr>
        <w:spacing w:line="460" w:lineRule="exact"/>
        <w:ind w:firstLine="640" w:firstLineChars="200"/>
        <w:rPr>
          <w:rFonts w:ascii="宋体" w:hAnsi="宋体" w:cs="宋体"/>
          <w:sz w:val="32"/>
          <w:szCs w:val="32"/>
        </w:rPr>
      </w:pPr>
      <w:r>
        <w:rPr>
          <w:rFonts w:hint="eastAsia" w:ascii="宋体" w:hAnsi="宋体" w:cs="宋体"/>
          <w:sz w:val="32"/>
          <w:szCs w:val="32"/>
        </w:rPr>
        <w:t>三、“三公”经费支出预算表的说明</w:t>
      </w:r>
    </w:p>
    <w:p>
      <w:pPr>
        <w:spacing w:line="460" w:lineRule="exact"/>
        <w:ind w:firstLine="640" w:firstLineChars="200"/>
        <w:rPr>
          <w:rFonts w:ascii="宋体" w:hAnsi="宋体" w:cs="宋体"/>
          <w:sz w:val="32"/>
          <w:szCs w:val="32"/>
        </w:rPr>
      </w:pPr>
      <w:r>
        <w:rPr>
          <w:rFonts w:hint="eastAsia" w:ascii="宋体" w:hAnsi="宋体" w:cs="宋体"/>
          <w:sz w:val="32"/>
          <w:szCs w:val="32"/>
        </w:rPr>
        <w:t>四、其他重要事项的情况说明</w:t>
      </w:r>
    </w:p>
    <w:p>
      <w:pPr>
        <w:spacing w:line="460" w:lineRule="exact"/>
        <w:ind w:firstLine="640" w:firstLineChars="200"/>
        <w:rPr>
          <w:rFonts w:ascii="宋体" w:hAnsi="宋体" w:cs="宋体"/>
          <w:sz w:val="32"/>
          <w:szCs w:val="32"/>
        </w:rPr>
      </w:pPr>
      <w:r>
        <w:rPr>
          <w:rFonts w:hint="eastAsia" w:ascii="宋体" w:hAnsi="宋体" w:cs="宋体"/>
          <w:sz w:val="32"/>
          <w:szCs w:val="32"/>
        </w:rPr>
        <w:t>（一）单位运行经费情况</w:t>
      </w:r>
    </w:p>
    <w:p>
      <w:pPr>
        <w:spacing w:line="460" w:lineRule="exact"/>
        <w:ind w:firstLine="640" w:firstLineChars="200"/>
        <w:rPr>
          <w:rFonts w:ascii="宋体" w:hAnsi="宋体" w:cs="宋体"/>
          <w:sz w:val="32"/>
          <w:szCs w:val="32"/>
        </w:rPr>
      </w:pPr>
      <w:r>
        <w:rPr>
          <w:rFonts w:hint="eastAsia" w:ascii="宋体" w:hAnsi="宋体" w:cs="宋体"/>
          <w:sz w:val="32"/>
          <w:szCs w:val="32"/>
        </w:rPr>
        <w:t>（二）政府采购情况</w:t>
      </w:r>
    </w:p>
    <w:p>
      <w:pPr>
        <w:spacing w:line="460" w:lineRule="exact"/>
        <w:ind w:firstLine="640" w:firstLineChars="200"/>
        <w:rPr>
          <w:rFonts w:ascii="宋体" w:hAnsi="宋体" w:cs="宋体"/>
          <w:sz w:val="32"/>
          <w:szCs w:val="32"/>
        </w:rPr>
      </w:pPr>
      <w:r>
        <w:rPr>
          <w:rFonts w:hint="eastAsia" w:ascii="宋体" w:hAnsi="宋体" w:cs="宋体"/>
          <w:sz w:val="32"/>
          <w:szCs w:val="32"/>
        </w:rPr>
        <w:t>（三）政府购买服务情况</w:t>
      </w:r>
    </w:p>
    <w:p>
      <w:pPr>
        <w:spacing w:line="460" w:lineRule="exact"/>
        <w:ind w:firstLine="640" w:firstLineChars="200"/>
        <w:rPr>
          <w:rFonts w:ascii="宋体" w:hAnsi="宋体" w:cs="宋体"/>
          <w:sz w:val="32"/>
          <w:szCs w:val="32"/>
        </w:rPr>
      </w:pPr>
      <w:r>
        <w:rPr>
          <w:rFonts w:hint="eastAsia" w:ascii="宋体" w:hAnsi="宋体" w:cs="宋体"/>
          <w:sz w:val="32"/>
          <w:szCs w:val="32"/>
        </w:rPr>
        <w:t>（四）国有资产占有使用情况</w:t>
      </w:r>
    </w:p>
    <w:p>
      <w:pPr>
        <w:spacing w:line="460" w:lineRule="exact"/>
        <w:ind w:firstLine="640" w:firstLineChars="200"/>
        <w:rPr>
          <w:rFonts w:ascii="宋体" w:hAnsi="宋体" w:cs="宋体"/>
          <w:sz w:val="32"/>
          <w:szCs w:val="32"/>
        </w:rPr>
      </w:pPr>
      <w:r>
        <w:rPr>
          <w:rFonts w:hint="eastAsia" w:ascii="宋体" w:hAnsi="宋体" w:cs="宋体"/>
          <w:sz w:val="32"/>
          <w:szCs w:val="32"/>
        </w:rPr>
        <w:t>（五）预算绩效信息情况说明</w:t>
      </w:r>
    </w:p>
    <w:p>
      <w:pPr>
        <w:spacing w:line="460" w:lineRule="exact"/>
        <w:ind w:firstLine="643" w:firstLineChars="200"/>
        <w:rPr>
          <w:rFonts w:ascii="宋体" w:hAnsi="宋体" w:cs="宋体"/>
          <w:b/>
          <w:bCs/>
          <w:sz w:val="32"/>
          <w:szCs w:val="32"/>
        </w:rPr>
      </w:pPr>
      <w:r>
        <w:rPr>
          <w:rFonts w:hint="eastAsia" w:ascii="宋体" w:hAnsi="宋体" w:cs="宋体"/>
          <w:b/>
          <w:bCs/>
          <w:sz w:val="32"/>
          <w:szCs w:val="32"/>
        </w:rPr>
        <w:t>第四部分：名词解释</w:t>
      </w:r>
    </w:p>
    <w:p>
      <w:pPr>
        <w:spacing w:beforeLines="100" w:afterLines="100" w:line="460" w:lineRule="exact"/>
        <w:ind w:firstLine="723" w:firstLineChars="200"/>
        <w:rPr>
          <w:rFonts w:ascii="黑体" w:hAnsi="华文仿宋" w:eastAsia="黑体"/>
          <w:b/>
          <w:bCs/>
          <w:sz w:val="36"/>
          <w:szCs w:val="36"/>
        </w:rPr>
      </w:pPr>
      <w:r>
        <w:rPr>
          <w:rStyle w:val="6"/>
          <w:rFonts w:hint="eastAsia" w:ascii="黑体" w:hAnsi="华文仿宋" w:eastAsia="黑体"/>
          <w:sz w:val="36"/>
          <w:szCs w:val="36"/>
        </w:rPr>
        <w:t>第一部分：单位概况</w:t>
      </w:r>
    </w:p>
    <w:p>
      <w:pPr>
        <w:numPr>
          <w:ilvl w:val="0"/>
          <w:numId w:val="1"/>
        </w:numPr>
        <w:spacing w:line="460" w:lineRule="exact"/>
        <w:ind w:firstLine="800" w:firstLineChars="250"/>
        <w:rPr>
          <w:rFonts w:ascii="黑体" w:eastAsia="黑体"/>
          <w:sz w:val="32"/>
          <w:szCs w:val="32"/>
        </w:rPr>
      </w:pPr>
      <w:r>
        <w:rPr>
          <w:rFonts w:hint="eastAsia" w:ascii="黑体" w:eastAsia="黑体"/>
          <w:sz w:val="32"/>
          <w:szCs w:val="32"/>
        </w:rPr>
        <w:t>单位职责</w:t>
      </w:r>
    </w:p>
    <w:p>
      <w:pPr>
        <w:pStyle w:val="4"/>
        <w:shd w:val="clear" w:color="auto" w:fill="FFFFFF"/>
        <w:spacing w:before="0" w:beforeAutospacing="0" w:after="0" w:afterAutospacing="0" w:line="35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柳州市柳江区土博中学隶属于柳州市柳江区教育局，为全额事业单位，实行校长负责制。主要职责是：</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（一）贯彻执行国家、自治区及柳州市、柳江区有关教育的方针、政策和法律、法规，实施初中义务教育，促进基础教育发展，为国家培训合格的初中生。</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（二）在区委、区政府、区主管部门的领导下，拟定本校教育体制改革的目标和计划，并结合本校实际协调实施。</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（三）统筹管理本部门教育经费，按上级拟定拨付给本校的相关教育经费等规范性文件，比照本校的实际情况，监测本校教育经费的筹措和使用情况。</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（四）综合管理本校基础教育；审定进校书刊；把控初中教育工作；依据自治区教育厅、市教育局的评估标准和办法及主管局制定本区各级各类学校的督导评估标准及办法，把细则落实到位。</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（五）管理学校对外交流工作，按上级主管部门要求，有必要时对贫困地区进行的教育援助。</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（六）落实实施学校的社会主义精神文明建设和思想政治工作、品德教育工作、体育卫生与艺术教育工作、科学普及教育工作及国防教育工作。</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七）学校有关部门做好以下工作：管理学校教师工作；实施教师资格制度；统筹规划学校教师和管理人员的队伍建设；组织实施教师培养培训、考核奖惩工作；职称改革和教师职务评聘工作；人事工作；人事档案；各类招生考试工作；按干部管理权限，推荐学校中层领导任聘工作。</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（八）负责学校义务教育学籍管理及义务教育证书的管理发放。</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（九）负责学校教育基本信息的统计、分析和发布。</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（十）管理学校汉语言文字工作。负责推广普通话组织工作。</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（十一）贯彻落实安全生产有关政策法规，承担本部门职责范围内行业领域安全生产和职业健康监管职责。负责宣传安全生产委员会和安全生产委员会办公室布置的有关安全生产工作。</w:t>
      </w:r>
    </w:p>
    <w:p>
      <w:pPr>
        <w:widowControl/>
        <w:shd w:val="clear" w:color="auto" w:fill="FFFFFF"/>
        <w:spacing w:line="540" w:lineRule="exact"/>
        <w:ind w:firstLine="640" w:firstLineChars="200"/>
        <w:jc w:val="left"/>
        <w:textAlignment w:val="baseline"/>
        <w:rPr>
          <w:rFonts w:eastAsia="仿宋_GB2312"/>
          <w:kern w:val="0"/>
          <w:sz w:val="32"/>
          <w:szCs w:val="32"/>
        </w:rPr>
      </w:pPr>
      <w:r>
        <w:rPr>
          <w:rFonts w:hint="eastAsia" w:eastAsia="仿宋_GB2312"/>
          <w:kern w:val="0"/>
          <w:sz w:val="32"/>
          <w:szCs w:val="32"/>
        </w:rPr>
        <w:t>（十二）承办区人民政府和上级业务主管部门交办的其他事项。</w:t>
      </w:r>
    </w:p>
    <w:p>
      <w:pPr>
        <w:spacing w:line="460" w:lineRule="exact"/>
        <w:ind w:firstLine="800" w:firstLineChars="250"/>
        <w:rPr>
          <w:rFonts w:ascii="黑体" w:eastAsia="黑体"/>
          <w:sz w:val="32"/>
          <w:szCs w:val="32"/>
        </w:rPr>
      </w:pPr>
      <w:r>
        <w:rPr>
          <w:rFonts w:hint="eastAsia" w:ascii="黑体" w:eastAsia="黑体"/>
          <w:sz w:val="32"/>
          <w:szCs w:val="32"/>
        </w:rPr>
        <w:t>二、机构设置、编制现状、人员构成情况</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（一）机构设置：柳州市柳江区土博中学位于广西柳州市柳江区土博镇土博街380号，内设学校党支部、办公室、教务处、政教处、科研处、总务处、团委、工会。</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（二）编制现状。在编教职工68人。</w:t>
      </w:r>
    </w:p>
    <w:p>
      <w:pPr>
        <w:spacing w:line="460" w:lineRule="exact"/>
        <w:ind w:firstLine="800" w:firstLineChars="250"/>
        <w:rPr>
          <w:rFonts w:ascii="黑体" w:eastAsia="黑体"/>
          <w:sz w:val="32"/>
          <w:szCs w:val="32"/>
        </w:rPr>
      </w:pPr>
      <w:r>
        <w:rPr>
          <w:rFonts w:hint="eastAsia" w:eastAsia="仿宋_GB2312"/>
          <w:kern w:val="0"/>
          <w:sz w:val="32"/>
          <w:szCs w:val="32"/>
        </w:rPr>
        <w:t>（三）人员构成情况。在校生950人。在职教职工68人，其中编制教职工68人，其中任课教师62人。</w:t>
      </w:r>
    </w:p>
    <w:p>
      <w:pPr>
        <w:spacing w:line="460" w:lineRule="exact"/>
        <w:ind w:firstLine="800" w:firstLineChars="250"/>
        <w:rPr>
          <w:rFonts w:ascii="黑体" w:eastAsia="黑体"/>
          <w:sz w:val="32"/>
          <w:szCs w:val="32"/>
        </w:rPr>
      </w:pPr>
      <w:r>
        <w:rPr>
          <w:rFonts w:hint="eastAsia" w:ascii="黑体" w:eastAsia="黑体"/>
          <w:sz w:val="32"/>
          <w:szCs w:val="32"/>
        </w:rPr>
        <w:t>三、年度主要工作任务等</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一）继续开展扫黑除恶专项斗争。扎实开展"一周一主题，一月一演练安全教育及演练活动，重点抓好学生防震减灾、防溺水，道路交通、食品卫生、防火、防电、防校园欺凌、防一氧化碳煤气中毒等安全知识教育，开展紧急避险、自救自护演练，提高师生安全意识和防范能力。</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二）加强党员干部学习及干部队伍建设。积极参加上级举办书记、校长学习培训班和学校后备干部学习培训班；继续抓好意识形态，牢牢把握意识形态工作领导权、管理权、话语权。加强党风廉政宣传教育工作，深入推进党风</w:t>
      </w:r>
      <w:bookmarkStart w:id="0" w:name="_GoBack"/>
      <w:bookmarkEnd w:id="0"/>
      <w:r>
        <w:rPr>
          <w:rFonts w:hint="eastAsia" w:eastAsia="仿宋_GB2312"/>
          <w:kern w:val="0"/>
          <w:sz w:val="32"/>
          <w:szCs w:val="32"/>
          <w:lang w:eastAsia="zh-CN"/>
        </w:rPr>
        <w:t>廉政建设</w:t>
      </w:r>
      <w:r>
        <w:rPr>
          <w:rFonts w:hint="eastAsia" w:eastAsia="仿宋_GB2312"/>
          <w:kern w:val="0"/>
          <w:sz w:val="32"/>
          <w:szCs w:val="32"/>
        </w:rPr>
        <w:t>和反腐败工作。加强党组织标准化建设，着力建立健全区有教育行业特色的党建品牌，深入推进城乡党建联盟共同体发展。</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（三）改善义务教育学校办学条件，抓好学校常规建设工作；开展教师业务培训，开展财务人员培训，提高业务水平。</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（四）继续抓好控辍保学工作，打赢教育扶贫攻坚战。</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（五）推进《学校章程》建设，开展“法治宣讲进校园”活动，落实“七五”普法规划。加强社会信用体系建设工作。</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六）继续推进第三期“名班主任”工程及心理骨干教师素养提升工程；探索教育戏剧在德育管理中的实施；推进班主任校级工作坊；继续抓好“我们的节日”及其他主题教育活动。坚持毒品预防教育不放松，切实做好学校毒品预防工作。</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（七）继续推进我区接入广西电子政务外网教育子网、城域网建设，积极参加各项区、市、县（区）级信息培训及竞赛活动。</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（八）全面落实国家和地方各项教育扶贫政策，加大教育精准扶贫力度。</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（九）按照柳州市年度师德师风专项教育活动方案完成各项工作；继续抓好国培、区培、市培项目及“名校长、名班主任、名教师”工程。落实2023年各级各类教师学科培训。</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（十）进一步加强科研课题研究，采取多种培训模式，全面提升教师队伍的整体素质，探索有效课堂教学改革，狠抓教学常规管理，强化质量监控，促进教学质量提高。</w:t>
      </w:r>
    </w:p>
    <w:p>
      <w:pPr>
        <w:widowControl/>
        <w:shd w:val="clear" w:color="auto" w:fill="FFFFFF"/>
        <w:spacing w:line="540" w:lineRule="exact"/>
        <w:ind w:firstLine="640" w:firstLineChars="200"/>
        <w:textAlignment w:val="baseline"/>
        <w:rPr>
          <w:rFonts w:eastAsia="仿宋_GB2312"/>
          <w:kern w:val="0"/>
          <w:sz w:val="32"/>
          <w:szCs w:val="32"/>
        </w:rPr>
      </w:pPr>
      <w:r>
        <w:rPr>
          <w:rFonts w:hint="eastAsia" w:eastAsia="仿宋_GB2312"/>
          <w:kern w:val="0"/>
          <w:sz w:val="32"/>
          <w:szCs w:val="32"/>
        </w:rPr>
        <w:t>（十一）召开职工代表大会。开展教职工活动，女职工趣味比赛，组织工会成员外出春秋游活动，开展教师节及春节慰问工作，参加教育工会举办的各项活动。</w:t>
      </w:r>
    </w:p>
    <w:p>
      <w:pPr>
        <w:spacing w:line="460" w:lineRule="exact"/>
        <w:ind w:firstLine="800" w:firstLineChars="250"/>
        <w:rPr>
          <w:rFonts w:ascii="黑体" w:eastAsia="黑体"/>
          <w:sz w:val="32"/>
          <w:szCs w:val="32"/>
        </w:rPr>
      </w:pPr>
    </w:p>
    <w:p>
      <w:pPr>
        <w:spacing w:beforeLines="100" w:afterLines="100" w:line="460" w:lineRule="exact"/>
        <w:ind w:firstLine="723" w:firstLineChars="200"/>
        <w:rPr>
          <w:rStyle w:val="6"/>
          <w:rFonts w:ascii="黑体" w:hAnsi="华文仿宋" w:eastAsia="黑体"/>
          <w:sz w:val="36"/>
          <w:szCs w:val="36"/>
        </w:rPr>
      </w:pPr>
      <w:r>
        <w:rPr>
          <w:rStyle w:val="6"/>
          <w:rFonts w:hint="eastAsia" w:ascii="黑体" w:hAnsi="华文仿宋" w:eastAsia="黑体"/>
          <w:sz w:val="36"/>
          <w:szCs w:val="36"/>
        </w:rPr>
        <w:t>第二部分：单位预算公开表</w:t>
      </w:r>
    </w:p>
    <w:p>
      <w:pPr>
        <w:spacing w:beforeLines="100" w:afterLines="100" w:line="360" w:lineRule="exact"/>
        <w:ind w:firstLine="640" w:firstLineChars="200"/>
        <w:rPr>
          <w:rFonts w:ascii="仿宋_GB2312" w:eastAsia="仿宋_GB2312"/>
          <w:bCs/>
          <w:sz w:val="32"/>
          <w:szCs w:val="32"/>
        </w:rPr>
      </w:pPr>
      <w:r>
        <w:rPr>
          <w:rFonts w:hint="eastAsia" w:ascii="仿宋_GB2312" w:eastAsia="仿宋_GB2312"/>
          <w:bCs/>
          <w:sz w:val="32"/>
          <w:szCs w:val="32"/>
        </w:rPr>
        <w:t>表1：单位预算收支预算总表</w:t>
      </w:r>
    </w:p>
    <w:p>
      <w:pPr>
        <w:spacing w:beforeLines="100" w:afterLines="100" w:line="360" w:lineRule="exact"/>
        <w:ind w:firstLine="640" w:firstLineChars="200"/>
        <w:rPr>
          <w:rFonts w:ascii="仿宋_GB2312" w:eastAsia="仿宋_GB2312"/>
          <w:bCs/>
          <w:sz w:val="32"/>
          <w:szCs w:val="32"/>
        </w:rPr>
      </w:pPr>
      <w:r>
        <w:rPr>
          <w:rFonts w:hint="eastAsia" w:ascii="仿宋_GB2312" w:eastAsia="仿宋_GB2312"/>
          <w:bCs/>
          <w:sz w:val="32"/>
          <w:szCs w:val="32"/>
        </w:rPr>
        <w:t>表2：收入预算总表</w:t>
      </w:r>
    </w:p>
    <w:p>
      <w:pPr>
        <w:spacing w:beforeLines="100" w:afterLines="100" w:line="360" w:lineRule="exact"/>
        <w:ind w:firstLine="640" w:firstLineChars="200"/>
        <w:rPr>
          <w:rFonts w:ascii="仿宋_GB2312" w:eastAsia="仿宋_GB2312"/>
          <w:bCs/>
          <w:sz w:val="32"/>
          <w:szCs w:val="32"/>
        </w:rPr>
      </w:pPr>
      <w:r>
        <w:rPr>
          <w:rFonts w:hint="eastAsia" w:ascii="仿宋_GB2312" w:eastAsia="仿宋_GB2312"/>
          <w:bCs/>
          <w:sz w:val="32"/>
          <w:szCs w:val="32"/>
        </w:rPr>
        <w:t>表3：支出预算总表</w:t>
      </w:r>
    </w:p>
    <w:p>
      <w:pPr>
        <w:spacing w:beforeLines="100" w:afterLines="100" w:line="360" w:lineRule="exact"/>
        <w:ind w:firstLine="640" w:firstLineChars="200"/>
        <w:rPr>
          <w:rFonts w:ascii="仿宋_GB2312" w:eastAsia="仿宋_GB2312"/>
          <w:bCs/>
          <w:sz w:val="32"/>
          <w:szCs w:val="32"/>
        </w:rPr>
      </w:pPr>
      <w:r>
        <w:rPr>
          <w:rFonts w:hint="eastAsia" w:ascii="仿宋_GB2312" w:eastAsia="仿宋_GB2312"/>
          <w:bCs/>
          <w:sz w:val="32"/>
          <w:szCs w:val="32"/>
        </w:rPr>
        <w:t>表4：财政拨款收支总表</w:t>
      </w:r>
    </w:p>
    <w:p>
      <w:pPr>
        <w:spacing w:beforeLines="100" w:afterLines="100" w:line="360" w:lineRule="exact"/>
        <w:ind w:firstLine="640" w:firstLineChars="200"/>
        <w:rPr>
          <w:rFonts w:ascii="仿宋_GB2312" w:eastAsia="仿宋_GB2312"/>
          <w:bCs/>
          <w:sz w:val="32"/>
          <w:szCs w:val="32"/>
        </w:rPr>
      </w:pPr>
      <w:r>
        <w:rPr>
          <w:rFonts w:hint="eastAsia" w:ascii="仿宋_GB2312" w:eastAsia="仿宋_GB2312"/>
          <w:bCs/>
          <w:sz w:val="32"/>
          <w:szCs w:val="32"/>
        </w:rPr>
        <w:t>表5：一般公共预算支出预算表</w:t>
      </w:r>
    </w:p>
    <w:p>
      <w:pPr>
        <w:spacing w:beforeLines="100" w:afterLines="100" w:line="360" w:lineRule="exact"/>
        <w:ind w:firstLine="640" w:firstLineChars="200"/>
        <w:rPr>
          <w:rFonts w:ascii="仿宋_GB2312" w:eastAsia="仿宋_GB2312"/>
          <w:bCs/>
          <w:sz w:val="32"/>
          <w:szCs w:val="32"/>
        </w:rPr>
      </w:pPr>
      <w:r>
        <w:rPr>
          <w:rFonts w:hint="eastAsia" w:ascii="仿宋_GB2312" w:eastAsia="仿宋_GB2312"/>
          <w:bCs/>
          <w:sz w:val="32"/>
          <w:szCs w:val="32"/>
        </w:rPr>
        <w:t>表6：一般公共预算支出明细表（分部门经济分类科目）</w:t>
      </w:r>
    </w:p>
    <w:p>
      <w:pPr>
        <w:spacing w:beforeLines="100" w:afterLines="100" w:line="360" w:lineRule="exact"/>
        <w:ind w:firstLine="640" w:firstLineChars="200"/>
        <w:rPr>
          <w:rFonts w:ascii="仿宋_GB2312" w:eastAsia="仿宋_GB2312"/>
          <w:bCs/>
          <w:sz w:val="32"/>
          <w:szCs w:val="32"/>
        </w:rPr>
      </w:pPr>
      <w:r>
        <w:rPr>
          <w:rFonts w:hint="eastAsia" w:ascii="仿宋_GB2312" w:eastAsia="仿宋_GB2312"/>
          <w:bCs/>
          <w:sz w:val="32"/>
          <w:szCs w:val="32"/>
        </w:rPr>
        <w:t>表7：一般公共预算基本支出表</w:t>
      </w:r>
    </w:p>
    <w:p>
      <w:pPr>
        <w:spacing w:beforeLines="100" w:afterLines="100" w:line="360" w:lineRule="exact"/>
        <w:ind w:firstLine="640" w:firstLineChars="200"/>
        <w:rPr>
          <w:rFonts w:ascii="仿宋_GB2312" w:eastAsia="仿宋_GB2312"/>
          <w:bCs/>
          <w:sz w:val="32"/>
          <w:szCs w:val="32"/>
        </w:rPr>
      </w:pPr>
      <w:r>
        <w:rPr>
          <w:rFonts w:hint="eastAsia" w:ascii="仿宋_GB2312" w:eastAsia="仿宋_GB2312"/>
          <w:bCs/>
          <w:sz w:val="32"/>
          <w:szCs w:val="32"/>
        </w:rPr>
        <w:t>表8：政府性基金拨款支出预算表</w:t>
      </w:r>
    </w:p>
    <w:p>
      <w:pPr>
        <w:spacing w:beforeLines="100" w:afterLines="100" w:line="360" w:lineRule="exact"/>
        <w:ind w:firstLine="640" w:firstLineChars="200"/>
        <w:rPr>
          <w:rFonts w:ascii="仿宋_GB2312" w:eastAsia="仿宋_GB2312"/>
          <w:bCs/>
          <w:sz w:val="32"/>
          <w:szCs w:val="32"/>
        </w:rPr>
      </w:pPr>
      <w:r>
        <w:rPr>
          <w:rFonts w:hint="eastAsia" w:ascii="仿宋_GB2312" w:eastAsia="仿宋_GB2312"/>
          <w:bCs/>
          <w:sz w:val="32"/>
          <w:szCs w:val="32"/>
        </w:rPr>
        <w:t>表9：国有资本经营预算拨款支出预算表</w:t>
      </w:r>
    </w:p>
    <w:p>
      <w:pPr>
        <w:spacing w:beforeLines="100" w:afterLines="100" w:line="360" w:lineRule="exact"/>
        <w:ind w:firstLine="640" w:firstLineChars="200"/>
        <w:rPr>
          <w:rFonts w:ascii="仿宋_GB2312" w:eastAsia="仿宋_GB2312"/>
          <w:bCs/>
          <w:sz w:val="32"/>
          <w:szCs w:val="32"/>
        </w:rPr>
      </w:pPr>
      <w:r>
        <w:rPr>
          <w:rFonts w:hint="eastAsia" w:ascii="仿宋_GB2312" w:eastAsia="仿宋_GB2312"/>
          <w:bCs/>
          <w:sz w:val="32"/>
          <w:szCs w:val="32"/>
        </w:rPr>
        <w:t>表10：“三公”经费支出预算表</w:t>
      </w:r>
    </w:p>
    <w:p>
      <w:pPr>
        <w:spacing w:beforeLines="100" w:afterLines="100" w:line="360" w:lineRule="exact"/>
        <w:ind w:firstLine="640" w:firstLineChars="200"/>
        <w:rPr>
          <w:rFonts w:ascii="仿宋_GB2312" w:eastAsia="仿宋_GB2312"/>
          <w:bCs/>
          <w:sz w:val="32"/>
          <w:szCs w:val="32"/>
        </w:rPr>
      </w:pPr>
      <w:r>
        <w:rPr>
          <w:rFonts w:hint="eastAsia" w:ascii="仿宋_GB2312" w:eastAsia="仿宋_GB2312"/>
          <w:bCs/>
          <w:sz w:val="32"/>
          <w:szCs w:val="32"/>
        </w:rPr>
        <w:t>表11：政府采购预算表</w:t>
      </w:r>
    </w:p>
    <w:p>
      <w:pPr>
        <w:spacing w:beforeLines="100" w:afterLines="100" w:line="360" w:lineRule="exact"/>
        <w:ind w:firstLine="640" w:firstLineChars="200"/>
        <w:rPr>
          <w:rFonts w:ascii="仿宋_GB2312" w:eastAsia="仿宋_GB2312"/>
          <w:bCs/>
          <w:sz w:val="32"/>
          <w:szCs w:val="32"/>
        </w:rPr>
      </w:pPr>
      <w:r>
        <w:rPr>
          <w:rFonts w:hint="eastAsia" w:ascii="仿宋_GB2312" w:eastAsia="仿宋_GB2312"/>
          <w:bCs/>
          <w:sz w:val="32"/>
          <w:szCs w:val="32"/>
        </w:rPr>
        <w:t>表12：政府购买服务预算表</w:t>
      </w:r>
    </w:p>
    <w:p>
      <w:pPr>
        <w:spacing w:beforeLines="100" w:afterLines="100" w:line="360" w:lineRule="exact"/>
        <w:ind w:firstLine="640" w:firstLineChars="200"/>
        <w:rPr>
          <w:rFonts w:ascii="仿宋_GB2312" w:eastAsia="仿宋_GB2312"/>
          <w:bCs/>
          <w:sz w:val="32"/>
          <w:szCs w:val="32"/>
        </w:rPr>
      </w:pPr>
      <w:r>
        <w:rPr>
          <w:rFonts w:hint="eastAsia" w:ascii="仿宋_GB2312" w:eastAsia="仿宋_GB2312"/>
          <w:bCs/>
          <w:sz w:val="32"/>
          <w:szCs w:val="32"/>
        </w:rPr>
        <w:t>（详见附表）</w:t>
      </w:r>
    </w:p>
    <w:p>
      <w:pPr>
        <w:spacing w:beforeLines="100" w:afterLines="100" w:line="460" w:lineRule="exact"/>
        <w:rPr>
          <w:rStyle w:val="6"/>
          <w:rFonts w:ascii="黑体" w:hAnsi="华文仿宋" w:eastAsia="黑体"/>
          <w:sz w:val="36"/>
          <w:szCs w:val="36"/>
        </w:rPr>
      </w:pPr>
    </w:p>
    <w:p>
      <w:pPr>
        <w:spacing w:beforeLines="100" w:afterLines="100" w:line="460" w:lineRule="exact"/>
        <w:rPr>
          <w:rStyle w:val="6"/>
          <w:rFonts w:ascii="黑体" w:hAnsi="华文仿宋" w:eastAsia="黑体"/>
          <w:sz w:val="36"/>
          <w:szCs w:val="36"/>
        </w:rPr>
      </w:pPr>
    </w:p>
    <w:p>
      <w:pPr>
        <w:spacing w:beforeLines="100" w:afterLines="100" w:line="460" w:lineRule="exact"/>
        <w:rPr>
          <w:rFonts w:ascii="黑体" w:hAnsi="华文仿宋" w:eastAsia="黑体"/>
          <w:b/>
          <w:bCs/>
          <w:sz w:val="36"/>
          <w:szCs w:val="36"/>
        </w:rPr>
      </w:pPr>
      <w:r>
        <w:rPr>
          <w:rStyle w:val="6"/>
          <w:rFonts w:hint="eastAsia" w:ascii="黑体" w:hAnsi="华文仿宋" w:eastAsia="黑体"/>
          <w:sz w:val="36"/>
          <w:szCs w:val="36"/>
        </w:rPr>
        <w:t>第三部分：单位预算及“三公”经费预算报表说明</w:t>
      </w:r>
    </w:p>
    <w:p>
      <w:pPr>
        <w:spacing w:line="460" w:lineRule="exact"/>
        <w:ind w:firstLine="640" w:firstLineChars="200"/>
        <w:rPr>
          <w:rFonts w:ascii="黑体" w:eastAsia="黑体"/>
          <w:sz w:val="32"/>
          <w:szCs w:val="32"/>
        </w:rPr>
      </w:pPr>
    </w:p>
    <w:p>
      <w:pPr>
        <w:spacing w:line="460" w:lineRule="exact"/>
        <w:ind w:firstLine="640" w:firstLineChars="200"/>
        <w:rPr>
          <w:rFonts w:ascii="黑体" w:eastAsia="黑体"/>
          <w:sz w:val="32"/>
          <w:szCs w:val="32"/>
        </w:rPr>
      </w:pPr>
      <w:r>
        <w:rPr>
          <w:rFonts w:hint="eastAsia" w:ascii="黑体" w:eastAsia="黑体"/>
          <w:sz w:val="32"/>
          <w:szCs w:val="32"/>
        </w:rPr>
        <w:t>一、2023年收支总体情况的说明</w:t>
      </w:r>
    </w:p>
    <w:p>
      <w:pPr>
        <w:pStyle w:val="4"/>
        <w:spacing w:before="0" w:beforeAutospacing="0" w:after="0" w:afterAutospacing="0" w:line="540" w:lineRule="exact"/>
        <w:ind w:firstLine="562" w:firstLineChars="200"/>
        <w:rPr>
          <w:rFonts w:ascii="华文仿宋" w:hAnsi="华文仿宋" w:eastAsia="华文仿宋"/>
          <w:sz w:val="28"/>
          <w:szCs w:val="28"/>
        </w:rPr>
      </w:pPr>
      <w:r>
        <w:rPr>
          <w:rFonts w:hint="eastAsia" w:ascii="华文仿宋" w:hAnsi="华文仿宋" w:eastAsia="华文仿宋"/>
          <w:b/>
          <w:bCs/>
          <w:sz w:val="28"/>
          <w:szCs w:val="28"/>
        </w:rPr>
        <w:t>（</w:t>
      </w:r>
      <w:r>
        <w:rPr>
          <w:rFonts w:hint="eastAsia" w:ascii="黑体" w:hAnsi="Times New Roman" w:eastAsia="黑体" w:cs="Times New Roman"/>
          <w:kern w:val="2"/>
          <w:sz w:val="32"/>
          <w:szCs w:val="32"/>
        </w:rPr>
        <w:t>一）收入预算说明</w:t>
      </w:r>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2023年收入总预算1267万元，同比增278万元，同比增长28.1%。其中：</w:t>
      </w:r>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1、一般公共预算拨款1244万元，同比增277万元，同比增长28.6%。</w:t>
      </w:r>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2、政府性基金拨款0万元，同比增（减）0万元。</w:t>
      </w:r>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3、事业收入0万元，同同比增（减）0万元。</w:t>
      </w:r>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4、其他收入23.7万元，同比增1.7万元，同比增长7.7%。</w:t>
      </w:r>
    </w:p>
    <w:p>
      <w:pPr>
        <w:spacing w:line="540" w:lineRule="exact"/>
        <w:ind w:left="420" w:leftChars="200" w:firstLine="320" w:firstLineChars="100"/>
        <w:jc w:val="left"/>
        <w:rPr>
          <w:rFonts w:ascii="仿宋_GB2312" w:eastAsia="仿宋_GB2312"/>
          <w:sz w:val="32"/>
          <w:szCs w:val="32"/>
        </w:rPr>
      </w:pPr>
    </w:p>
    <w:p>
      <w:pPr>
        <w:pStyle w:val="4"/>
        <w:spacing w:before="0" w:beforeAutospacing="0" w:after="0" w:afterAutospacing="0" w:line="540" w:lineRule="exact"/>
        <w:ind w:firstLine="640" w:firstLineChars="200"/>
        <w:rPr>
          <w:rFonts w:ascii="黑体" w:hAnsi="Times New Roman" w:eastAsia="黑体" w:cs="Times New Roman"/>
          <w:kern w:val="2"/>
          <w:sz w:val="32"/>
          <w:szCs w:val="32"/>
        </w:rPr>
      </w:pPr>
      <w:r>
        <w:rPr>
          <w:rFonts w:hint="eastAsia" w:ascii="黑体" w:hAnsi="Times New Roman" w:eastAsia="黑体" w:cs="Times New Roman"/>
          <w:kern w:val="2"/>
          <w:sz w:val="32"/>
          <w:szCs w:val="32"/>
        </w:rPr>
        <w:t>（二）支出预算说明</w:t>
      </w:r>
    </w:p>
    <w:p>
      <w:pPr>
        <w:pStyle w:val="4"/>
        <w:spacing w:before="0" w:beforeAutospacing="0" w:after="0" w:afterAutospacing="0" w:line="540" w:lineRule="exact"/>
        <w:ind w:firstLine="640" w:firstLineChars="200"/>
        <w:rPr>
          <w:rFonts w:ascii="华文仿宋" w:hAnsi="华文仿宋" w:eastAsia="华文仿宋"/>
          <w:sz w:val="28"/>
          <w:szCs w:val="28"/>
        </w:rPr>
      </w:pPr>
      <w:r>
        <w:rPr>
          <w:rFonts w:hint="eastAsia" w:ascii="仿宋_GB2312" w:hAnsi="Times New Roman" w:eastAsia="仿宋_GB2312" w:cs="Times New Roman"/>
          <w:kern w:val="2"/>
          <w:sz w:val="32"/>
          <w:szCs w:val="32"/>
        </w:rPr>
        <w:t>2023年支出总预算1267万元，</w:t>
      </w:r>
      <w:r>
        <w:rPr>
          <w:rFonts w:hint="eastAsia" w:ascii="仿宋_GB2312" w:eastAsia="仿宋_GB2312"/>
          <w:sz w:val="32"/>
          <w:szCs w:val="32"/>
        </w:rPr>
        <w:t>同比增278万元，同比增长28.1%。</w:t>
      </w:r>
      <w:r>
        <w:rPr>
          <w:rFonts w:hint="eastAsia" w:ascii="仿宋_GB2312" w:hAnsi="Times New Roman" w:eastAsia="仿宋_GB2312" w:cs="Times New Roman"/>
          <w:kern w:val="2"/>
          <w:sz w:val="32"/>
          <w:szCs w:val="32"/>
        </w:rPr>
        <w:t>其中：</w:t>
      </w:r>
    </w:p>
    <w:p>
      <w:pPr>
        <w:pStyle w:val="4"/>
        <w:spacing w:before="0" w:beforeAutospacing="0" w:after="0" w:afterAutospacing="0" w:line="540" w:lineRule="exact"/>
        <w:ind w:firstLine="640" w:firstLineChars="200"/>
        <w:rPr>
          <w:rFonts w:ascii="华文仿宋" w:hAnsi="华文仿宋" w:eastAsia="华文仿宋"/>
          <w:b/>
          <w:sz w:val="28"/>
          <w:szCs w:val="28"/>
        </w:rPr>
      </w:pPr>
      <w:r>
        <w:rPr>
          <w:rFonts w:hint="eastAsia" w:ascii="黑体" w:hAnsi="Times New Roman" w:eastAsia="黑体" w:cs="Times New Roman"/>
          <w:kern w:val="2"/>
          <w:sz w:val="32"/>
          <w:szCs w:val="32"/>
        </w:rPr>
        <w:t>1、按支出功能分类科目划分，共分为四类，其中：</w:t>
      </w:r>
    </w:p>
    <w:p>
      <w:pPr>
        <w:pStyle w:val="4"/>
        <w:spacing w:before="0" w:beforeAutospacing="0" w:after="0" w:afterAutospacing="0" w:line="54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（1）教育支出类科目支出预算891万元，占支出总预算70.3%，</w:t>
      </w:r>
      <w:r>
        <w:rPr>
          <w:rFonts w:hint="eastAsia" w:ascii="仿宋_GB2312" w:eastAsia="仿宋_GB2312"/>
          <w:sz w:val="32"/>
          <w:szCs w:val="32"/>
        </w:rPr>
        <w:t>同比增191.4万元，同比增长27.3%</w:t>
      </w:r>
      <w:r>
        <w:rPr>
          <w:rFonts w:hint="eastAsia" w:ascii="仿宋_GB2312" w:hAnsi="Times New Roman" w:eastAsia="仿宋_GB2312" w:cs="Times New Roman"/>
          <w:kern w:val="2"/>
          <w:sz w:val="32"/>
          <w:szCs w:val="32"/>
        </w:rPr>
        <w:t>；</w:t>
      </w:r>
    </w:p>
    <w:p>
      <w:pPr>
        <w:pStyle w:val="4"/>
        <w:spacing w:before="0" w:beforeAutospacing="0" w:after="0" w:afterAutospacing="0" w:line="54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（2）社会保障和就业支出类科目支出预算228万元, 占支出总预算17.99%，</w:t>
      </w:r>
      <w:r>
        <w:rPr>
          <w:rFonts w:hint="eastAsia" w:ascii="仿宋_GB2312" w:eastAsia="仿宋_GB2312"/>
          <w:sz w:val="32"/>
          <w:szCs w:val="32"/>
        </w:rPr>
        <w:t>同比增49.04万元，同比增长27.4%</w:t>
      </w:r>
      <w:r>
        <w:rPr>
          <w:rFonts w:hint="eastAsia" w:ascii="仿宋_GB2312" w:hAnsi="Times New Roman" w:eastAsia="仿宋_GB2312" w:cs="Times New Roman"/>
          <w:kern w:val="2"/>
          <w:sz w:val="32"/>
          <w:szCs w:val="32"/>
        </w:rPr>
        <w:t>；</w:t>
      </w:r>
    </w:p>
    <w:p>
      <w:pPr>
        <w:pStyle w:val="4"/>
        <w:spacing w:before="0" w:beforeAutospacing="0" w:after="0" w:afterAutospacing="0" w:line="540" w:lineRule="exact"/>
        <w:ind w:firstLine="640" w:firstLineChars="200"/>
      </w:pPr>
      <w:r>
        <w:rPr>
          <w:rFonts w:hint="eastAsia" w:ascii="仿宋_GB2312" w:hAnsi="Times New Roman" w:eastAsia="仿宋_GB2312" w:cs="Times New Roman"/>
          <w:kern w:val="2"/>
          <w:sz w:val="32"/>
          <w:szCs w:val="32"/>
        </w:rPr>
        <w:t>（3）卫生健康支出类科目支出预算58.51万元, 占支出总预算4.6%，</w:t>
      </w:r>
      <w:r>
        <w:rPr>
          <w:rFonts w:hint="eastAsia" w:ascii="仿宋_GB2312" w:eastAsia="仿宋_GB2312"/>
          <w:sz w:val="32"/>
          <w:szCs w:val="32"/>
        </w:rPr>
        <w:t>同比增14.61万元，同比增长33.2%</w:t>
      </w:r>
      <w:r>
        <w:rPr>
          <w:rFonts w:hint="eastAsia" w:ascii="仿宋_GB2312" w:hAnsi="Times New Roman" w:eastAsia="仿宋_GB2312" w:cs="Times New Roman"/>
          <w:kern w:val="2"/>
          <w:sz w:val="32"/>
          <w:szCs w:val="32"/>
        </w:rPr>
        <w:t>；</w:t>
      </w:r>
    </w:p>
    <w:p>
      <w:pPr>
        <w:pStyle w:val="4"/>
        <w:spacing w:before="0" w:beforeAutospacing="0" w:after="0" w:afterAutospacing="0" w:line="54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（4）住房保障支出类科目支出预算89.3万元, 占支出总预算7%，</w:t>
      </w:r>
      <w:r>
        <w:rPr>
          <w:rFonts w:hint="eastAsia" w:ascii="仿宋_GB2312" w:eastAsia="仿宋_GB2312"/>
          <w:sz w:val="32"/>
          <w:szCs w:val="32"/>
        </w:rPr>
        <w:t>同比增22.51万元，同比增长33.7%</w:t>
      </w:r>
      <w:r>
        <w:rPr>
          <w:rFonts w:hint="eastAsia" w:ascii="仿宋_GB2312" w:hAnsi="Times New Roman" w:eastAsia="仿宋_GB2312" w:cs="Times New Roman"/>
          <w:kern w:val="2"/>
          <w:sz w:val="32"/>
          <w:szCs w:val="32"/>
        </w:rPr>
        <w:t>；</w:t>
      </w:r>
    </w:p>
    <w:p>
      <w:pPr>
        <w:pStyle w:val="4"/>
        <w:spacing w:before="0" w:beforeAutospacing="0" w:after="0" w:afterAutospacing="0" w:line="540" w:lineRule="exact"/>
        <w:ind w:firstLine="640" w:firstLineChars="200"/>
        <w:rPr>
          <w:rFonts w:ascii="黑体" w:hAnsi="Times New Roman" w:eastAsia="黑体" w:cs="Times New Roman"/>
          <w:kern w:val="2"/>
          <w:sz w:val="32"/>
          <w:szCs w:val="32"/>
        </w:rPr>
      </w:pPr>
      <w:r>
        <w:rPr>
          <w:rFonts w:hint="eastAsia" w:ascii="黑体" w:hAnsi="Times New Roman" w:eastAsia="黑体" w:cs="Times New Roman"/>
          <w:kern w:val="2"/>
          <w:sz w:val="32"/>
          <w:szCs w:val="32"/>
        </w:rPr>
        <w:t>2、按支出结构分类划分，分为基本支出预算和项目支出预算</w:t>
      </w:r>
    </w:p>
    <w:p>
      <w:pPr>
        <w:pStyle w:val="4"/>
        <w:spacing w:before="0" w:beforeAutospacing="0" w:after="0" w:afterAutospacing="0" w:line="54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（1）基本支出预算</w:t>
      </w:r>
    </w:p>
    <w:p>
      <w:pPr>
        <w:pStyle w:val="4"/>
        <w:spacing w:before="0" w:beforeAutospacing="0" w:after="0" w:afterAutospacing="0" w:line="54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基本支出1243.6万元，占支出总预算98.15%，</w:t>
      </w:r>
      <w:r>
        <w:rPr>
          <w:rFonts w:hint="eastAsia" w:ascii="仿宋_GB2312" w:eastAsia="仿宋_GB2312"/>
          <w:sz w:val="32"/>
          <w:szCs w:val="32"/>
        </w:rPr>
        <w:t>同比增276.4万元，同比增长28.57%</w:t>
      </w:r>
      <w:r>
        <w:rPr>
          <w:rFonts w:hint="eastAsia" w:ascii="仿宋_GB2312" w:hAnsi="Times New Roman" w:eastAsia="仿宋_GB2312" w:cs="Times New Roman"/>
          <w:kern w:val="2"/>
          <w:sz w:val="32"/>
          <w:szCs w:val="32"/>
        </w:rPr>
        <w:t>。其中：</w:t>
      </w:r>
    </w:p>
    <w:p>
      <w:pPr>
        <w:pStyle w:val="4"/>
        <w:spacing w:before="0" w:beforeAutospacing="0" w:after="0" w:afterAutospacing="0" w:line="54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工资福利支出预算51万元，占基本支出预算95.56%，</w:t>
      </w:r>
      <w:r>
        <w:rPr>
          <w:rFonts w:hint="eastAsia" w:ascii="仿宋_GB2312" w:eastAsia="仿宋_GB2312"/>
          <w:sz w:val="32"/>
          <w:szCs w:val="32"/>
        </w:rPr>
        <w:t>同比增437万元，同比增长62.70%</w:t>
      </w:r>
      <w:r>
        <w:rPr>
          <w:rFonts w:hint="eastAsia" w:ascii="仿宋_GB2312" w:hAnsi="Times New Roman" w:eastAsia="仿宋_GB2312" w:cs="Times New Roman"/>
          <w:kern w:val="2"/>
          <w:sz w:val="32"/>
          <w:szCs w:val="32"/>
        </w:rPr>
        <w:t>；</w:t>
      </w:r>
    </w:p>
    <w:p>
      <w:pPr>
        <w:pStyle w:val="4"/>
        <w:spacing w:before="0" w:beforeAutospacing="0" w:after="0" w:afterAutospacing="0" w:line="54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商品和服务支出预算51万元，占基本支出预算4.1%，</w:t>
      </w:r>
      <w:r>
        <w:rPr>
          <w:rFonts w:hint="eastAsia" w:ascii="仿宋_GB2312" w:eastAsia="仿宋_GB2312"/>
          <w:sz w:val="32"/>
          <w:szCs w:val="32"/>
        </w:rPr>
        <w:t>同比增长2.6万元，同比增长5.3%</w:t>
      </w:r>
      <w:r>
        <w:rPr>
          <w:rFonts w:hint="eastAsia" w:ascii="仿宋_GB2312" w:hAnsi="Times New Roman" w:eastAsia="仿宋_GB2312" w:cs="Times New Roman"/>
          <w:kern w:val="2"/>
          <w:sz w:val="32"/>
          <w:szCs w:val="32"/>
        </w:rPr>
        <w:t>；</w:t>
      </w:r>
    </w:p>
    <w:p>
      <w:pPr>
        <w:pStyle w:val="4"/>
        <w:spacing w:before="0" w:beforeAutospacing="0" w:after="0" w:afterAutospacing="0" w:line="54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对个人和家庭的补助支出预算50万元，占基本支出预算4.1%，</w:t>
      </w:r>
      <w:r>
        <w:rPr>
          <w:rFonts w:hint="eastAsia" w:ascii="仿宋_GB2312" w:eastAsia="仿宋_GB2312"/>
          <w:sz w:val="32"/>
          <w:szCs w:val="32"/>
        </w:rPr>
        <w:t>同比增长4.2万元，同比增长9.1%</w:t>
      </w:r>
      <w:r>
        <w:rPr>
          <w:rFonts w:hint="eastAsia" w:ascii="仿宋_GB2312" w:hAnsi="Times New Roman" w:eastAsia="仿宋_GB2312" w:cs="Times New Roman"/>
          <w:kern w:val="2"/>
          <w:sz w:val="32"/>
          <w:szCs w:val="32"/>
        </w:rPr>
        <w:t>。</w:t>
      </w:r>
    </w:p>
    <w:p>
      <w:pPr>
        <w:pStyle w:val="4"/>
        <w:spacing w:before="0" w:beforeAutospacing="0" w:after="0" w:afterAutospacing="0" w:line="54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（2）项目支出预算</w:t>
      </w:r>
    </w:p>
    <w:p>
      <w:pPr>
        <w:pStyle w:val="4"/>
        <w:spacing w:before="0" w:beforeAutospacing="0" w:after="0" w:afterAutospacing="0" w:line="54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项目支出23.7万元，占支出总预算1.87%，</w:t>
      </w:r>
      <w:r>
        <w:rPr>
          <w:rFonts w:hint="eastAsia" w:ascii="仿宋_GB2312" w:eastAsia="仿宋_GB2312"/>
          <w:sz w:val="32"/>
          <w:szCs w:val="32"/>
        </w:rPr>
        <w:t>同比增1.7万元，同比增长7.7%</w:t>
      </w:r>
      <w:r>
        <w:rPr>
          <w:rFonts w:hint="eastAsia" w:ascii="仿宋_GB2312" w:hAnsi="Times New Roman" w:eastAsia="仿宋_GB2312" w:cs="Times New Roman"/>
          <w:kern w:val="2"/>
          <w:sz w:val="32"/>
          <w:szCs w:val="32"/>
        </w:rPr>
        <w:t>。其中：</w:t>
      </w:r>
    </w:p>
    <w:p>
      <w:pPr>
        <w:pStyle w:val="4"/>
        <w:spacing w:before="0" w:beforeAutospacing="0" w:after="0" w:afterAutospacing="0" w:line="54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商品服务支出预算23.7万元，占项目支出总预算100%，</w:t>
      </w:r>
      <w:r>
        <w:rPr>
          <w:rFonts w:hint="eastAsia" w:ascii="仿宋_GB2312" w:eastAsia="仿宋_GB2312"/>
          <w:sz w:val="32"/>
          <w:szCs w:val="32"/>
        </w:rPr>
        <w:t>同比增1.7万元，同比增长7.7%</w:t>
      </w:r>
      <w:r>
        <w:rPr>
          <w:rFonts w:hint="eastAsia" w:ascii="仿宋_GB2312" w:hAnsi="Times New Roman" w:eastAsia="仿宋_GB2312" w:cs="Times New Roman"/>
          <w:kern w:val="2"/>
          <w:sz w:val="32"/>
          <w:szCs w:val="32"/>
        </w:rPr>
        <w:t>。</w:t>
      </w:r>
    </w:p>
    <w:p>
      <w:pPr>
        <w:spacing w:line="460" w:lineRule="exact"/>
        <w:ind w:firstLine="640" w:firstLineChars="200"/>
        <w:rPr>
          <w:rFonts w:ascii="黑体" w:eastAsia="黑体"/>
          <w:sz w:val="32"/>
          <w:szCs w:val="32"/>
        </w:rPr>
      </w:pPr>
      <w:r>
        <w:rPr>
          <w:rFonts w:hint="eastAsia" w:ascii="黑体" w:eastAsia="黑体"/>
          <w:sz w:val="32"/>
          <w:szCs w:val="32"/>
        </w:rPr>
        <w:t>二、财政拨款支出预算情况</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2023年财政拨款支出1243.6万元，其中：一般公共预算支出1243.6万元，政府性基金预算支出0万元，国有资本经营预算支出0万元。具体支出预算如下：</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1、教育支出类科目支出预算867.4万元；</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2、社会保障和就业类科目支出预算228.3万元；</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3. 卫生健康类科目支出预算58.5万元；</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4. 住房保障类科目支出预算89.3万元；</w:t>
      </w:r>
    </w:p>
    <w:p>
      <w:pPr>
        <w:spacing w:line="460" w:lineRule="exact"/>
        <w:ind w:firstLine="640" w:firstLineChars="200"/>
        <w:rPr>
          <w:rFonts w:ascii="黑体" w:eastAsia="黑体"/>
          <w:sz w:val="32"/>
          <w:szCs w:val="32"/>
        </w:rPr>
      </w:pPr>
      <w:r>
        <w:rPr>
          <w:rFonts w:hint="eastAsia" w:ascii="黑体" w:eastAsia="黑体"/>
          <w:sz w:val="32"/>
          <w:szCs w:val="32"/>
        </w:rPr>
        <w:t>三、“三公”经费支出预算表的说明</w:t>
      </w:r>
    </w:p>
    <w:p>
      <w:pPr>
        <w:spacing w:line="460" w:lineRule="exact"/>
        <w:ind w:firstLine="627" w:firstLineChars="196"/>
        <w:rPr>
          <w:rFonts w:ascii="黑体" w:eastAsia="黑体"/>
          <w:sz w:val="32"/>
          <w:szCs w:val="32"/>
        </w:rPr>
      </w:pPr>
      <w:r>
        <w:rPr>
          <w:rFonts w:hint="eastAsia" w:ascii="黑体" w:eastAsia="黑体"/>
          <w:sz w:val="32"/>
          <w:szCs w:val="32"/>
        </w:rPr>
        <w:t>（一）2023年全口径安排的“三公”经费预算情况</w:t>
      </w:r>
    </w:p>
    <w:p>
      <w:pPr>
        <w:spacing w:line="460" w:lineRule="exact"/>
        <w:ind w:firstLine="627" w:firstLineChars="196"/>
        <w:rPr>
          <w:rFonts w:ascii="仿宋_GB2312" w:eastAsia="仿宋_GB2312"/>
          <w:sz w:val="32"/>
          <w:szCs w:val="32"/>
        </w:rPr>
      </w:pPr>
      <w:r>
        <w:rPr>
          <w:rFonts w:hint="eastAsia" w:ascii="仿宋_GB2312" w:eastAsia="仿宋_GB2312"/>
          <w:sz w:val="32"/>
          <w:szCs w:val="32"/>
        </w:rPr>
        <w:t>2023年共安排“三公”经费支出预算0万元（全口径），其中：因公出国（境）经费支出预算0万元，公务接待费支出预算0万元，公务用车购置费0万元，公务用车运行维护费支出预算0万元。</w:t>
      </w:r>
    </w:p>
    <w:p>
      <w:pPr>
        <w:spacing w:line="460" w:lineRule="exact"/>
        <w:ind w:firstLine="627" w:firstLineChars="196"/>
        <w:rPr>
          <w:rFonts w:ascii="黑体" w:eastAsia="黑体"/>
          <w:sz w:val="32"/>
          <w:szCs w:val="32"/>
        </w:rPr>
      </w:pPr>
      <w:r>
        <w:rPr>
          <w:rFonts w:hint="eastAsia" w:ascii="黑体" w:eastAsia="黑体"/>
          <w:sz w:val="32"/>
          <w:szCs w:val="32"/>
        </w:rPr>
        <w:t>（二）2023年一般公共预算资金安排的“三公”经费预算情况</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2023年一般公共预算安排“三公”经费支出预算共计0万元，同比增0万元。其中：</w:t>
      </w:r>
    </w:p>
    <w:p>
      <w:pPr>
        <w:spacing w:line="460" w:lineRule="exact"/>
        <w:rPr>
          <w:rFonts w:ascii="仿宋_GB2312" w:eastAsia="仿宋_GB2312"/>
          <w:sz w:val="32"/>
          <w:szCs w:val="32"/>
        </w:rPr>
      </w:pPr>
      <w:r>
        <w:rPr>
          <w:rFonts w:hint="eastAsia" w:ascii="仿宋_GB2312" w:eastAsia="仿宋_GB2312"/>
          <w:sz w:val="32"/>
          <w:szCs w:val="32"/>
        </w:rPr>
        <w:t xml:space="preserve">    1、因公出国（境）费0万元，同比增0万元。</w:t>
      </w:r>
    </w:p>
    <w:p>
      <w:pPr>
        <w:spacing w:line="460" w:lineRule="exact"/>
        <w:rPr>
          <w:rFonts w:ascii="仿宋_GB2312" w:eastAsia="仿宋_GB2312"/>
          <w:sz w:val="32"/>
          <w:szCs w:val="32"/>
        </w:rPr>
      </w:pPr>
      <w:r>
        <w:rPr>
          <w:rFonts w:hint="eastAsia" w:ascii="仿宋_GB2312" w:eastAsia="仿宋_GB2312"/>
          <w:sz w:val="32"/>
          <w:szCs w:val="32"/>
        </w:rPr>
        <w:t xml:space="preserve">    2、公务接待费0万元。</w:t>
      </w:r>
    </w:p>
    <w:p>
      <w:pPr>
        <w:spacing w:line="460" w:lineRule="exact"/>
        <w:rPr>
          <w:rFonts w:ascii="仿宋_GB2312" w:eastAsia="仿宋_GB2312"/>
          <w:sz w:val="32"/>
          <w:szCs w:val="32"/>
        </w:rPr>
      </w:pPr>
      <w:r>
        <w:rPr>
          <w:rFonts w:hint="eastAsia" w:ascii="仿宋_GB2312" w:eastAsia="仿宋_GB2312"/>
          <w:sz w:val="32"/>
          <w:szCs w:val="32"/>
        </w:rPr>
        <w:t xml:space="preserve">    3、公务用车购置费及运行费0万元。</w:t>
      </w:r>
    </w:p>
    <w:p>
      <w:pPr>
        <w:spacing w:line="460" w:lineRule="exact"/>
        <w:ind w:firstLine="480" w:firstLineChars="150"/>
        <w:rPr>
          <w:rFonts w:ascii="仿宋_GB2312" w:eastAsia="仿宋_GB2312"/>
          <w:sz w:val="32"/>
          <w:szCs w:val="32"/>
        </w:rPr>
      </w:pPr>
      <w:r>
        <w:rPr>
          <w:rFonts w:hint="eastAsia" w:ascii="仿宋_GB2312" w:eastAsia="仿宋_GB2312"/>
          <w:sz w:val="32"/>
          <w:szCs w:val="32"/>
        </w:rPr>
        <w:t xml:space="preserve"> （1）公务用车运行维护费0万元。</w:t>
      </w:r>
    </w:p>
    <w:p>
      <w:pPr>
        <w:spacing w:line="460" w:lineRule="exact"/>
        <w:ind w:firstLine="480" w:firstLineChars="150"/>
        <w:rPr>
          <w:rFonts w:ascii="仿宋_GB2312" w:eastAsia="仿宋_GB2312"/>
          <w:sz w:val="32"/>
          <w:szCs w:val="32"/>
        </w:rPr>
      </w:pPr>
      <w:r>
        <w:rPr>
          <w:rFonts w:hint="eastAsia" w:ascii="仿宋_GB2312" w:eastAsia="仿宋_GB2312"/>
          <w:sz w:val="32"/>
          <w:szCs w:val="32"/>
        </w:rPr>
        <w:t xml:space="preserve"> （2）公务用车购置费0万元。</w:t>
      </w:r>
    </w:p>
    <w:p>
      <w:pPr>
        <w:spacing w:line="460" w:lineRule="exact"/>
        <w:ind w:firstLine="480" w:firstLineChars="150"/>
        <w:rPr>
          <w:rFonts w:ascii="黑体" w:eastAsia="黑体"/>
          <w:sz w:val="32"/>
          <w:szCs w:val="32"/>
        </w:rPr>
      </w:pPr>
      <w:r>
        <w:rPr>
          <w:rFonts w:hint="eastAsia" w:ascii="黑体" w:eastAsia="黑体"/>
          <w:sz w:val="32"/>
          <w:szCs w:val="32"/>
        </w:rPr>
        <w:t xml:space="preserve"> 四、其他重要事项的情况说明</w:t>
      </w:r>
    </w:p>
    <w:p>
      <w:pPr>
        <w:spacing w:line="460" w:lineRule="exact"/>
        <w:ind w:firstLine="480" w:firstLineChars="150"/>
        <w:rPr>
          <w:rFonts w:ascii="黑体" w:eastAsia="黑体"/>
          <w:sz w:val="32"/>
          <w:szCs w:val="32"/>
        </w:rPr>
      </w:pPr>
      <w:r>
        <w:rPr>
          <w:rFonts w:hint="eastAsia" w:ascii="仿宋_GB2312" w:eastAsia="仿宋_GB2312"/>
          <w:sz w:val="32"/>
          <w:szCs w:val="32"/>
        </w:rPr>
        <w:t xml:space="preserve"> </w:t>
      </w:r>
      <w:r>
        <w:rPr>
          <w:rFonts w:hint="eastAsia" w:ascii="黑体" w:eastAsia="黑体"/>
          <w:sz w:val="32"/>
          <w:szCs w:val="32"/>
        </w:rPr>
        <w:t>（一）单位运行经费情况</w:t>
      </w:r>
    </w:p>
    <w:p>
      <w:pPr>
        <w:spacing w:line="460" w:lineRule="exact"/>
        <w:ind w:firstLine="480" w:firstLineChars="150"/>
        <w:rPr>
          <w:rFonts w:ascii="仿宋_GB2312" w:eastAsia="仿宋_GB2312"/>
          <w:sz w:val="32"/>
          <w:szCs w:val="32"/>
        </w:rPr>
      </w:pPr>
      <w:r>
        <w:rPr>
          <w:rFonts w:hint="eastAsia" w:ascii="仿宋_GB2312" w:eastAsia="仿宋_GB2312"/>
          <w:sz w:val="32"/>
          <w:szCs w:val="32"/>
        </w:rPr>
        <w:t xml:space="preserve"> 2023年本单位的运行经费预算共15.9万元，同比减0.4万元，同比减少2.4%。主要包括福利费及其他商品和服务支出。</w:t>
      </w:r>
    </w:p>
    <w:p>
      <w:pPr>
        <w:spacing w:line="460" w:lineRule="exact"/>
        <w:ind w:firstLine="640" w:firstLineChars="200"/>
        <w:rPr>
          <w:rFonts w:ascii="黑体" w:eastAsia="黑体"/>
          <w:sz w:val="32"/>
          <w:szCs w:val="32"/>
        </w:rPr>
      </w:pPr>
      <w:r>
        <w:rPr>
          <w:rFonts w:hint="eastAsia" w:ascii="黑体" w:eastAsia="黑体"/>
          <w:sz w:val="32"/>
          <w:szCs w:val="32"/>
        </w:rPr>
        <w:t>（二）政府采购情况</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2023年本单位的政府采购预算共0万元，同比增0万元。其中：货物类政府采购预算0万元，工程类政府采购预算0万元，服务类政府采购预算0万元。</w:t>
      </w:r>
    </w:p>
    <w:p>
      <w:pPr>
        <w:numPr>
          <w:ilvl w:val="0"/>
          <w:numId w:val="2"/>
        </w:numPr>
        <w:spacing w:line="460" w:lineRule="exact"/>
        <w:ind w:firstLine="640" w:firstLineChars="200"/>
        <w:rPr>
          <w:rFonts w:ascii="黑体" w:eastAsia="黑体"/>
          <w:sz w:val="32"/>
          <w:szCs w:val="32"/>
        </w:rPr>
      </w:pPr>
      <w:r>
        <w:rPr>
          <w:rFonts w:hint="eastAsia" w:ascii="黑体" w:eastAsia="黑体"/>
          <w:sz w:val="32"/>
          <w:szCs w:val="32"/>
        </w:rPr>
        <w:t>政府购买服务情况</w:t>
      </w:r>
    </w:p>
    <w:p>
      <w:pPr>
        <w:spacing w:line="460" w:lineRule="exact"/>
        <w:ind w:firstLine="640" w:firstLineChars="200"/>
        <w:rPr>
          <w:rFonts w:ascii="黑体" w:eastAsia="黑体"/>
          <w:sz w:val="32"/>
          <w:szCs w:val="32"/>
        </w:rPr>
      </w:pPr>
      <w:r>
        <w:rPr>
          <w:rFonts w:hint="eastAsia" w:ascii="仿宋_GB2312" w:eastAsia="仿宋_GB2312"/>
          <w:sz w:val="32"/>
          <w:szCs w:val="32"/>
        </w:rPr>
        <w:t>2023年本单位的政府购买预算共0万元，同比增0万元。</w:t>
      </w:r>
    </w:p>
    <w:p>
      <w:pPr>
        <w:spacing w:line="460" w:lineRule="exact"/>
        <w:ind w:firstLine="640" w:firstLineChars="200"/>
        <w:rPr>
          <w:rFonts w:ascii="黑体" w:eastAsia="黑体"/>
          <w:sz w:val="32"/>
          <w:szCs w:val="32"/>
        </w:rPr>
      </w:pPr>
      <w:r>
        <w:rPr>
          <w:rFonts w:hint="eastAsia" w:ascii="黑体" w:eastAsia="黑体"/>
          <w:sz w:val="32"/>
          <w:szCs w:val="32"/>
        </w:rPr>
        <w:t>（四）国有资产占有使用情况</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目前，本单位共有在编公用车0辆，其他办公设备共343台（套）。</w:t>
      </w:r>
    </w:p>
    <w:p>
      <w:pPr>
        <w:spacing w:line="460" w:lineRule="exact"/>
        <w:ind w:firstLine="640" w:firstLineChars="200"/>
        <w:rPr>
          <w:rFonts w:ascii="黑体" w:eastAsia="黑体"/>
          <w:sz w:val="32"/>
          <w:szCs w:val="32"/>
        </w:rPr>
      </w:pPr>
      <w:r>
        <w:rPr>
          <w:rFonts w:hint="eastAsia" w:ascii="黑体" w:eastAsia="黑体"/>
          <w:sz w:val="32"/>
          <w:szCs w:val="32"/>
        </w:rPr>
        <w:t>（五）预算绩效信息情况说明</w:t>
      </w:r>
    </w:p>
    <w:p>
      <w:pPr>
        <w:spacing w:line="460" w:lineRule="exact"/>
        <w:ind w:firstLine="640" w:firstLineChars="200"/>
        <w:rPr>
          <w:rFonts w:ascii="仿宋_GB2312" w:hAnsi="仿宋_GB2312" w:eastAsia="仿宋_GB2312" w:cs="仿宋_GB2312"/>
          <w:sz w:val="32"/>
          <w:szCs w:val="32"/>
          <w:shd w:val="clear" w:color="auto" w:fill="FFFFFF"/>
        </w:rPr>
      </w:pPr>
      <w:r>
        <w:rPr>
          <w:rFonts w:hint="eastAsia" w:ascii="仿宋_GB2312" w:eastAsia="仿宋_GB2312"/>
          <w:sz w:val="32"/>
          <w:szCs w:val="32"/>
        </w:rPr>
        <w:t>本单位</w:t>
      </w:r>
      <w:r>
        <w:rPr>
          <w:rFonts w:hint="eastAsia" w:ascii="仿宋_GB2312" w:hAnsi="仿宋_GB2312" w:eastAsia="仿宋_GB2312" w:cs="仿宋_GB2312"/>
          <w:sz w:val="32"/>
          <w:szCs w:val="32"/>
          <w:shd w:val="clear" w:color="auto" w:fill="FFFFFF"/>
        </w:rPr>
        <w:t>2023年度预算绩效目标如下（最终以区财政批复为准）：</w:t>
      </w:r>
    </w:p>
    <w:p>
      <w:pPr>
        <w:jc w:val="left"/>
        <w:rPr>
          <w:rFonts w:ascii="Arial" w:hAnsi="Arial" w:cs="Arial"/>
          <w:kern w:val="0"/>
          <w:sz w:val="20"/>
          <w:szCs w:val="20"/>
        </w:rPr>
      </w:pPr>
      <w:r>
        <w:rPr>
          <w:rFonts w:hint="eastAsia" w:ascii="仿宋_GB2312" w:eastAsia="仿宋_GB2312"/>
          <w:sz w:val="32"/>
          <w:szCs w:val="32"/>
        </w:rPr>
        <w:t>柳州市柳江区土博中学</w:t>
      </w:r>
      <w:r>
        <w:rPr>
          <w:rFonts w:hint="eastAsia" w:ascii="仿宋_GB2312" w:hAnsi="仿宋_GB2312" w:eastAsia="仿宋_GB2312" w:cs="仿宋_GB2312"/>
          <w:sz w:val="32"/>
          <w:szCs w:val="32"/>
          <w:shd w:val="clear" w:color="auto" w:fill="FFFFFF"/>
        </w:rPr>
        <w:t>：</w:t>
      </w:r>
      <w:r>
        <w:rPr>
          <w:rFonts w:hint="eastAsia" w:ascii="仿宋" w:hAnsi="仿宋" w:eastAsia="仿宋" w:cs="Arial"/>
          <w:b/>
          <w:kern w:val="0"/>
          <w:sz w:val="32"/>
          <w:szCs w:val="32"/>
        </w:rPr>
        <w:t>无</w:t>
      </w:r>
      <w:r>
        <w:rPr>
          <w:rFonts w:hint="eastAsia" w:ascii="仿宋_GB2312" w:hAnsi="仿宋_GB2312" w:eastAsia="仿宋_GB2312" w:cs="仿宋_GB2312"/>
          <w:sz w:val="32"/>
          <w:szCs w:val="32"/>
          <w:shd w:val="clear" w:color="auto" w:fill="FFFFFF"/>
        </w:rPr>
        <w:t>预算绩效项目。</w:t>
      </w:r>
    </w:p>
    <w:p>
      <w:pPr>
        <w:spacing w:beforeLines="100" w:afterLines="100" w:line="460" w:lineRule="exact"/>
        <w:ind w:firstLine="723" w:firstLineChars="200"/>
        <w:rPr>
          <w:rStyle w:val="6"/>
          <w:rFonts w:hAnsi="华文仿宋"/>
          <w:sz w:val="36"/>
          <w:szCs w:val="36"/>
        </w:rPr>
      </w:pPr>
      <w:r>
        <w:rPr>
          <w:rStyle w:val="6"/>
          <w:rFonts w:hint="eastAsia" w:ascii="黑体" w:hAnsi="华文仿宋" w:eastAsia="黑体"/>
          <w:sz w:val="36"/>
          <w:szCs w:val="36"/>
        </w:rPr>
        <w:t>第四部分：名词解释</w:t>
      </w:r>
    </w:p>
    <w:p>
      <w:pPr>
        <w:ind w:firstLine="640"/>
        <w:rPr>
          <w:rFonts w:ascii="黑体" w:eastAsia="黑体"/>
          <w:sz w:val="32"/>
          <w:szCs w:val="32"/>
        </w:rPr>
      </w:pPr>
      <w:r>
        <w:rPr>
          <w:rFonts w:hint="eastAsia" w:ascii="黑体" w:eastAsia="黑体"/>
          <w:sz w:val="32"/>
          <w:szCs w:val="32"/>
        </w:rPr>
        <w:t>一、一般公共预算：</w:t>
      </w:r>
      <w:r>
        <w:rPr>
          <w:rFonts w:hint="eastAsia" w:ascii="仿宋_GB2312" w:eastAsia="仿宋_GB2312"/>
          <w:sz w:val="32"/>
          <w:szCs w:val="32"/>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rPr>
      </w:pPr>
      <w:r>
        <w:rPr>
          <w:rFonts w:hint="eastAsia" w:ascii="黑体" w:eastAsia="黑体"/>
          <w:sz w:val="32"/>
          <w:szCs w:val="32"/>
        </w:rPr>
        <w:t>二、政府性基金预算：</w:t>
      </w:r>
      <w:r>
        <w:rPr>
          <w:rFonts w:hint="eastAsia" w:ascii="仿宋_GB2312" w:eastAsia="仿宋_GB2312"/>
          <w:sz w:val="32"/>
          <w:szCs w:val="32"/>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rPr>
      </w:pPr>
      <w:r>
        <w:rPr>
          <w:rFonts w:hint="eastAsia" w:ascii="黑体" w:eastAsia="黑体"/>
          <w:sz w:val="32"/>
          <w:szCs w:val="32"/>
        </w:rPr>
        <w:t>三、国有资本经营预算</w:t>
      </w:r>
      <w:r>
        <w:rPr>
          <w:rFonts w:hint="eastAsia" w:ascii="仿宋_GB2312" w:eastAsia="仿宋_GB2312"/>
          <w:sz w:val="32"/>
          <w:szCs w:val="32"/>
        </w:rPr>
        <w:t>：国有资本经营预算是对国有资本收益做出支出安排的收支预算。</w:t>
      </w:r>
    </w:p>
    <w:p>
      <w:pPr>
        <w:ind w:firstLine="640"/>
        <w:rPr>
          <w:rFonts w:ascii="仿宋_GB2312" w:eastAsia="仿宋_GB2312"/>
          <w:sz w:val="32"/>
          <w:szCs w:val="32"/>
        </w:rPr>
      </w:pPr>
      <w:r>
        <w:rPr>
          <w:rFonts w:hint="eastAsia" w:ascii="黑体" w:eastAsia="黑体"/>
          <w:sz w:val="32"/>
          <w:szCs w:val="32"/>
        </w:rPr>
        <w:t>四、财政拨款收入：</w:t>
      </w:r>
      <w:r>
        <w:rPr>
          <w:rFonts w:hint="eastAsia" w:ascii="仿宋_GB2312" w:eastAsia="仿宋_GB2312"/>
          <w:sz w:val="32"/>
          <w:szCs w:val="32"/>
        </w:rPr>
        <w:t xml:space="preserve">指财政部门当年拨付的资金。 </w:t>
      </w:r>
    </w:p>
    <w:p>
      <w:pPr>
        <w:ind w:firstLine="640"/>
        <w:rPr>
          <w:rFonts w:ascii="仿宋_GB2312" w:eastAsia="仿宋_GB2312"/>
          <w:sz w:val="32"/>
          <w:szCs w:val="32"/>
        </w:rPr>
      </w:pPr>
      <w:r>
        <w:rPr>
          <w:rFonts w:hint="eastAsia" w:ascii="黑体" w:eastAsia="黑体"/>
          <w:sz w:val="32"/>
          <w:szCs w:val="32"/>
        </w:rPr>
        <w:t>五、非税收入：</w:t>
      </w:r>
      <w:r>
        <w:rPr>
          <w:rFonts w:hint="eastAsia" w:ascii="仿宋_GB2312" w:eastAsia="仿宋_GB2312"/>
          <w:sz w:val="3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rPr>
      </w:pPr>
      <w:r>
        <w:rPr>
          <w:rFonts w:hint="eastAsia" w:ascii="黑体" w:eastAsia="黑体"/>
          <w:sz w:val="32"/>
          <w:szCs w:val="32"/>
        </w:rPr>
        <w:t>六、事业收入：</w:t>
      </w:r>
      <w:r>
        <w:rPr>
          <w:rFonts w:hint="eastAsia" w:ascii="仿宋_GB2312" w:eastAsia="仿宋_GB2312"/>
          <w:sz w:val="32"/>
          <w:szCs w:val="32"/>
        </w:rPr>
        <w:t>指事业单位开展专业业务活动及辅助活动所取得的收入。</w:t>
      </w:r>
    </w:p>
    <w:p>
      <w:pPr>
        <w:ind w:firstLine="640" w:firstLineChars="200"/>
        <w:rPr>
          <w:rFonts w:ascii="仿宋_GB2312" w:eastAsia="仿宋_GB2312"/>
          <w:sz w:val="32"/>
          <w:szCs w:val="32"/>
        </w:rPr>
      </w:pPr>
      <w:r>
        <w:rPr>
          <w:rFonts w:hint="eastAsia" w:ascii="黑体" w:eastAsia="黑体"/>
          <w:sz w:val="32"/>
          <w:szCs w:val="32"/>
        </w:rPr>
        <w:t>七、经营收入：</w:t>
      </w:r>
      <w:r>
        <w:rPr>
          <w:rFonts w:hint="eastAsia" w:ascii="仿宋_GB2312" w:eastAsia="仿宋_GB2312"/>
          <w:sz w:val="32"/>
          <w:szCs w:val="32"/>
        </w:rPr>
        <w:t>指事业单位在专业业务活动及其辅助活动之外开展非独立核算经营活动取得的收入。</w:t>
      </w:r>
    </w:p>
    <w:p>
      <w:pPr>
        <w:ind w:firstLine="640"/>
        <w:rPr>
          <w:rFonts w:ascii="仿宋_GB2312" w:eastAsia="仿宋_GB2312"/>
          <w:sz w:val="32"/>
          <w:szCs w:val="32"/>
        </w:rPr>
      </w:pPr>
      <w:r>
        <w:rPr>
          <w:rFonts w:hint="eastAsia" w:ascii="黑体" w:eastAsia="黑体"/>
          <w:sz w:val="32"/>
          <w:szCs w:val="32"/>
        </w:rPr>
        <w:t>八、其他收入：</w:t>
      </w:r>
      <w:r>
        <w:rPr>
          <w:rFonts w:hint="eastAsia" w:ascii="仿宋_GB2312" w:eastAsia="仿宋_GB2312"/>
          <w:sz w:val="32"/>
          <w:szCs w:val="32"/>
        </w:rPr>
        <w:t>指除上述“财政拨款收入”、“事业收入”、“经营收入”等以外的收入。</w:t>
      </w:r>
    </w:p>
    <w:p>
      <w:pPr>
        <w:ind w:firstLine="640" w:firstLineChars="200"/>
        <w:rPr>
          <w:rFonts w:ascii="仿宋_GB2312" w:eastAsia="仿宋_GB2312"/>
          <w:sz w:val="32"/>
          <w:szCs w:val="32"/>
        </w:rPr>
      </w:pPr>
      <w:r>
        <w:rPr>
          <w:rFonts w:hint="eastAsia" w:ascii="黑体" w:eastAsia="黑体"/>
          <w:sz w:val="32"/>
          <w:szCs w:val="32"/>
        </w:rPr>
        <w:t>九、上年结转和结余：</w:t>
      </w:r>
      <w:r>
        <w:rPr>
          <w:rFonts w:hint="eastAsia" w:ascii="仿宋_GB2312" w:eastAsia="仿宋_GB2312"/>
          <w:sz w:val="32"/>
          <w:szCs w:val="32"/>
        </w:rPr>
        <w:t>指以前年度尚未完成、结转到本年按有关规定继续使用的资金。</w:t>
      </w:r>
    </w:p>
    <w:p>
      <w:pPr>
        <w:ind w:firstLine="640" w:firstLineChars="200"/>
        <w:rPr>
          <w:rFonts w:ascii="仿宋_GB2312" w:eastAsia="仿宋_GB2312"/>
          <w:sz w:val="32"/>
          <w:szCs w:val="32"/>
        </w:rPr>
      </w:pPr>
      <w:r>
        <w:rPr>
          <w:rFonts w:hint="eastAsia" w:ascii="黑体" w:eastAsia="黑体"/>
          <w:sz w:val="32"/>
          <w:szCs w:val="32"/>
        </w:rPr>
        <w:t>十、基本支出：</w:t>
      </w:r>
      <w:r>
        <w:rPr>
          <w:rFonts w:hint="eastAsia" w:ascii="仿宋_GB2312" w:eastAsia="仿宋_GB2312"/>
          <w:sz w:val="32"/>
          <w:szCs w:val="32"/>
        </w:rPr>
        <w:t>指为保障机构正常运转、完成日常工作任务而发生的人员支出和公用支出。</w:t>
      </w:r>
    </w:p>
    <w:p>
      <w:pPr>
        <w:ind w:firstLine="640" w:firstLineChars="200"/>
        <w:rPr>
          <w:rFonts w:ascii="仿宋_GB2312" w:eastAsia="仿宋_GB2312"/>
          <w:sz w:val="32"/>
          <w:szCs w:val="32"/>
        </w:rPr>
      </w:pPr>
      <w:r>
        <w:rPr>
          <w:rFonts w:hint="eastAsia" w:ascii="黑体" w:eastAsia="黑体"/>
          <w:sz w:val="32"/>
          <w:szCs w:val="32"/>
        </w:rPr>
        <w:t>十一、项目支出：</w:t>
      </w:r>
      <w:r>
        <w:rPr>
          <w:rFonts w:hint="eastAsia" w:ascii="仿宋_GB2312" w:eastAsia="仿宋_GB2312"/>
          <w:sz w:val="32"/>
          <w:szCs w:val="32"/>
        </w:rPr>
        <w:t xml:space="preserve">指在基本支出之外为完成特定行政任务和事业发展目标所发生的支出。  </w:t>
      </w:r>
    </w:p>
    <w:p>
      <w:pPr>
        <w:ind w:firstLine="640" w:firstLineChars="200"/>
        <w:rPr>
          <w:rFonts w:ascii="仿宋_GB2312" w:eastAsia="仿宋_GB2312"/>
          <w:sz w:val="32"/>
          <w:szCs w:val="32"/>
        </w:rPr>
      </w:pPr>
      <w:r>
        <w:rPr>
          <w:rFonts w:hint="eastAsia" w:ascii="黑体" w:eastAsia="黑体"/>
          <w:sz w:val="32"/>
          <w:szCs w:val="32"/>
        </w:rPr>
        <w:t>十二、经营支出：</w:t>
      </w:r>
      <w:r>
        <w:rPr>
          <w:rFonts w:hint="eastAsia" w:ascii="仿宋_GB2312" w:eastAsia="仿宋_GB2312"/>
          <w:sz w:val="32"/>
          <w:szCs w:val="32"/>
        </w:rPr>
        <w:t>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黑体" w:eastAsia="黑体"/>
          <w:sz w:val="32"/>
          <w:szCs w:val="32"/>
        </w:rPr>
        <w:t>十三、“三公”经费：</w:t>
      </w:r>
      <w:r>
        <w:rPr>
          <w:rFonts w:hint="eastAsia" w:ascii="仿宋_GB2312" w:eastAsia="仿宋_GB2312"/>
          <w:sz w:val="32"/>
          <w:szCs w:val="32"/>
        </w:rPr>
        <w:t>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黑体" w:eastAsia="黑体"/>
          <w:sz w:val="32"/>
          <w:szCs w:val="32"/>
        </w:rPr>
        <w:t>十四、运行经费：</w:t>
      </w:r>
      <w:r>
        <w:rPr>
          <w:rFonts w:hint="eastAsia" w:ascii="仿宋_GB2312" w:eastAsia="仿宋_GB2312"/>
          <w:sz w:val="3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rPr>
      </w:pPr>
      <w:r>
        <w:rPr>
          <w:rFonts w:hint="eastAsia" w:ascii="黑体" w:eastAsia="黑体"/>
          <w:sz w:val="32"/>
          <w:szCs w:val="32"/>
        </w:rPr>
        <w:t>十五、支出类常用科目的说明</w:t>
      </w:r>
    </w:p>
    <w:p>
      <w:pPr>
        <w:spacing w:line="500" w:lineRule="exact"/>
        <w:ind w:firstLine="645"/>
        <w:rPr>
          <w:rFonts w:ascii="仿宋_GB2312" w:eastAsia="仿宋_GB2312"/>
          <w:sz w:val="32"/>
          <w:szCs w:val="32"/>
        </w:rPr>
      </w:pPr>
      <w:r>
        <w:rPr>
          <w:rFonts w:hint="eastAsia" w:ascii="黑体" w:eastAsia="黑体"/>
          <w:sz w:val="32"/>
          <w:szCs w:val="32"/>
        </w:rPr>
        <w:t>1．一般公共服务</w:t>
      </w:r>
      <w:r>
        <w:rPr>
          <w:rFonts w:hint="eastAsia" w:ascii="仿宋_GB2312" w:eastAsia="仿宋_GB2312"/>
          <w:sz w:val="32"/>
          <w:szCs w:val="32"/>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市场监督管理事务等。</w:t>
      </w:r>
    </w:p>
    <w:p>
      <w:pPr>
        <w:spacing w:line="500" w:lineRule="exact"/>
        <w:ind w:firstLine="645"/>
        <w:rPr>
          <w:rFonts w:ascii="黑体" w:eastAsia="黑体"/>
          <w:sz w:val="32"/>
          <w:szCs w:val="32"/>
        </w:rPr>
      </w:pPr>
      <w:r>
        <w:rPr>
          <w:rFonts w:hint="eastAsia" w:ascii="黑体" w:eastAsia="黑体"/>
          <w:sz w:val="32"/>
          <w:szCs w:val="32"/>
        </w:rPr>
        <w:t xml:space="preserve">2．国防  </w:t>
      </w:r>
      <w:r>
        <w:rPr>
          <w:rFonts w:hint="eastAsia" w:ascii="仿宋_GB2312" w:eastAsia="仿宋_GB2312"/>
          <w:sz w:val="32"/>
          <w:szCs w:val="32"/>
        </w:rPr>
        <w:t>反映政府用于国防方面的支出。主要包括：现役部队、国防动员等。</w:t>
      </w:r>
    </w:p>
    <w:p>
      <w:pPr>
        <w:spacing w:line="500" w:lineRule="exact"/>
        <w:ind w:firstLine="645"/>
        <w:rPr>
          <w:rFonts w:ascii="黑体" w:eastAsia="黑体"/>
          <w:sz w:val="32"/>
          <w:szCs w:val="32"/>
        </w:rPr>
      </w:pPr>
      <w:r>
        <w:rPr>
          <w:rFonts w:hint="eastAsia" w:ascii="黑体" w:eastAsia="黑体"/>
          <w:sz w:val="32"/>
          <w:szCs w:val="32"/>
        </w:rPr>
        <w:t>3．公共安全</w:t>
      </w:r>
      <w:r>
        <w:rPr>
          <w:rFonts w:hint="eastAsia" w:ascii="仿宋_GB2312" w:eastAsia="仿宋_GB2312"/>
          <w:sz w:val="32"/>
          <w:szCs w:val="32"/>
        </w:rPr>
        <w:t xml:space="preserve">  反映政府维护社会公共安全方面的支出。主要包括：武装警察部队、公安、国家安全、检察、法院、司法、监狱、强制隔离戒毒、国家保密等。</w:t>
      </w:r>
    </w:p>
    <w:p>
      <w:pPr>
        <w:spacing w:line="500" w:lineRule="exact"/>
        <w:ind w:firstLine="645"/>
        <w:rPr>
          <w:rFonts w:ascii="仿宋_GB2312" w:eastAsia="仿宋_GB2312"/>
          <w:sz w:val="32"/>
          <w:szCs w:val="32"/>
        </w:rPr>
      </w:pPr>
      <w:r>
        <w:rPr>
          <w:rFonts w:hint="eastAsia" w:ascii="黑体" w:eastAsia="黑体"/>
          <w:sz w:val="32"/>
          <w:szCs w:val="32"/>
        </w:rPr>
        <w:t>4．教育</w:t>
      </w:r>
      <w:r>
        <w:rPr>
          <w:rFonts w:hint="eastAsia" w:ascii="仿宋_GB2312" w:eastAsia="仿宋_GB2312"/>
          <w:sz w:val="32"/>
          <w:szCs w:val="32"/>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ascii="仿宋_GB2312" w:eastAsia="仿宋_GB2312"/>
          <w:sz w:val="32"/>
          <w:szCs w:val="32"/>
        </w:rPr>
      </w:pPr>
      <w:r>
        <w:rPr>
          <w:rFonts w:hint="eastAsia" w:ascii="黑体" w:eastAsia="黑体"/>
          <w:sz w:val="32"/>
          <w:szCs w:val="32"/>
        </w:rPr>
        <w:t>5．科学技术</w:t>
      </w:r>
      <w:r>
        <w:rPr>
          <w:rFonts w:hint="eastAsia" w:ascii="仿宋_GB2312" w:eastAsia="仿宋_GB2312"/>
          <w:sz w:val="32"/>
          <w:szCs w:val="32"/>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ascii="仿宋_GB2312" w:eastAsia="仿宋_GB2312"/>
          <w:sz w:val="32"/>
          <w:szCs w:val="32"/>
        </w:rPr>
      </w:pPr>
      <w:r>
        <w:rPr>
          <w:rFonts w:hint="eastAsia" w:ascii="黑体" w:eastAsia="黑体"/>
          <w:sz w:val="32"/>
          <w:szCs w:val="32"/>
        </w:rPr>
        <w:t>6．文化旅游体育与传媒</w:t>
      </w:r>
      <w:r>
        <w:rPr>
          <w:rFonts w:hint="eastAsia" w:ascii="仿宋_GB2312" w:eastAsia="仿宋_GB2312"/>
          <w:sz w:val="32"/>
          <w:szCs w:val="32"/>
        </w:rPr>
        <w:t xml:space="preserve">  反映政府在文化、旅游、文物、体育、广播影视、电影、新闻出版等方面的支出。主要包括：文化和旅游、文物、体育、新闻出版电影等。</w:t>
      </w:r>
    </w:p>
    <w:p>
      <w:pPr>
        <w:spacing w:line="500" w:lineRule="exact"/>
        <w:ind w:firstLine="645"/>
        <w:rPr>
          <w:rFonts w:ascii="仿宋_GB2312" w:eastAsia="仿宋_GB2312"/>
          <w:sz w:val="32"/>
          <w:szCs w:val="32"/>
        </w:rPr>
      </w:pPr>
      <w:r>
        <w:rPr>
          <w:rFonts w:hint="eastAsia" w:ascii="黑体" w:eastAsia="黑体"/>
          <w:sz w:val="32"/>
          <w:szCs w:val="32"/>
        </w:rPr>
        <w:t xml:space="preserve">7．社会保障和就业  </w:t>
      </w:r>
      <w:r>
        <w:rPr>
          <w:rFonts w:hint="eastAsia" w:ascii="仿宋_GB2312" w:eastAsia="仿宋_GB2312"/>
          <w:sz w:val="32"/>
          <w:szCs w:val="32"/>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ascii="仿宋_GB2312" w:eastAsia="仿宋_GB2312"/>
          <w:sz w:val="32"/>
          <w:szCs w:val="32"/>
        </w:rPr>
      </w:pPr>
      <w:r>
        <w:rPr>
          <w:rFonts w:hint="eastAsia" w:ascii="黑体" w:eastAsia="黑体"/>
          <w:sz w:val="32"/>
          <w:szCs w:val="32"/>
        </w:rPr>
        <w:t xml:space="preserve">8．卫生健康 </w:t>
      </w:r>
      <w:r>
        <w:rPr>
          <w:rFonts w:hint="eastAsia" w:ascii="仿宋_GB2312" w:eastAsia="仿宋_GB2312"/>
          <w:sz w:val="32"/>
          <w:szCs w:val="32"/>
        </w:rPr>
        <w:t xml:space="preserve"> 反映政府卫生健康方面的支出。主要包括：卫生健康管理事务、公立医院、基层医疗卫生机构、公共卫生、中医药、计划生育事务等。</w:t>
      </w:r>
    </w:p>
    <w:p>
      <w:pPr>
        <w:spacing w:line="500" w:lineRule="exact"/>
        <w:ind w:firstLine="645"/>
        <w:rPr>
          <w:rFonts w:ascii="仿宋_GB2312" w:eastAsia="仿宋_GB2312"/>
          <w:sz w:val="32"/>
          <w:szCs w:val="32"/>
        </w:rPr>
      </w:pPr>
      <w:r>
        <w:rPr>
          <w:rFonts w:hint="eastAsia" w:ascii="黑体" w:eastAsia="黑体"/>
          <w:sz w:val="32"/>
          <w:szCs w:val="32"/>
        </w:rPr>
        <w:t>9．节能环保</w:t>
      </w:r>
      <w:r>
        <w:rPr>
          <w:rFonts w:hint="eastAsia" w:ascii="仿宋_GB2312" w:eastAsia="仿宋_GB2312"/>
          <w:sz w:val="32"/>
          <w:szCs w:val="32"/>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ascii="仿宋_GB2312" w:eastAsia="仿宋_GB2312"/>
          <w:sz w:val="32"/>
          <w:szCs w:val="32"/>
        </w:rPr>
      </w:pPr>
      <w:r>
        <w:rPr>
          <w:rFonts w:hint="eastAsia" w:ascii="黑体" w:eastAsia="黑体"/>
          <w:sz w:val="32"/>
          <w:szCs w:val="32"/>
        </w:rPr>
        <w:t xml:space="preserve">10．城乡社区  </w:t>
      </w:r>
      <w:r>
        <w:rPr>
          <w:rFonts w:hint="eastAsia" w:ascii="仿宋_GB2312" w:eastAsia="仿宋_GB2312"/>
          <w:sz w:val="32"/>
          <w:szCs w:val="32"/>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ascii="仿宋_GB2312" w:eastAsia="仿宋_GB2312"/>
          <w:sz w:val="32"/>
          <w:szCs w:val="32"/>
        </w:rPr>
      </w:pPr>
      <w:r>
        <w:rPr>
          <w:rFonts w:hint="eastAsia" w:ascii="仿宋_GB2312" w:eastAsia="仿宋_GB2312"/>
          <w:b/>
          <w:sz w:val="32"/>
          <w:szCs w:val="32"/>
        </w:rPr>
        <w:t>11.</w:t>
      </w:r>
      <w:r>
        <w:rPr>
          <w:rFonts w:hint="eastAsia" w:ascii="黑体" w:eastAsia="黑体"/>
          <w:sz w:val="32"/>
          <w:szCs w:val="32"/>
        </w:rPr>
        <w:t>农林水</w:t>
      </w:r>
      <w:r>
        <w:rPr>
          <w:rFonts w:hint="eastAsia" w:ascii="仿宋_GB2312" w:eastAsia="仿宋_GB2312"/>
          <w:sz w:val="32"/>
          <w:szCs w:val="32"/>
        </w:rPr>
        <w:t xml:space="preserve">  反映政府农林水事务支出。主要包括：农业、林业和草原、水利、南水北调、扶贫、农业综合开发等。</w:t>
      </w:r>
    </w:p>
    <w:p>
      <w:pPr>
        <w:spacing w:line="500" w:lineRule="exact"/>
        <w:ind w:firstLine="645"/>
        <w:rPr>
          <w:rFonts w:ascii="仿宋_GB2312" w:eastAsia="仿宋_GB2312"/>
          <w:sz w:val="32"/>
          <w:szCs w:val="32"/>
        </w:rPr>
      </w:pPr>
      <w:r>
        <w:rPr>
          <w:rFonts w:hint="eastAsia" w:ascii="仿宋_GB2312" w:eastAsia="仿宋_GB2312"/>
          <w:b/>
          <w:sz w:val="32"/>
          <w:szCs w:val="32"/>
        </w:rPr>
        <w:t>12.</w:t>
      </w:r>
      <w:r>
        <w:rPr>
          <w:rFonts w:hint="eastAsia" w:ascii="黑体" w:eastAsia="黑体"/>
          <w:sz w:val="32"/>
          <w:szCs w:val="32"/>
        </w:rPr>
        <w:t>交通运输</w:t>
      </w:r>
      <w:r>
        <w:rPr>
          <w:rFonts w:hint="eastAsia" w:ascii="仿宋_GB2312" w:eastAsia="仿宋_GB2312"/>
          <w:b/>
          <w:sz w:val="32"/>
          <w:szCs w:val="32"/>
        </w:rPr>
        <w:t xml:space="preserve">  </w:t>
      </w:r>
      <w:r>
        <w:rPr>
          <w:rFonts w:hint="eastAsia" w:ascii="仿宋_GB2312" w:eastAsia="仿宋_GB2312"/>
          <w:sz w:val="32"/>
          <w:szCs w:val="32"/>
        </w:rPr>
        <w:t>反映政府交通运输和邮政业方面的支出。包括公路水路运输支出、铁路运输支出、民用航空运输支出和邮政业支出等。</w:t>
      </w:r>
    </w:p>
    <w:p>
      <w:pPr>
        <w:spacing w:line="500" w:lineRule="exact"/>
        <w:ind w:firstLine="645"/>
        <w:rPr>
          <w:rFonts w:ascii="仿宋_GB2312" w:eastAsia="仿宋_GB2312"/>
          <w:sz w:val="32"/>
          <w:szCs w:val="32"/>
        </w:rPr>
      </w:pPr>
      <w:r>
        <w:rPr>
          <w:rFonts w:hint="eastAsia" w:ascii="仿宋_GB2312" w:eastAsia="仿宋_GB2312"/>
          <w:b/>
          <w:sz w:val="32"/>
          <w:szCs w:val="32"/>
        </w:rPr>
        <w:t>13.</w:t>
      </w:r>
      <w:r>
        <w:rPr>
          <w:rFonts w:hint="eastAsia" w:ascii="黑体" w:eastAsia="黑体"/>
          <w:sz w:val="32"/>
          <w:szCs w:val="32"/>
        </w:rPr>
        <w:t>资源勘探工业信息等</w:t>
      </w:r>
      <w:r>
        <w:rPr>
          <w:rFonts w:hint="eastAsia" w:ascii="仿宋_GB2312" w:eastAsia="仿宋_GB2312"/>
          <w:b/>
          <w:sz w:val="32"/>
          <w:szCs w:val="32"/>
        </w:rPr>
        <w:t xml:space="preserve">  </w:t>
      </w:r>
      <w:r>
        <w:rPr>
          <w:rFonts w:hint="eastAsia" w:ascii="仿宋_GB2312" w:eastAsia="仿宋_GB2312"/>
          <w:sz w:val="32"/>
          <w:szCs w:val="32"/>
        </w:rPr>
        <w:t>反映用于资源勘探、制造业、建筑业、工业信息等方面支出。具体包括：资源勘探业开发、制造业、建筑业、工业和信息产业监管、国有资产监管、支持中小企业发展和管理支出等。</w:t>
      </w:r>
    </w:p>
    <w:p>
      <w:pPr>
        <w:spacing w:line="500" w:lineRule="exact"/>
        <w:ind w:firstLine="645"/>
        <w:rPr>
          <w:rFonts w:ascii="仿宋_GB2312" w:eastAsia="仿宋_GB2312"/>
          <w:b/>
          <w:sz w:val="32"/>
          <w:szCs w:val="32"/>
        </w:rPr>
      </w:pPr>
      <w:r>
        <w:rPr>
          <w:rFonts w:hint="eastAsia" w:ascii="仿宋_GB2312" w:eastAsia="仿宋_GB2312"/>
          <w:b/>
          <w:sz w:val="32"/>
          <w:szCs w:val="32"/>
        </w:rPr>
        <w:t>14</w:t>
      </w:r>
      <w:r>
        <w:rPr>
          <w:rFonts w:hint="eastAsia" w:ascii="黑体" w:eastAsia="黑体"/>
          <w:sz w:val="32"/>
          <w:szCs w:val="32"/>
        </w:rPr>
        <w:t>．商业服务业等</w:t>
      </w:r>
      <w:r>
        <w:rPr>
          <w:rFonts w:hint="eastAsia" w:ascii="仿宋_GB2312" w:eastAsia="仿宋_GB2312"/>
          <w:b/>
          <w:sz w:val="32"/>
          <w:szCs w:val="32"/>
        </w:rPr>
        <w:t xml:space="preserve">  </w:t>
      </w:r>
      <w:r>
        <w:rPr>
          <w:rFonts w:hint="eastAsia" w:ascii="仿宋_GB2312" w:eastAsia="仿宋_GB2312"/>
          <w:sz w:val="32"/>
          <w:szCs w:val="32"/>
        </w:rPr>
        <w:t>反映商业服务业等事务的支出。具体包括：商业流通事务、旅游业管理与服务支出、涉外发展事务支出等。</w:t>
      </w:r>
    </w:p>
    <w:p>
      <w:pPr>
        <w:spacing w:line="500" w:lineRule="exact"/>
        <w:ind w:firstLine="645"/>
        <w:rPr>
          <w:rFonts w:ascii="仿宋_GB2312" w:eastAsia="仿宋_GB2312"/>
          <w:sz w:val="32"/>
          <w:szCs w:val="32"/>
        </w:rPr>
      </w:pPr>
      <w:r>
        <w:rPr>
          <w:rFonts w:hint="eastAsia" w:ascii="仿宋_GB2312" w:eastAsia="仿宋_GB2312"/>
          <w:b/>
          <w:sz w:val="32"/>
          <w:szCs w:val="32"/>
        </w:rPr>
        <w:t>15</w:t>
      </w:r>
      <w:r>
        <w:rPr>
          <w:rFonts w:hint="eastAsia" w:ascii="黑体" w:eastAsia="黑体"/>
          <w:sz w:val="32"/>
          <w:szCs w:val="32"/>
        </w:rPr>
        <w:t>．自然资源海洋气象等</w:t>
      </w:r>
      <w:r>
        <w:rPr>
          <w:rFonts w:hint="eastAsia" w:ascii="仿宋_GB2312" w:eastAsia="仿宋_GB2312"/>
          <w:sz w:val="32"/>
          <w:szCs w:val="32"/>
        </w:rPr>
        <w:t xml:space="preserve">  反映政府用于自然资源、海洋、测绘、地震、气象等公益服务事业方面的支出。具体包括：自然资源事务、海洋管理事务、测绘事务等。</w:t>
      </w:r>
    </w:p>
    <w:p>
      <w:pPr>
        <w:spacing w:line="500" w:lineRule="exact"/>
        <w:ind w:firstLine="645"/>
        <w:rPr>
          <w:rFonts w:ascii="仿宋_GB2312" w:eastAsia="仿宋_GB2312"/>
          <w:sz w:val="32"/>
          <w:szCs w:val="32"/>
        </w:rPr>
      </w:pPr>
      <w:r>
        <w:rPr>
          <w:rFonts w:hint="eastAsia" w:ascii="仿宋_GB2312" w:eastAsia="仿宋_GB2312"/>
          <w:b/>
          <w:sz w:val="32"/>
          <w:szCs w:val="32"/>
        </w:rPr>
        <w:t>16</w:t>
      </w:r>
      <w:r>
        <w:rPr>
          <w:rFonts w:hint="eastAsia" w:ascii="黑体" w:eastAsia="黑体"/>
          <w:sz w:val="32"/>
          <w:szCs w:val="32"/>
        </w:rPr>
        <w:t>．住房保障</w:t>
      </w:r>
      <w:r>
        <w:rPr>
          <w:rFonts w:hint="eastAsia" w:ascii="仿宋_GB2312" w:eastAsia="仿宋_GB2312"/>
          <w:b/>
          <w:sz w:val="32"/>
          <w:szCs w:val="32"/>
        </w:rPr>
        <w:t xml:space="preserve"> </w:t>
      </w:r>
      <w:r>
        <w:rPr>
          <w:rFonts w:hint="eastAsia" w:ascii="仿宋_GB2312" w:eastAsia="仿宋_GB2312"/>
          <w:sz w:val="32"/>
          <w:szCs w:val="32"/>
        </w:rPr>
        <w:t xml:space="preserve"> 反映政府用于住房方面的支出。具体包括保障性安居工程支出、住房改革支出、城乡社区住宅支出等。</w:t>
      </w:r>
    </w:p>
    <w:p>
      <w:pPr>
        <w:spacing w:line="500" w:lineRule="exact"/>
        <w:ind w:firstLine="645"/>
        <w:rPr>
          <w:rFonts w:ascii="仿宋_GB2312" w:eastAsia="仿宋_GB2312"/>
          <w:sz w:val="32"/>
          <w:szCs w:val="32"/>
        </w:rPr>
      </w:pPr>
      <w:r>
        <w:rPr>
          <w:rFonts w:hint="eastAsia" w:ascii="仿宋_GB2312" w:eastAsia="仿宋_GB2312"/>
          <w:b/>
          <w:sz w:val="32"/>
          <w:szCs w:val="32"/>
        </w:rPr>
        <w:t>17</w:t>
      </w:r>
      <w:r>
        <w:rPr>
          <w:rFonts w:hint="eastAsia" w:ascii="黑体" w:eastAsia="黑体"/>
          <w:sz w:val="32"/>
          <w:szCs w:val="32"/>
        </w:rPr>
        <w:t>．粮油物资储备</w:t>
      </w:r>
      <w:r>
        <w:rPr>
          <w:rFonts w:hint="eastAsia" w:ascii="仿宋_GB2312" w:eastAsia="仿宋_GB2312"/>
          <w:sz w:val="32"/>
          <w:szCs w:val="32"/>
        </w:rPr>
        <w:t xml:space="preserve">  反映政府用于粮油物资储备方面的支出。具体包括粮油事务、物资事务、能源储备、粮油储备等。</w:t>
      </w:r>
    </w:p>
    <w:p>
      <w:pPr>
        <w:spacing w:line="500" w:lineRule="exact"/>
        <w:ind w:firstLine="645"/>
        <w:rPr>
          <w:rFonts w:ascii="仿宋_GB2312" w:eastAsia="仿宋_GB2312"/>
          <w:sz w:val="32"/>
          <w:szCs w:val="32"/>
        </w:rPr>
      </w:pPr>
      <w:r>
        <w:rPr>
          <w:rFonts w:hint="eastAsia" w:ascii="仿宋_GB2312" w:eastAsia="仿宋_GB2312"/>
          <w:b/>
          <w:sz w:val="32"/>
          <w:szCs w:val="32"/>
        </w:rPr>
        <w:t>18</w:t>
      </w:r>
      <w:r>
        <w:rPr>
          <w:rFonts w:hint="eastAsia" w:ascii="黑体" w:eastAsia="黑体"/>
          <w:sz w:val="32"/>
          <w:szCs w:val="32"/>
        </w:rPr>
        <w:t>．灾害防治及应急管理</w:t>
      </w:r>
      <w:r>
        <w:rPr>
          <w:rFonts w:hint="eastAsia" w:ascii="仿宋_GB2312" w:eastAsia="仿宋_GB2312"/>
          <w:b/>
          <w:sz w:val="32"/>
          <w:szCs w:val="32"/>
        </w:rPr>
        <w:t xml:space="preserve">  </w:t>
      </w:r>
      <w:r>
        <w:rPr>
          <w:rFonts w:hint="eastAsia" w:ascii="仿宋_GB2312" w:eastAsia="仿宋_GB2312"/>
          <w:sz w:val="32"/>
          <w:szCs w:val="32"/>
        </w:rPr>
        <w:t>反映用于自然灾害防治、安全生产监管及应急管理等方面的支出。具体包括应急管理事务、消防食物、地震事务支出等。</w:t>
      </w:r>
    </w:p>
    <w:p>
      <w:pPr>
        <w:ind w:firstLine="862" w:firstLineChars="196"/>
        <w:rPr>
          <w:rFonts w:ascii="仿宋_GB2312" w:hAnsi="宋体" w:eastAsia="仿宋_GB2312"/>
          <w:bCs/>
          <w:sz w:val="44"/>
          <w:szCs w:val="44"/>
        </w:rPr>
      </w:pPr>
    </w:p>
    <w:p>
      <w:pPr>
        <w:ind w:firstLine="862" w:firstLineChars="196"/>
        <w:rPr>
          <w:rFonts w:ascii="仿宋_GB2312" w:hAnsi="宋体" w:eastAsia="仿宋_GB2312"/>
          <w:bCs/>
          <w:sz w:val="44"/>
          <w:szCs w:val="44"/>
        </w:rPr>
      </w:pPr>
    </w:p>
    <w:p>
      <w:pPr>
        <w:rPr>
          <w:rFonts w:ascii="仿宋_GB2312" w:hAnsi="宋体" w:eastAsia="仿宋_GB2312"/>
          <w:bCs/>
          <w:sz w:val="44"/>
          <w:szCs w:val="44"/>
        </w:rPr>
      </w:pPr>
    </w:p>
    <w:sectPr>
      <w:headerReference r:id="rId3" w:type="default"/>
      <w:footerReference r:id="rId4" w:type="default"/>
      <w:footerReference r:id="rId5" w:type="even"/>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jc w:val="center"/>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- 13 -</w:t>
    </w:r>
    <w:r>
      <w:rPr>
        <w:rFonts w:ascii="宋体" w:hAnsi="宋体"/>
        <w:sz w:val="28"/>
        <w:szCs w:val="2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9131F2"/>
    <w:multiLevelType w:val="singleLevel"/>
    <w:tmpl w:val="EA9131F2"/>
    <w:lvl w:ilvl="0" w:tentative="0">
      <w:start w:val="1"/>
      <w:numFmt w:val="chineseCounting"/>
      <w:suff w:val="nothing"/>
      <w:lvlText w:val="%1、"/>
      <w:lvlJc w:val="left"/>
      <w:rPr>
        <w:rFonts w:hint="eastAsia"/>
      </w:rPr>
    </w:lvl>
  </w:abstractNum>
  <w:abstractNum w:abstractNumId="1">
    <w:nsid w:val="03A55727"/>
    <w:multiLevelType w:val="singleLevel"/>
    <w:tmpl w:val="03A5572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4YzJjNDFjNTI0ZWQyZTQ0YjQ1ZDJjOTE5NDg1NDYifQ=="/>
    <w:docVar w:name="KSO_WPS_MARK_KEY" w:val="5997d3cd-e4d4-4c6b-9376-489807d7ce01"/>
  </w:docVars>
  <w:rsids>
    <w:rsidRoot w:val="00C4550D"/>
    <w:rsid w:val="00002800"/>
    <w:rsid w:val="00005A50"/>
    <w:rsid w:val="00011A00"/>
    <w:rsid w:val="00013DC2"/>
    <w:rsid w:val="00015311"/>
    <w:rsid w:val="000158B1"/>
    <w:rsid w:val="0004364C"/>
    <w:rsid w:val="0004432C"/>
    <w:rsid w:val="00052D25"/>
    <w:rsid w:val="000721EA"/>
    <w:rsid w:val="00086BAB"/>
    <w:rsid w:val="00090EC6"/>
    <w:rsid w:val="00092EC5"/>
    <w:rsid w:val="000B22A7"/>
    <w:rsid w:val="000E116A"/>
    <w:rsid w:val="000F30A9"/>
    <w:rsid w:val="000F7F46"/>
    <w:rsid w:val="001231D2"/>
    <w:rsid w:val="0012749A"/>
    <w:rsid w:val="00131728"/>
    <w:rsid w:val="0013493D"/>
    <w:rsid w:val="00135EB1"/>
    <w:rsid w:val="001425C7"/>
    <w:rsid w:val="0015026C"/>
    <w:rsid w:val="001621A5"/>
    <w:rsid w:val="00186A23"/>
    <w:rsid w:val="00187AF1"/>
    <w:rsid w:val="001965D8"/>
    <w:rsid w:val="001C3638"/>
    <w:rsid w:val="001C4B0B"/>
    <w:rsid w:val="001D6173"/>
    <w:rsid w:val="002118BB"/>
    <w:rsid w:val="0021793B"/>
    <w:rsid w:val="002343E8"/>
    <w:rsid w:val="00237361"/>
    <w:rsid w:val="00237BE5"/>
    <w:rsid w:val="00241F6D"/>
    <w:rsid w:val="00273E5B"/>
    <w:rsid w:val="002852AE"/>
    <w:rsid w:val="002978A3"/>
    <w:rsid w:val="002C44B4"/>
    <w:rsid w:val="002D3420"/>
    <w:rsid w:val="003048DF"/>
    <w:rsid w:val="003155E4"/>
    <w:rsid w:val="003166A7"/>
    <w:rsid w:val="0032148B"/>
    <w:rsid w:val="003317DC"/>
    <w:rsid w:val="00335616"/>
    <w:rsid w:val="00345AB0"/>
    <w:rsid w:val="00350401"/>
    <w:rsid w:val="00383109"/>
    <w:rsid w:val="003B707E"/>
    <w:rsid w:val="003E37F4"/>
    <w:rsid w:val="0042273E"/>
    <w:rsid w:val="0042781B"/>
    <w:rsid w:val="0043145D"/>
    <w:rsid w:val="0044666A"/>
    <w:rsid w:val="0045002F"/>
    <w:rsid w:val="004659E0"/>
    <w:rsid w:val="0048254D"/>
    <w:rsid w:val="00483CA8"/>
    <w:rsid w:val="00497103"/>
    <w:rsid w:val="004B1749"/>
    <w:rsid w:val="004C3F93"/>
    <w:rsid w:val="004D2036"/>
    <w:rsid w:val="004E54AC"/>
    <w:rsid w:val="0051154B"/>
    <w:rsid w:val="00533124"/>
    <w:rsid w:val="005612D3"/>
    <w:rsid w:val="0056395F"/>
    <w:rsid w:val="00564DCD"/>
    <w:rsid w:val="00567F51"/>
    <w:rsid w:val="00571768"/>
    <w:rsid w:val="00580400"/>
    <w:rsid w:val="005935EB"/>
    <w:rsid w:val="005B14EB"/>
    <w:rsid w:val="005B17FE"/>
    <w:rsid w:val="005B6490"/>
    <w:rsid w:val="005D32D9"/>
    <w:rsid w:val="005F10F1"/>
    <w:rsid w:val="00610010"/>
    <w:rsid w:val="00616E79"/>
    <w:rsid w:val="00617CFB"/>
    <w:rsid w:val="006248FD"/>
    <w:rsid w:val="00624952"/>
    <w:rsid w:val="006324C7"/>
    <w:rsid w:val="00676029"/>
    <w:rsid w:val="006849C1"/>
    <w:rsid w:val="006B2C4C"/>
    <w:rsid w:val="006E4B0B"/>
    <w:rsid w:val="006F2369"/>
    <w:rsid w:val="006F3486"/>
    <w:rsid w:val="00704D68"/>
    <w:rsid w:val="00714A9A"/>
    <w:rsid w:val="00717263"/>
    <w:rsid w:val="0072120C"/>
    <w:rsid w:val="00734F48"/>
    <w:rsid w:val="00735306"/>
    <w:rsid w:val="00741260"/>
    <w:rsid w:val="00744C62"/>
    <w:rsid w:val="007831A6"/>
    <w:rsid w:val="00795092"/>
    <w:rsid w:val="007A2C72"/>
    <w:rsid w:val="007A3805"/>
    <w:rsid w:val="007B6FE7"/>
    <w:rsid w:val="007E5438"/>
    <w:rsid w:val="008010C7"/>
    <w:rsid w:val="00823CC6"/>
    <w:rsid w:val="00857FAE"/>
    <w:rsid w:val="00880E47"/>
    <w:rsid w:val="00881EDF"/>
    <w:rsid w:val="0088414C"/>
    <w:rsid w:val="008B29B3"/>
    <w:rsid w:val="008C3792"/>
    <w:rsid w:val="008F27CF"/>
    <w:rsid w:val="008F49AF"/>
    <w:rsid w:val="00906D87"/>
    <w:rsid w:val="00910E99"/>
    <w:rsid w:val="00915FAD"/>
    <w:rsid w:val="0091680A"/>
    <w:rsid w:val="0092224F"/>
    <w:rsid w:val="009234BA"/>
    <w:rsid w:val="00955C71"/>
    <w:rsid w:val="00960291"/>
    <w:rsid w:val="00972B13"/>
    <w:rsid w:val="009737C5"/>
    <w:rsid w:val="009B37BC"/>
    <w:rsid w:val="009C233F"/>
    <w:rsid w:val="009C44C4"/>
    <w:rsid w:val="009D2543"/>
    <w:rsid w:val="009D4ADD"/>
    <w:rsid w:val="009F4A04"/>
    <w:rsid w:val="009F4EA9"/>
    <w:rsid w:val="009F4F23"/>
    <w:rsid w:val="00A05E2C"/>
    <w:rsid w:val="00A40EBD"/>
    <w:rsid w:val="00A42270"/>
    <w:rsid w:val="00A47FF6"/>
    <w:rsid w:val="00A51636"/>
    <w:rsid w:val="00A57777"/>
    <w:rsid w:val="00A60AF2"/>
    <w:rsid w:val="00A66934"/>
    <w:rsid w:val="00A73A12"/>
    <w:rsid w:val="00A77A8F"/>
    <w:rsid w:val="00AA3C3F"/>
    <w:rsid w:val="00AA4627"/>
    <w:rsid w:val="00AB0FF4"/>
    <w:rsid w:val="00AB63C0"/>
    <w:rsid w:val="00AC10B6"/>
    <w:rsid w:val="00AD3690"/>
    <w:rsid w:val="00AE1FE8"/>
    <w:rsid w:val="00AF14E4"/>
    <w:rsid w:val="00B037EB"/>
    <w:rsid w:val="00B10FA0"/>
    <w:rsid w:val="00B23153"/>
    <w:rsid w:val="00B2319F"/>
    <w:rsid w:val="00B46856"/>
    <w:rsid w:val="00B50E5B"/>
    <w:rsid w:val="00B75B0D"/>
    <w:rsid w:val="00B85E22"/>
    <w:rsid w:val="00B86945"/>
    <w:rsid w:val="00BB27BD"/>
    <w:rsid w:val="00BB7364"/>
    <w:rsid w:val="00BD5BB3"/>
    <w:rsid w:val="00BF0422"/>
    <w:rsid w:val="00BF29C8"/>
    <w:rsid w:val="00BF68D9"/>
    <w:rsid w:val="00BF76A0"/>
    <w:rsid w:val="00C12E8F"/>
    <w:rsid w:val="00C20918"/>
    <w:rsid w:val="00C4550D"/>
    <w:rsid w:val="00C51200"/>
    <w:rsid w:val="00C620AA"/>
    <w:rsid w:val="00C92BE4"/>
    <w:rsid w:val="00C930C2"/>
    <w:rsid w:val="00C96C83"/>
    <w:rsid w:val="00CC23F4"/>
    <w:rsid w:val="00CC4162"/>
    <w:rsid w:val="00CD6EC1"/>
    <w:rsid w:val="00CE1EBC"/>
    <w:rsid w:val="00CE22F5"/>
    <w:rsid w:val="00CF5F01"/>
    <w:rsid w:val="00D14C29"/>
    <w:rsid w:val="00D2184F"/>
    <w:rsid w:val="00D2353E"/>
    <w:rsid w:val="00D43A84"/>
    <w:rsid w:val="00D82953"/>
    <w:rsid w:val="00D83A66"/>
    <w:rsid w:val="00DA2D09"/>
    <w:rsid w:val="00DA3763"/>
    <w:rsid w:val="00DE20CB"/>
    <w:rsid w:val="00DE79DC"/>
    <w:rsid w:val="00DF28C1"/>
    <w:rsid w:val="00E14E03"/>
    <w:rsid w:val="00E1733F"/>
    <w:rsid w:val="00E376D5"/>
    <w:rsid w:val="00E40751"/>
    <w:rsid w:val="00E53A44"/>
    <w:rsid w:val="00E60649"/>
    <w:rsid w:val="00E85DDF"/>
    <w:rsid w:val="00E91F77"/>
    <w:rsid w:val="00EC1BD6"/>
    <w:rsid w:val="00EE75A9"/>
    <w:rsid w:val="00EE7B04"/>
    <w:rsid w:val="00EF0671"/>
    <w:rsid w:val="00F0667B"/>
    <w:rsid w:val="00F24CE1"/>
    <w:rsid w:val="00F33F7C"/>
    <w:rsid w:val="00F359EA"/>
    <w:rsid w:val="00F37691"/>
    <w:rsid w:val="00F471FA"/>
    <w:rsid w:val="00F47F52"/>
    <w:rsid w:val="00F53B08"/>
    <w:rsid w:val="00F60E7A"/>
    <w:rsid w:val="00FC38BB"/>
    <w:rsid w:val="00FD2BA5"/>
    <w:rsid w:val="04342FEC"/>
    <w:rsid w:val="043860A1"/>
    <w:rsid w:val="08ED291D"/>
    <w:rsid w:val="08F225B8"/>
    <w:rsid w:val="0B0678B1"/>
    <w:rsid w:val="0ED94310"/>
    <w:rsid w:val="0FB073AD"/>
    <w:rsid w:val="0FC61B60"/>
    <w:rsid w:val="1009616E"/>
    <w:rsid w:val="102652C1"/>
    <w:rsid w:val="11F23F41"/>
    <w:rsid w:val="15CE1AAD"/>
    <w:rsid w:val="16723F48"/>
    <w:rsid w:val="180C368B"/>
    <w:rsid w:val="18E16DF1"/>
    <w:rsid w:val="18FC6714"/>
    <w:rsid w:val="194D619F"/>
    <w:rsid w:val="1B88410E"/>
    <w:rsid w:val="21FE6062"/>
    <w:rsid w:val="260D32A8"/>
    <w:rsid w:val="2B395AE8"/>
    <w:rsid w:val="2D516770"/>
    <w:rsid w:val="30FD5F07"/>
    <w:rsid w:val="32090026"/>
    <w:rsid w:val="34611E15"/>
    <w:rsid w:val="38CB1686"/>
    <w:rsid w:val="3A022F89"/>
    <w:rsid w:val="463A104B"/>
    <w:rsid w:val="47641F35"/>
    <w:rsid w:val="4968552E"/>
    <w:rsid w:val="49BF5A10"/>
    <w:rsid w:val="4CE6670F"/>
    <w:rsid w:val="4EE00F2E"/>
    <w:rsid w:val="503639BD"/>
    <w:rsid w:val="50650041"/>
    <w:rsid w:val="515D6FBC"/>
    <w:rsid w:val="52512981"/>
    <w:rsid w:val="543B5B37"/>
    <w:rsid w:val="56EB2486"/>
    <w:rsid w:val="58C52967"/>
    <w:rsid w:val="58DE07EA"/>
    <w:rsid w:val="5B047CDF"/>
    <w:rsid w:val="5CAB4F96"/>
    <w:rsid w:val="5DBC14AF"/>
    <w:rsid w:val="5DF06D6B"/>
    <w:rsid w:val="5E7070B2"/>
    <w:rsid w:val="5EB664F1"/>
    <w:rsid w:val="5EEF1064"/>
    <w:rsid w:val="61796676"/>
    <w:rsid w:val="625D2A97"/>
    <w:rsid w:val="69403F98"/>
    <w:rsid w:val="6A12303C"/>
    <w:rsid w:val="6C510698"/>
    <w:rsid w:val="6DAE0585"/>
    <w:rsid w:val="6DF131B8"/>
    <w:rsid w:val="6F65423C"/>
    <w:rsid w:val="6F9153A0"/>
    <w:rsid w:val="777D5100"/>
    <w:rsid w:val="78765ABC"/>
    <w:rsid w:val="78C0390E"/>
    <w:rsid w:val="79F27BDC"/>
    <w:rsid w:val="7E384533"/>
    <w:rsid w:val="7E987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uiPriority w:val="0"/>
  </w:style>
  <w:style w:type="paragraph" w:customStyle="1" w:styleId="9">
    <w:name w:val="Char Char Char Char Char Char Char"/>
    <w:basedOn w:val="1"/>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BE2746-E6AB-4646-B300-7E34C718063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949</Words>
  <Characters>5413</Characters>
  <Lines>45</Lines>
  <Paragraphs>12</Paragraphs>
  <TotalTime>110</TotalTime>
  <ScaleCrop>false</ScaleCrop>
  <LinksUpToDate>false</LinksUpToDate>
  <CharactersWithSpaces>6350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2023-01-31T02:29:00Z</dcterms:created>
  <dc:creator>微软用户</dc:creator>
  <cp:lastModifiedBy>Administrator</cp:lastModifiedBy>
  <cp:lastPrinted>2018-01-18T01:36:00Z</cp:lastPrinted>
  <dcterms:modified xsi:type="dcterms:W3CDTF">2023-04-10T09:46:34Z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6AFC46CEFB4D48C79EF8D7116399CE9D</vt:lpwstr>
  </property>
</Properties>
</file>