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bookmarkStart w:id="0" w:name="_GoBack"/>
      <w:r>
        <w:rPr>
          <w:rFonts w:hint="eastAsia" w:ascii="黑体" w:hAnsi="宋体" w:eastAsia="黑体"/>
          <w:bCs/>
          <w:sz w:val="44"/>
          <w:szCs w:val="44"/>
          <w:highlight w:val="none"/>
          <w:lang w:eastAsia="zh-CN"/>
        </w:rPr>
        <w:t>柳州市柳江区人民政府接待办</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柳州市柳江区人民政府接待办公室</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柳州市柳江区人民政府接待办公室</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pacing w:line="560" w:lineRule="exact"/>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贯彻落实中央、自治区、柳州市有关接待工作方针政策，研究制定接待工作具体规章制度和实施办法，并负责组织实施；承担来柳江进行公务活动的中央、自治区、市党政军领导的重要接待工作；配合、参与重要来宾及重大会议的接待任务</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hint="eastAsia" w:ascii="黑体" w:eastAsia="黑体"/>
          <w:szCs w:val="32"/>
        </w:rPr>
      </w:pPr>
      <w:r>
        <w:rPr>
          <w:rFonts w:hint="eastAsia" w:ascii="Times New Roman" w:hAnsi="Times New Roman" w:eastAsia="仿宋_GB2312" w:cs="Times New Roman"/>
          <w:bCs/>
          <w:sz w:val="32"/>
          <w:szCs w:val="32"/>
          <w:lang w:eastAsia="zh-CN"/>
        </w:rPr>
        <w:t>柳江区人民政府接待办公室属于</w:t>
      </w:r>
      <w:r>
        <w:rPr>
          <w:rFonts w:hint="default" w:ascii="Times New Roman" w:hAnsi="Times New Roman" w:eastAsia="仿宋_GB2312" w:cs="Times New Roman"/>
          <w:bCs/>
          <w:sz w:val="32"/>
          <w:szCs w:val="32"/>
        </w:rPr>
        <w:t>参照公务员管理事业单位</w:t>
      </w:r>
      <w:r>
        <w:rPr>
          <w:rFonts w:hint="eastAsia" w:ascii="Times New Roman" w:hAnsi="Times New Roman" w:eastAsia="仿宋_GB2312" w:cs="Times New Roman"/>
          <w:bCs/>
          <w:sz w:val="32"/>
          <w:szCs w:val="32"/>
          <w:lang w:eastAsia="zh-CN"/>
        </w:rPr>
        <w:t>，编办核定编制为</w:t>
      </w:r>
      <w:r>
        <w:rPr>
          <w:rFonts w:hint="default" w:ascii="Times New Roman" w:hAnsi="Times New Roman" w:eastAsia="仿宋_GB2312" w:cs="Times New Roman"/>
          <w:bCs/>
          <w:sz w:val="32"/>
          <w:szCs w:val="32"/>
        </w:rPr>
        <w:t>参照公务员管理</w:t>
      </w:r>
      <w:r>
        <w:rPr>
          <w:rFonts w:hint="eastAsia" w:cs="Times New Roman"/>
          <w:bCs/>
          <w:sz w:val="32"/>
          <w:szCs w:val="32"/>
          <w:lang w:val="en-US" w:eastAsia="zh-CN"/>
        </w:rPr>
        <w:t>2</w:t>
      </w:r>
      <w:r>
        <w:rPr>
          <w:rFonts w:hint="default" w:ascii="Times New Roman" w:hAnsi="Times New Roman" w:eastAsia="仿宋_GB2312" w:cs="Times New Roman"/>
          <w:bCs/>
          <w:sz w:val="32"/>
          <w:szCs w:val="32"/>
        </w:rPr>
        <w:t>人；目前设主任1人，副主任1人</w:t>
      </w:r>
      <w:r>
        <w:rPr>
          <w:rFonts w:hint="eastAsia" w:ascii="Times New Roman" w:hAnsi="Times New Roman" w:eastAsia="仿宋_GB2312" w:cs="Times New Roman"/>
          <w:bCs/>
          <w:sz w:val="32"/>
          <w:szCs w:val="32"/>
          <w:lang w:eastAsia="zh-CN"/>
        </w:rPr>
        <w:t>。</w:t>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柳州市柳江区人民政府接待办公室</w:t>
      </w:r>
      <w:r>
        <w:rPr>
          <w:rFonts w:hint="eastAsia" w:ascii="黑体" w:hAnsi="宋体" w:eastAsia="黑体"/>
          <w:szCs w:val="32"/>
        </w:rPr>
        <w:t>单位202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78.43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78.43</w:t>
      </w:r>
      <w:r>
        <w:rPr>
          <w:rFonts w:hint="eastAsia" w:ascii="仿宋_GB2312" w:eastAsia="仿宋_GB2312"/>
          <w:sz w:val="32"/>
          <w:szCs w:val="32"/>
        </w:rPr>
        <w:t xml:space="preserve"> 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总收入较上年增加</w:t>
      </w:r>
      <w:r>
        <w:rPr>
          <w:rFonts w:hint="eastAsia" w:ascii="仿宋_GB2312"/>
          <w:sz w:val="32"/>
          <w:szCs w:val="32"/>
          <w:lang w:val="en-US" w:eastAsia="zh-CN"/>
        </w:rPr>
        <w:t xml:space="preserve">6.40 </w:t>
      </w:r>
      <w:r>
        <w:rPr>
          <w:rFonts w:hint="default" w:ascii="仿宋_GB2312"/>
          <w:sz w:val="32"/>
          <w:szCs w:val="32"/>
          <w:lang w:val="en" w:eastAsia="zh-CN"/>
        </w:rPr>
        <w:t xml:space="preserve">  </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8.88%，主要原因是</w:t>
      </w:r>
      <w:r>
        <w:rPr>
          <w:rFonts w:hint="eastAsia" w:ascii="仿宋_GB2312"/>
          <w:szCs w:val="32"/>
          <w:lang w:eastAsia="zh-CN"/>
        </w:rPr>
        <w:t>人员经费的增加</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8.88%，主要原因是</w:t>
      </w:r>
      <w:r>
        <w:rPr>
          <w:rFonts w:hint="eastAsia" w:ascii="仿宋_GB2312"/>
          <w:szCs w:val="32"/>
          <w:lang w:eastAsia="zh-CN"/>
        </w:rPr>
        <w:t>人员经费的增加</w:t>
      </w:r>
      <w:r>
        <w:rPr>
          <w:rFonts w:hint="eastAsia" w:ascii="仿宋_GB2312"/>
          <w:sz w:val="32"/>
          <w:szCs w:val="32"/>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78.43</w:t>
      </w:r>
      <w:r>
        <w:rPr>
          <w:rFonts w:hint="eastAsia" w:ascii="仿宋_GB2312" w:eastAsia="仿宋_GB2312"/>
          <w:sz w:val="32"/>
          <w:szCs w:val="32"/>
        </w:rPr>
        <w:t>万元</w:t>
      </w:r>
      <w:r>
        <w:rPr>
          <w:rFonts w:hint="eastAsia" w:ascii="仿宋_GB2312"/>
          <w:sz w:val="32"/>
          <w:szCs w:val="32"/>
          <w:lang w:eastAsia="zh-CN"/>
        </w:rPr>
        <w:t>，较上年增加</w:t>
      </w:r>
      <w:r>
        <w:rPr>
          <w:rFonts w:hint="eastAsia" w:ascii="仿宋_GB2312"/>
          <w:sz w:val="32"/>
          <w:szCs w:val="32"/>
          <w:lang w:val="en-US" w:eastAsia="zh-CN"/>
        </w:rPr>
        <w:t>6.40</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8.88 %，主要原因是</w:t>
      </w:r>
      <w:r>
        <w:rPr>
          <w:rFonts w:hint="eastAsia" w:ascii="仿宋_GB2312"/>
          <w:szCs w:val="32"/>
          <w:lang w:eastAsia="zh-CN"/>
        </w:rPr>
        <w:t>人员经费的增加</w:t>
      </w:r>
      <w:r>
        <w:rPr>
          <w:rFonts w:hint="eastAsia" w:ascii="仿宋_GB2312"/>
          <w:sz w:val="32"/>
          <w:szCs w:val="32"/>
          <w:lang w:val="en-US" w:eastAsia="zh-CN"/>
        </w:rPr>
        <w:t>。单位收入主要包括：1、一般公共预算拨款44.08万元，占总收入的56.20%，2、政府性基金预算拨款34.35万元，占总收入的43.78%。</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szCs w:val="32"/>
          <w:highlight w:val="none"/>
          <w:u w:val="single"/>
          <w:lang w:val="en-US" w:eastAsia="zh-CN"/>
        </w:rPr>
        <w:t>0</w:t>
      </w: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78.43</w:t>
      </w:r>
      <w:r>
        <w:rPr>
          <w:rFonts w:hint="eastAsia" w:ascii="仿宋_GB2312" w:eastAsia="仿宋_GB2312"/>
          <w:sz w:val="32"/>
          <w:szCs w:val="32"/>
        </w:rPr>
        <w:t>万元</w:t>
      </w:r>
      <w:r>
        <w:rPr>
          <w:rFonts w:hint="eastAsia" w:ascii="仿宋_GB2312"/>
          <w:sz w:val="32"/>
          <w:szCs w:val="32"/>
          <w:lang w:eastAsia="zh-CN"/>
        </w:rPr>
        <w:t>，较上年增加</w:t>
      </w:r>
      <w:r>
        <w:rPr>
          <w:rFonts w:hint="eastAsia" w:ascii="仿宋_GB2312"/>
          <w:sz w:val="32"/>
          <w:szCs w:val="32"/>
          <w:lang w:val="en-US" w:eastAsia="zh-CN"/>
        </w:rPr>
        <w:t>6.40</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8.88 %，主要原因是人员经费增加。单位支出主要包括：</w:t>
      </w:r>
    </w:p>
    <w:p>
      <w:pPr>
        <w:numPr>
          <w:ilvl w:val="0"/>
          <w:numId w:val="1"/>
        </w:num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一般公共服务支出38.84万元，占总支出的49.52%</w:t>
      </w:r>
    </w:p>
    <w:p>
      <w:pPr>
        <w:numPr>
          <w:ilvl w:val="0"/>
          <w:numId w:val="1"/>
        </w:numPr>
        <w:tabs>
          <w:tab w:val="center" w:pos="4475"/>
        </w:tabs>
        <w:spacing w:line="560" w:lineRule="exact"/>
        <w:ind w:firstLine="645"/>
        <w:rPr>
          <w:rFonts w:hint="eastAsia" w:ascii="仿宋_GB2312"/>
          <w:sz w:val="32"/>
          <w:szCs w:val="32"/>
          <w:lang w:val="en-US" w:eastAsia="zh-CN"/>
        </w:rPr>
      </w:pPr>
      <w:r>
        <w:rPr>
          <w:rFonts w:hint="default" w:ascii="仿宋_GB2312"/>
          <w:sz w:val="32"/>
          <w:szCs w:val="32"/>
          <w:lang w:val="en-US" w:eastAsia="zh-CN"/>
        </w:rPr>
        <w:t>社会保障和就业支出</w:t>
      </w:r>
      <w:r>
        <w:rPr>
          <w:rFonts w:hint="eastAsia" w:ascii="仿宋_GB2312"/>
          <w:sz w:val="32"/>
          <w:szCs w:val="32"/>
          <w:lang w:val="en-US" w:eastAsia="zh-CN"/>
        </w:rPr>
        <w:t>2.76万元，占总支出的3.52%</w:t>
      </w:r>
    </w:p>
    <w:p>
      <w:pPr>
        <w:numPr>
          <w:ilvl w:val="0"/>
          <w:numId w:val="1"/>
        </w:numPr>
        <w:tabs>
          <w:tab w:val="center" w:pos="4475"/>
        </w:tabs>
        <w:spacing w:line="560" w:lineRule="exact"/>
        <w:ind w:firstLine="645"/>
        <w:rPr>
          <w:rFonts w:hint="eastAsia" w:ascii="仿宋_GB2312"/>
          <w:sz w:val="32"/>
          <w:szCs w:val="32"/>
          <w:lang w:val="en-US" w:eastAsia="zh-CN"/>
        </w:rPr>
      </w:pPr>
      <w:r>
        <w:rPr>
          <w:rFonts w:hint="default" w:ascii="仿宋_GB2312"/>
          <w:sz w:val="32"/>
          <w:szCs w:val="32"/>
          <w:lang w:val="en-US" w:eastAsia="zh-CN"/>
        </w:rPr>
        <w:t>卫生健康支出</w:t>
      </w:r>
      <w:r>
        <w:rPr>
          <w:rFonts w:hint="eastAsia" w:ascii="仿宋_GB2312"/>
          <w:sz w:val="32"/>
          <w:szCs w:val="32"/>
          <w:lang w:val="en-US" w:eastAsia="zh-CN"/>
        </w:rPr>
        <w:t>0.90万元，占总支出的1.15%</w:t>
      </w:r>
    </w:p>
    <w:p>
      <w:pPr>
        <w:numPr>
          <w:ilvl w:val="0"/>
          <w:numId w:val="1"/>
        </w:numPr>
        <w:tabs>
          <w:tab w:val="center" w:pos="4475"/>
        </w:tabs>
        <w:spacing w:line="560" w:lineRule="exact"/>
        <w:ind w:firstLine="645"/>
        <w:rPr>
          <w:rFonts w:hint="default" w:ascii="仿宋_GB2312"/>
          <w:sz w:val="32"/>
          <w:szCs w:val="32"/>
          <w:lang w:val="en-US" w:eastAsia="zh-CN"/>
        </w:rPr>
      </w:pPr>
      <w:r>
        <w:rPr>
          <w:rFonts w:hint="default" w:ascii="仿宋_GB2312"/>
          <w:sz w:val="32"/>
          <w:szCs w:val="32"/>
          <w:lang w:val="en-US" w:eastAsia="zh-CN"/>
        </w:rPr>
        <w:t>城乡社区支出</w:t>
      </w:r>
      <w:r>
        <w:rPr>
          <w:rFonts w:hint="eastAsia" w:ascii="仿宋_GB2312"/>
          <w:sz w:val="32"/>
          <w:szCs w:val="32"/>
          <w:lang w:val="en-US" w:eastAsia="zh-CN"/>
        </w:rPr>
        <w:t>34.35元，占总支出的43.79%</w:t>
      </w:r>
    </w:p>
    <w:p>
      <w:pPr>
        <w:numPr>
          <w:ilvl w:val="0"/>
          <w:numId w:val="1"/>
        </w:numPr>
        <w:tabs>
          <w:tab w:val="center" w:pos="4475"/>
        </w:tabs>
        <w:spacing w:line="560" w:lineRule="exact"/>
        <w:ind w:firstLine="645"/>
        <w:rPr>
          <w:rFonts w:hint="default" w:ascii="仿宋_GB2312"/>
          <w:sz w:val="32"/>
          <w:szCs w:val="32"/>
          <w:lang w:val="en-US" w:eastAsia="zh-CN"/>
        </w:rPr>
      </w:pPr>
      <w:r>
        <w:rPr>
          <w:rFonts w:hint="default" w:ascii="仿宋_GB2312"/>
          <w:sz w:val="32"/>
          <w:szCs w:val="32"/>
          <w:lang w:val="en-US" w:eastAsia="zh-CN"/>
        </w:rPr>
        <w:t>住房保障支出</w:t>
      </w:r>
      <w:r>
        <w:rPr>
          <w:rFonts w:hint="eastAsia" w:ascii="仿宋_GB2312"/>
          <w:sz w:val="32"/>
          <w:szCs w:val="32"/>
          <w:lang w:val="en-US" w:eastAsia="zh-CN"/>
        </w:rPr>
        <w:t>1.57万元，占总支出的2.00%</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34.35</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34.35</w:t>
      </w:r>
      <w:r>
        <w:rPr>
          <w:rFonts w:hint="eastAsia" w:ascii="仿宋_GB2312"/>
          <w:sz w:val="32"/>
          <w:szCs w:val="32"/>
          <w:lang w:val="en" w:eastAsia="zh-CN"/>
        </w:rPr>
        <w:t>万元，</w:t>
      </w:r>
      <w:r>
        <w:rPr>
          <w:rFonts w:hint="eastAsia" w:ascii="仿宋_GB2312"/>
          <w:sz w:val="32"/>
          <w:szCs w:val="32"/>
          <w:lang w:val="en-US" w:eastAsia="zh-CN"/>
        </w:rPr>
        <w:t>主要原因是</w:t>
      </w:r>
      <w:r>
        <w:rPr>
          <w:rFonts w:hint="eastAsia" w:ascii="仿宋_GB2312"/>
          <w:szCs w:val="32"/>
          <w:lang w:eastAsia="zh-CN"/>
        </w:rPr>
        <w:t>上年度项目支出没有安排政府性基金支出，</w:t>
      </w:r>
      <w:r>
        <w:rPr>
          <w:rFonts w:hint="eastAsia" w:ascii="仿宋_GB2312"/>
          <w:szCs w:val="32"/>
          <w:lang w:val="en-US" w:eastAsia="zh-CN"/>
        </w:rPr>
        <w:t>2025年项目支出安排在政府性基金预算中支出</w:t>
      </w:r>
      <w:r>
        <w:rPr>
          <w:rFonts w:hint="eastAsia" w:ascii="仿宋_GB2312"/>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黑体" w:eastAsia="黑体"/>
          <w:szCs w:val="32"/>
        </w:rPr>
      </w:pPr>
      <w:r>
        <w:rPr>
          <w:rFonts w:hint="eastAsia" w:ascii="仿宋_GB2312"/>
          <w:szCs w:val="32"/>
          <w:lang w:val="en-US" w:eastAsia="zh-CN"/>
        </w:rPr>
        <w:t>我单位2025年无国有资本经营预算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28.37</w:t>
      </w:r>
      <w:r>
        <w:rPr>
          <w:rFonts w:hint="eastAsia" w:ascii="仿宋_GB2312"/>
          <w:bCs/>
        </w:rPr>
        <w:t>万元，同口径比202</w:t>
      </w:r>
      <w:r>
        <w:rPr>
          <w:rFonts w:hint="eastAsia" w:ascii="仿宋_GB2312"/>
          <w:bCs/>
          <w:lang w:val="en-US" w:eastAsia="zh-CN"/>
        </w:rPr>
        <w:t>4</w:t>
      </w:r>
      <w:r>
        <w:rPr>
          <w:rFonts w:hint="eastAsia" w:ascii="仿宋_GB2312"/>
          <w:bCs/>
        </w:rPr>
        <w:t>年减少</w:t>
      </w:r>
      <w:r>
        <w:rPr>
          <w:rFonts w:hint="eastAsia" w:ascii="仿宋_GB2312"/>
          <w:bCs/>
          <w:lang w:val="en-US" w:eastAsia="zh-CN"/>
        </w:rPr>
        <w:t>6.78</w:t>
      </w:r>
      <w:r>
        <w:rPr>
          <w:rFonts w:hint="eastAsia" w:ascii="仿宋_GB2312"/>
          <w:bCs/>
        </w:rPr>
        <w:t>万元，下降</w:t>
      </w:r>
      <w:r>
        <w:rPr>
          <w:rFonts w:hint="eastAsia" w:ascii="仿宋_GB2312"/>
          <w:bCs/>
          <w:lang w:val="en-US" w:eastAsia="zh-CN"/>
        </w:rPr>
        <w:t>19.29</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w:t>
      </w:r>
      <w:r>
        <w:rPr>
          <w:rFonts w:hint="eastAsia" w:ascii="仿宋_GB2312" w:hAnsi="宋体"/>
          <w:szCs w:val="32"/>
        </w:rPr>
        <w:t>上年</w:t>
      </w:r>
      <w:r>
        <w:rPr>
          <w:rFonts w:hint="eastAsia" w:ascii="仿宋_GB2312" w:hAnsi="宋体"/>
          <w:szCs w:val="32"/>
          <w:lang w:eastAsia="zh-CN"/>
        </w:rPr>
        <w:t>度持平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w:t>
      </w:r>
      <w:r>
        <w:rPr>
          <w:rFonts w:hint="eastAsia" w:ascii="仿宋_GB2312" w:hAnsi="宋体"/>
          <w:szCs w:val="32"/>
        </w:rPr>
        <w:t>上年</w:t>
      </w:r>
      <w:r>
        <w:rPr>
          <w:rFonts w:hint="eastAsia" w:ascii="仿宋_GB2312" w:hAnsi="宋体"/>
          <w:szCs w:val="32"/>
          <w:lang w:eastAsia="zh-CN"/>
        </w:rPr>
        <w:t>度持平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w:t>
      </w:r>
      <w:r>
        <w:rPr>
          <w:rFonts w:hint="eastAsia" w:ascii="仿宋_GB2312" w:hAnsi="宋体"/>
          <w:szCs w:val="32"/>
        </w:rPr>
        <w:t>上年</w:t>
      </w:r>
      <w:r>
        <w:rPr>
          <w:rFonts w:hint="eastAsia" w:ascii="仿宋_GB2312" w:hAnsi="宋体"/>
          <w:szCs w:val="32"/>
          <w:lang w:eastAsia="zh-CN"/>
        </w:rPr>
        <w:t>度持平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w:t>
      </w:r>
      <w:r>
        <w:rPr>
          <w:rFonts w:hint="eastAsia" w:ascii="仿宋_GB2312" w:hAnsi="宋体"/>
          <w:szCs w:val="32"/>
        </w:rPr>
        <w:t>上年</w:t>
      </w:r>
      <w:r>
        <w:rPr>
          <w:rFonts w:hint="eastAsia" w:ascii="仿宋_GB2312" w:hAnsi="宋体"/>
          <w:szCs w:val="32"/>
          <w:lang w:eastAsia="zh-CN"/>
        </w:rPr>
        <w:t>度持平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28.37</w:t>
      </w:r>
      <w:r>
        <w:rPr>
          <w:rFonts w:hint="eastAsia" w:ascii="仿宋_GB2312" w:hAnsi="宋体"/>
          <w:szCs w:val="32"/>
        </w:rPr>
        <w:t>万元，比上年减少</w:t>
      </w:r>
      <w:r>
        <w:rPr>
          <w:rFonts w:hint="eastAsia" w:ascii="仿宋_GB2312" w:hAnsi="宋体"/>
          <w:szCs w:val="32"/>
          <w:lang w:val="en-US" w:eastAsia="zh-CN"/>
        </w:rPr>
        <w:t>6.78</w:t>
      </w:r>
      <w:r>
        <w:rPr>
          <w:rFonts w:hint="eastAsia" w:ascii="仿宋_GB2312" w:hAnsi="宋体"/>
          <w:szCs w:val="32"/>
        </w:rPr>
        <w:t>万元，下降</w:t>
      </w:r>
      <w:r>
        <w:rPr>
          <w:rFonts w:hint="eastAsia" w:ascii="仿宋_GB2312" w:hAnsi="宋体"/>
          <w:szCs w:val="32"/>
          <w:lang w:val="en-US" w:eastAsia="zh-CN"/>
        </w:rPr>
        <w:t>19.29</w:t>
      </w:r>
      <w:r>
        <w:rPr>
          <w:rFonts w:hint="eastAsia" w:ascii="仿宋_GB2312" w:hAnsi="宋体"/>
          <w:szCs w:val="32"/>
        </w:rPr>
        <w:t>%，</w:t>
      </w:r>
      <w:r>
        <w:rPr>
          <w:rFonts w:hint="eastAsia" w:ascii="仿宋_GB2312" w:hAnsi="Arial" w:cs="Arial"/>
          <w:kern w:val="0"/>
        </w:rPr>
        <w:t>减少的主要原因是</w:t>
      </w:r>
      <w:r>
        <w:rPr>
          <w:rFonts w:hint="eastAsia" w:ascii="仿宋_GB2312" w:hAnsi="仿宋_GB2312" w:eastAsia="仿宋_GB2312" w:cs="Times New Roman"/>
          <w:sz w:val="32"/>
          <w:lang w:bidi="zh-HK"/>
        </w:rPr>
        <w:t>贯彻落实厉行节约反对浪费精神</w:t>
      </w:r>
      <w:r>
        <w:rPr>
          <w:rFonts w:hint="eastAsia" w:ascii="仿宋_GB2312" w:hAnsi="仿宋_GB2312" w:cs="Times New Roman"/>
          <w:sz w:val="32"/>
          <w:lang w:eastAsia="zh-CN" w:bidi="zh-HK"/>
        </w:rPr>
        <w:t>，压缩“三公”经费支出，加强公务接待</w:t>
      </w:r>
      <w:r>
        <w:rPr>
          <w:rFonts w:hint="eastAsia" w:ascii="仿宋_GB2312" w:hAnsi="宋体"/>
          <w:szCs w:val="32"/>
        </w:rPr>
        <w:t>费</w:t>
      </w:r>
      <w:r>
        <w:rPr>
          <w:rFonts w:hint="eastAsia" w:ascii="仿宋_GB2312" w:hAnsi="宋体"/>
          <w:szCs w:val="32"/>
          <w:lang w:eastAsia="zh-CN"/>
        </w:rPr>
        <w:t>的管理</w:t>
      </w:r>
      <w:r>
        <w:rPr>
          <w:rFonts w:hint="eastAsia" w:ascii="仿宋_GB2312" w:hAnsi="Arial" w:cs="Arial"/>
          <w:kern w:val="0"/>
        </w:rPr>
        <w:t>。</w:t>
      </w:r>
    </w:p>
    <w:p>
      <w:pPr>
        <w:tabs>
          <w:tab w:val="center" w:pos="4475"/>
        </w:tabs>
        <w:spacing w:line="560" w:lineRule="exact"/>
        <w:ind w:firstLine="645"/>
        <w:rPr>
          <w:rFonts w:hint="eastAsia" w:ascii="仿宋_GB2312" w:hAnsi="宋体"/>
          <w:b/>
          <w:bCs/>
          <w:szCs w:val="32"/>
          <w:highlight w:val="none"/>
          <w:u w:val="single"/>
        </w:rPr>
      </w:pPr>
      <w:r>
        <w:rPr>
          <w:rFonts w:hint="eastAsia" w:ascii="黑体" w:eastAsia="黑体"/>
          <w:szCs w:val="32"/>
          <w:lang w:eastAsia="zh-CN"/>
        </w:rPr>
        <w:t>七、</w:t>
      </w:r>
      <w:r>
        <w:rPr>
          <w:rFonts w:hint="eastAsia" w:ascii="黑体" w:hAnsi="黑体" w:eastAsia="黑体" w:cs="黑体"/>
          <w:szCs w:val="32"/>
        </w:rPr>
        <w:t>机关运行经费安排情况说明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w:t>
      </w:r>
      <w:r>
        <w:rPr>
          <w:rFonts w:hint="eastAsia" w:ascii="仿宋_GB2312" w:hAnsi="宋体" w:cs="Times New Roman"/>
          <w:szCs w:val="32"/>
          <w:highlight w:val="none"/>
          <w:lang w:val="en-US" w:eastAsia="zh-CN"/>
        </w:rPr>
        <w:t>办公费、印刷费、邮电费、差旅费、维修（护）费、会议费、培训费、公务接待费、工会经费、福利费、其他交通费用、其他商品和服务支出。</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2025年机关运行经费预算2.84万元，较上年增加2.84</w:t>
      </w:r>
      <w:r>
        <w:rPr>
          <w:rFonts w:hint="eastAsia" w:ascii="仿宋_GB2312"/>
          <w:sz w:val="32"/>
          <w:szCs w:val="32"/>
          <w:lang w:val="en" w:eastAsia="zh-CN"/>
        </w:rPr>
        <w:t>万元，</w:t>
      </w:r>
      <w:r>
        <w:rPr>
          <w:rFonts w:hint="eastAsia" w:ascii="仿宋_GB2312"/>
          <w:sz w:val="32"/>
          <w:szCs w:val="32"/>
          <w:lang w:val="en-US" w:eastAsia="zh-CN"/>
        </w:rPr>
        <w:t>主要原因是</w:t>
      </w:r>
      <w:r>
        <w:rPr>
          <w:rFonts w:hint="eastAsia" w:ascii="仿宋_GB2312"/>
          <w:color w:val="auto"/>
          <w:sz w:val="32"/>
          <w:szCs w:val="32"/>
          <w:highlight w:val="none"/>
          <w:lang w:val="en-US" w:eastAsia="zh-CN"/>
        </w:rPr>
        <w:t>2024年没有在编在职人员，所以没有</w:t>
      </w:r>
      <w:r>
        <w:rPr>
          <w:rFonts w:hint="eastAsia" w:ascii="仿宋_GB2312" w:eastAsia="仿宋_GB2312"/>
          <w:color w:val="auto"/>
          <w:sz w:val="32"/>
          <w:szCs w:val="32"/>
          <w:highlight w:val="none"/>
        </w:rPr>
        <w:t>运行经费</w:t>
      </w:r>
      <w:r>
        <w:rPr>
          <w:rFonts w:hint="eastAsia" w:ascii="仿宋_GB2312"/>
          <w:color w:val="auto"/>
          <w:sz w:val="32"/>
          <w:szCs w:val="32"/>
          <w:highlight w:val="none"/>
          <w:lang w:eastAsia="zh-CN"/>
        </w:rPr>
        <w:t>，</w:t>
      </w:r>
      <w:r>
        <w:rPr>
          <w:rFonts w:hint="eastAsia" w:ascii="仿宋_GB2312"/>
          <w:color w:val="auto"/>
          <w:sz w:val="32"/>
          <w:szCs w:val="32"/>
          <w:highlight w:val="none"/>
          <w:lang w:val="en-US" w:eastAsia="zh-CN"/>
        </w:rPr>
        <w:t>2025年因工作需要新增在编人员，增加运行经费</w:t>
      </w:r>
      <w:r>
        <w:rPr>
          <w:rFonts w:hint="eastAsia" w:ascii="仿宋_GB2312"/>
          <w:sz w:val="32"/>
          <w:szCs w:val="32"/>
          <w:lang w:val="en-US" w:eastAsia="zh-CN"/>
        </w:rPr>
        <w:t>。</w:t>
      </w:r>
    </w:p>
    <w:p>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u w:val="single"/>
          <w:lang w:val="en-US" w:eastAsia="zh-CN"/>
        </w:rPr>
        <w:t>0</w:t>
      </w: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0.03</w:t>
      </w:r>
      <w:r>
        <w:rPr>
          <w:rFonts w:hint="eastAsia" w:ascii="仿宋_GB2312" w:hAnsi="宋体"/>
          <w:szCs w:val="32"/>
        </w:rPr>
        <w:t>万元。其中：货物类采购</w:t>
      </w:r>
      <w:r>
        <w:rPr>
          <w:rFonts w:hint="eastAsia" w:ascii="仿宋_GB2312" w:hAnsi="宋体"/>
          <w:szCs w:val="32"/>
          <w:lang w:val="en-US" w:eastAsia="zh-CN"/>
        </w:rPr>
        <w:t>0.03</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0</w:t>
      </w:r>
      <w:r>
        <w:rPr>
          <w:rFonts w:hint="eastAsia" w:ascii="仿宋_GB2312" w:hAnsi="宋体"/>
          <w:szCs w:val="32"/>
        </w:rPr>
        <w:t>万元。</w:t>
      </w:r>
    </w:p>
    <w:p>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lang w:val="en-US" w:eastAsia="zh-CN"/>
        </w:rPr>
        <w:t>我单位2025年无国有资产占用相关情况</w:t>
      </w: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宋体"/>
          <w:color w:val="auto"/>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3</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39.44</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w:t>
      </w:r>
      <w:r>
        <w:rPr>
          <w:rFonts w:hint="eastAsia" w:ascii="仿宋_GB2312" w:cs="仿宋_GB2312"/>
          <w:b w:val="0"/>
          <w:bCs w:val="0"/>
          <w:caps w:val="0"/>
          <w:color w:val="auto"/>
          <w:kern w:val="2"/>
          <w:sz w:val="32"/>
          <w:szCs w:val="32"/>
          <w:vertAlign w:val="baseline"/>
          <w:lang w:val="en-US" w:eastAsia="zh-CN" w:bidi="ar"/>
        </w:rPr>
        <w:t>。</w:t>
      </w:r>
      <w:r>
        <w:rPr>
          <w:rFonts w:hint="eastAsia" w:ascii="仿宋_GB2312" w:hAnsi="Times New Roman" w:eastAsia="仿宋_GB2312" w:cs="仿宋_GB2312"/>
          <w:b w:val="0"/>
          <w:bCs w:val="0"/>
          <w:caps w:val="0"/>
          <w:color w:val="auto"/>
          <w:kern w:val="2"/>
          <w:sz w:val="32"/>
          <w:szCs w:val="32"/>
          <w:vertAlign w:val="baseline"/>
          <w:lang w:val="en-US" w:eastAsia="zh-CN" w:bidi="ar"/>
        </w:rPr>
        <w:t>绩效目标情况详见报表。</w:t>
      </w:r>
    </w:p>
    <w:p>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p>
      <w:pPr>
        <w:rPr>
          <w:rFonts w:hint="eastAsia" w:ascii="黑体" w:eastAsia="黑体"/>
          <w:szCs w:val="32"/>
        </w:rPr>
        <w:sectPr>
          <w:pgSz w:w="11906" w:h="16838"/>
          <w:pgMar w:top="1440" w:right="1800" w:bottom="1440" w:left="1800" w:header="851" w:footer="992" w:gutter="0"/>
          <w:cols w:space="720" w:num="1"/>
          <w:docGrid w:type="lines" w:linePitch="312" w:charSpace="0"/>
        </w:sectPr>
      </w:pPr>
      <w:r>
        <w:rPr>
          <w:rFonts w:hint="eastAsia" w:ascii="黑体" w:eastAsia="黑体"/>
          <w:szCs w:val="32"/>
        </w:rPr>
        <w:br w:type="page"/>
      </w:r>
    </w:p>
    <w:tbl>
      <w:tblPr>
        <w:tblW w:w="5000" w:type="pct"/>
        <w:tblInd w:w="0" w:type="dxa"/>
        <w:shd w:val="clear"/>
        <w:tblLayout w:type="fixed"/>
        <w:tblCellMar>
          <w:top w:w="0" w:type="dxa"/>
          <w:left w:w="0" w:type="dxa"/>
          <w:bottom w:w="0" w:type="dxa"/>
          <w:right w:w="0" w:type="dxa"/>
        </w:tblCellMar>
      </w:tblPr>
      <w:tblGrid>
        <w:gridCol w:w="402"/>
        <w:gridCol w:w="495"/>
        <w:gridCol w:w="600"/>
        <w:gridCol w:w="750"/>
        <w:gridCol w:w="675"/>
        <w:gridCol w:w="1845"/>
        <w:gridCol w:w="1215"/>
        <w:gridCol w:w="1290"/>
        <w:gridCol w:w="1050"/>
        <w:gridCol w:w="1125"/>
        <w:gridCol w:w="780"/>
        <w:gridCol w:w="765"/>
        <w:gridCol w:w="660"/>
        <w:gridCol w:w="1380"/>
        <w:gridCol w:w="956"/>
      </w:tblGrid>
      <w:tr>
        <w:tblPrEx>
          <w:shd w:val="clear"/>
          <w:tblCellMar>
            <w:top w:w="0" w:type="dxa"/>
            <w:left w:w="0" w:type="dxa"/>
            <w:bottom w:w="0" w:type="dxa"/>
            <w:right w:w="0" w:type="dxa"/>
          </w:tblCellMar>
        </w:tblPrEx>
        <w:trPr>
          <w:trHeight w:val="450" w:hRule="atLeast"/>
        </w:trPr>
        <w:tc>
          <w:tcPr>
            <w:tcW w:w="5000" w:type="pct"/>
            <w:gridSpan w:val="15"/>
            <w:vMerge w:val="restar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bdr w:val="none" w:color="auto" w:sz="0" w:space="0"/>
                <w:lang w:val="en-US" w:eastAsia="zh-CN" w:bidi="ar"/>
              </w:rPr>
              <w:t>项目绩效目标公开表</w:t>
            </w:r>
          </w:p>
        </w:tc>
      </w:tr>
      <w:tr>
        <w:tblPrEx>
          <w:shd w:val="clear"/>
          <w:tblCellMar>
            <w:top w:w="0" w:type="dxa"/>
            <w:left w:w="0" w:type="dxa"/>
            <w:bottom w:w="0" w:type="dxa"/>
            <w:right w:w="0" w:type="dxa"/>
          </w:tblCellMar>
        </w:tblPrEx>
        <w:trPr>
          <w:trHeight w:val="450" w:hRule="atLeast"/>
        </w:trPr>
        <w:tc>
          <w:tcPr>
            <w:tcW w:w="5000" w:type="pct"/>
            <w:gridSpan w:val="15"/>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r>
      <w:tr>
        <w:tblPrEx>
          <w:shd w:val="clear"/>
          <w:tblCellMar>
            <w:top w:w="0" w:type="dxa"/>
            <w:left w:w="0" w:type="dxa"/>
            <w:bottom w:w="0" w:type="dxa"/>
            <w:right w:w="0" w:type="dxa"/>
          </w:tblCellMar>
        </w:tblPrEx>
        <w:trPr>
          <w:trHeight w:val="80" w:hRule="atLeast"/>
        </w:trPr>
        <w:tc>
          <w:tcPr>
            <w:tcW w:w="5000" w:type="pct"/>
            <w:gridSpan w:val="15"/>
            <w:vMerge w:val="continue"/>
            <w:tcBorders>
              <w:top w:val="nil"/>
              <w:left w:val="nil"/>
              <w:bottom w:val="nil"/>
              <w:right w:val="nil"/>
            </w:tcBorders>
            <w:shd w:val="clear"/>
            <w:noWrap/>
            <w:tcMar>
              <w:top w:w="15" w:type="dxa"/>
              <w:left w:w="15" w:type="dxa"/>
              <w:right w:w="15" w:type="dxa"/>
            </w:tcMar>
            <w:vAlign w:val="center"/>
          </w:tcPr>
          <w:p>
            <w:pPr>
              <w:jc w:val="center"/>
              <w:rPr>
                <w:rFonts w:hint="eastAsia" w:ascii="宋体" w:hAnsi="宋体" w:eastAsia="宋体" w:cs="宋体"/>
                <w:b/>
                <w:i w:val="0"/>
                <w:color w:val="000000"/>
                <w:sz w:val="40"/>
                <w:szCs w:val="40"/>
                <w:u w:val="none"/>
              </w:rPr>
            </w:pPr>
          </w:p>
        </w:tc>
      </w:tr>
      <w:tr>
        <w:tblPrEx>
          <w:shd w:val="clear"/>
          <w:tblCellMar>
            <w:top w:w="0" w:type="dxa"/>
            <w:left w:w="0" w:type="dxa"/>
            <w:bottom w:w="0" w:type="dxa"/>
            <w:right w:w="0" w:type="dxa"/>
          </w:tblCellMar>
        </w:tblPrEx>
        <w:trPr>
          <w:trHeight w:val="255" w:hRule="atLeast"/>
        </w:trPr>
        <w:tc>
          <w:tcPr>
            <w:tcW w:w="143"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序号</w:t>
            </w:r>
          </w:p>
        </w:tc>
        <w:tc>
          <w:tcPr>
            <w:tcW w:w="176"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单位代码</w:t>
            </w:r>
          </w:p>
        </w:tc>
        <w:tc>
          <w:tcPr>
            <w:tcW w:w="214"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单位名称</w:t>
            </w:r>
          </w:p>
        </w:tc>
        <w:tc>
          <w:tcPr>
            <w:tcW w:w="268"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项目名称</w:t>
            </w:r>
          </w:p>
        </w:tc>
        <w:tc>
          <w:tcPr>
            <w:tcW w:w="241"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预算资金总额</w:t>
            </w:r>
          </w:p>
        </w:tc>
        <w:tc>
          <w:tcPr>
            <w:tcW w:w="659"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年度绩效目标</w:t>
            </w:r>
          </w:p>
        </w:tc>
        <w:tc>
          <w:tcPr>
            <w:tcW w:w="434"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数量指标</w:t>
            </w:r>
          </w:p>
        </w:tc>
        <w:tc>
          <w:tcPr>
            <w:tcW w:w="461"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375"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时效指标</w:t>
            </w:r>
          </w:p>
        </w:tc>
        <w:tc>
          <w:tcPr>
            <w:tcW w:w="402"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成本指标</w:t>
            </w:r>
          </w:p>
        </w:tc>
        <w:tc>
          <w:tcPr>
            <w:tcW w:w="278"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经济效益指标</w:t>
            </w:r>
          </w:p>
        </w:tc>
        <w:tc>
          <w:tcPr>
            <w:tcW w:w="273"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社会效益指标</w:t>
            </w:r>
          </w:p>
        </w:tc>
        <w:tc>
          <w:tcPr>
            <w:tcW w:w="235"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生态效益指标</w:t>
            </w:r>
          </w:p>
        </w:tc>
        <w:tc>
          <w:tcPr>
            <w:tcW w:w="493"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可持续效益指标</w:t>
            </w:r>
          </w:p>
        </w:tc>
        <w:tc>
          <w:tcPr>
            <w:tcW w:w="341" w:type="pct"/>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服务对象满意度指标</w:t>
            </w:r>
          </w:p>
        </w:tc>
      </w:tr>
      <w:tr>
        <w:tblPrEx>
          <w:shd w:val="clear"/>
          <w:tblCellMar>
            <w:top w:w="0" w:type="dxa"/>
            <w:left w:w="0" w:type="dxa"/>
            <w:bottom w:w="0" w:type="dxa"/>
            <w:right w:w="0" w:type="dxa"/>
          </w:tblCellMar>
        </w:tblPrEx>
        <w:trPr>
          <w:trHeight w:val="735" w:hRule="atLeast"/>
        </w:trPr>
        <w:tc>
          <w:tcPr>
            <w:tcW w:w="143"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4"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1"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5"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255" w:hRule="atLeast"/>
        </w:trPr>
        <w:tc>
          <w:tcPr>
            <w:tcW w:w="1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24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1</w:t>
            </w:r>
          </w:p>
        </w:tc>
        <w:tc>
          <w:tcPr>
            <w:tcW w:w="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4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46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37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40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27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27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49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c>
          <w:tcPr>
            <w:tcW w:w="34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w:t>
            </w:r>
          </w:p>
        </w:tc>
      </w:tr>
      <w:tr>
        <w:tblPrEx>
          <w:shd w:val="clear"/>
          <w:tblCellMar>
            <w:top w:w="0" w:type="dxa"/>
            <w:left w:w="0" w:type="dxa"/>
            <w:bottom w:w="0" w:type="dxa"/>
            <w:right w:w="0" w:type="dxa"/>
          </w:tblCellMar>
        </w:tblPrEx>
        <w:trPr>
          <w:trHeight w:val="570" w:hRule="atLeast"/>
        </w:trPr>
        <w:tc>
          <w:tcPr>
            <w:tcW w:w="1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bottom"/>
          </w:tcPr>
          <w:p>
            <w:pPr>
              <w:rPr>
                <w:rFonts w:hint="default" w:ascii="Calibri" w:hAnsi="Calibri" w:cs="Calibri"/>
                <w:i w:val="0"/>
                <w:color w:val="000000"/>
                <w:sz w:val="22"/>
                <w:szCs w:val="22"/>
                <w:u w:val="none"/>
              </w:rPr>
            </w:pPr>
          </w:p>
        </w:tc>
        <w:tc>
          <w:tcPr>
            <w:tcW w:w="17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1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39.44</w:t>
            </w:r>
          </w:p>
        </w:tc>
        <w:tc>
          <w:tcPr>
            <w:tcW w:w="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4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3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7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r>
      <w:tr>
        <w:tblPrEx>
          <w:shd w:val="clear"/>
          <w:tblCellMar>
            <w:top w:w="0" w:type="dxa"/>
            <w:left w:w="0" w:type="dxa"/>
            <w:bottom w:w="0" w:type="dxa"/>
            <w:right w:w="0" w:type="dxa"/>
          </w:tblCellMar>
        </w:tblPrEx>
        <w:trPr>
          <w:trHeight w:val="570" w:hRule="atLeast"/>
        </w:trPr>
        <w:tc>
          <w:tcPr>
            <w:tcW w:w="1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1</w:t>
            </w:r>
          </w:p>
        </w:tc>
        <w:tc>
          <w:tcPr>
            <w:tcW w:w="17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102002</w:t>
            </w:r>
          </w:p>
        </w:tc>
        <w:tc>
          <w:tcPr>
            <w:tcW w:w="21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柳州市柳江区人民政府接待办公室</w:t>
            </w:r>
          </w:p>
        </w:tc>
        <w:tc>
          <w:tcPr>
            <w:tcW w:w="2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政府食堂运行维护费</w:t>
            </w:r>
          </w:p>
        </w:tc>
        <w:tc>
          <w:tcPr>
            <w:tcW w:w="2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6.00</w:t>
            </w:r>
          </w:p>
        </w:tc>
        <w:tc>
          <w:tcPr>
            <w:tcW w:w="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通过对食堂食材采购的日常检查及食堂日常维修、维护。维持政府食堂的正常运转。</w:t>
            </w:r>
          </w:p>
        </w:tc>
        <w:tc>
          <w:tcPr>
            <w:tcW w:w="4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数量指标：食堂食材采购的日常检查(≥1天、次)</w:t>
            </w: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质量指标：食堂食材质量(合格)</w:t>
            </w:r>
          </w:p>
        </w:tc>
        <w:tc>
          <w:tcPr>
            <w:tcW w:w="3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时效指标：完成时间(2025年12月31日前)</w:t>
            </w:r>
          </w:p>
        </w:tc>
        <w:tc>
          <w:tcPr>
            <w:tcW w:w="4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成本指标：预算控制率(≤100%)</w:t>
            </w:r>
          </w:p>
        </w:tc>
        <w:tc>
          <w:tcPr>
            <w:tcW w:w="27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可持续效益指标：不断提升对食堂的整体管理水平(优)</w:t>
            </w:r>
          </w:p>
        </w:tc>
        <w:tc>
          <w:tcPr>
            <w:tcW w:w="3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满意度指标：服务对象满意度(≥95%)</w:t>
            </w:r>
          </w:p>
        </w:tc>
      </w:tr>
      <w:tr>
        <w:tblPrEx>
          <w:shd w:val="clear"/>
          <w:tblCellMar>
            <w:top w:w="0" w:type="dxa"/>
            <w:left w:w="0" w:type="dxa"/>
            <w:bottom w:w="0" w:type="dxa"/>
            <w:right w:w="0" w:type="dxa"/>
          </w:tblCellMar>
        </w:tblPrEx>
        <w:trPr>
          <w:trHeight w:val="570" w:hRule="atLeast"/>
        </w:trPr>
        <w:tc>
          <w:tcPr>
            <w:tcW w:w="1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2</w:t>
            </w:r>
          </w:p>
        </w:tc>
        <w:tc>
          <w:tcPr>
            <w:tcW w:w="17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102002</w:t>
            </w:r>
          </w:p>
        </w:tc>
        <w:tc>
          <w:tcPr>
            <w:tcW w:w="21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柳州市柳江区人民政府接待办公室</w:t>
            </w:r>
          </w:p>
        </w:tc>
        <w:tc>
          <w:tcPr>
            <w:tcW w:w="2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接待办业务经费</w:t>
            </w:r>
          </w:p>
        </w:tc>
        <w:tc>
          <w:tcPr>
            <w:tcW w:w="2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5.09</w:t>
            </w:r>
          </w:p>
        </w:tc>
        <w:tc>
          <w:tcPr>
            <w:tcW w:w="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通过开展接待业务培训，接待采点。做好接待工作，保障全区接待工作有序开展。</w:t>
            </w:r>
          </w:p>
        </w:tc>
        <w:tc>
          <w:tcPr>
            <w:tcW w:w="4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数量指标：接待人员出差(≤150次)</w:t>
            </w: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质量指标：预算资金使用的合规性(＝100%)</w:t>
            </w:r>
          </w:p>
        </w:tc>
        <w:tc>
          <w:tcPr>
            <w:tcW w:w="3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时效指标：完成时间(2025年12月31日前)</w:t>
            </w:r>
          </w:p>
        </w:tc>
        <w:tc>
          <w:tcPr>
            <w:tcW w:w="4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成本指标：预算控制率(≤100%)</w:t>
            </w:r>
          </w:p>
        </w:tc>
        <w:tc>
          <w:tcPr>
            <w:tcW w:w="27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可持续效益指标：进一步规范接待工作，协调职能，提升整体服务及务管理水平。(优)</w:t>
            </w:r>
          </w:p>
        </w:tc>
        <w:tc>
          <w:tcPr>
            <w:tcW w:w="3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满意度指标：服务对象满意度(≥95%)</w:t>
            </w:r>
          </w:p>
        </w:tc>
      </w:tr>
      <w:tr>
        <w:tblPrEx>
          <w:shd w:val="clear"/>
          <w:tblCellMar>
            <w:top w:w="0" w:type="dxa"/>
            <w:left w:w="0" w:type="dxa"/>
            <w:bottom w:w="0" w:type="dxa"/>
            <w:right w:w="0" w:type="dxa"/>
          </w:tblCellMar>
        </w:tblPrEx>
        <w:trPr>
          <w:trHeight w:val="570" w:hRule="atLeast"/>
        </w:trPr>
        <w:tc>
          <w:tcPr>
            <w:tcW w:w="1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bdr w:val="none" w:color="auto" w:sz="0" w:space="0"/>
                <w:lang w:val="en-US" w:eastAsia="zh-CN" w:bidi="ar"/>
              </w:rPr>
              <w:t>3</w:t>
            </w:r>
          </w:p>
        </w:tc>
        <w:tc>
          <w:tcPr>
            <w:tcW w:w="176"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102002</w:t>
            </w:r>
          </w:p>
        </w:tc>
        <w:tc>
          <w:tcPr>
            <w:tcW w:w="21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柳州市柳江区人民政府接待办公室</w:t>
            </w:r>
          </w:p>
        </w:tc>
        <w:tc>
          <w:tcPr>
            <w:tcW w:w="26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公务招待费</w:t>
            </w:r>
          </w:p>
        </w:tc>
        <w:tc>
          <w:tcPr>
            <w:tcW w:w="2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28.35</w:t>
            </w:r>
          </w:p>
        </w:tc>
        <w:tc>
          <w:tcPr>
            <w:tcW w:w="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做好接待来宾工作，接待费按实际发生支出，同地接待费同比每年下降10％以上。</w:t>
            </w:r>
          </w:p>
        </w:tc>
        <w:tc>
          <w:tcPr>
            <w:tcW w:w="4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数量指标：接待来宾批次(≥110次)</w:t>
            </w:r>
          </w:p>
        </w:tc>
        <w:tc>
          <w:tcPr>
            <w:tcW w:w="4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质量指标：公务接待审批率(＝100%)</w:t>
            </w:r>
            <w:r>
              <w:rPr>
                <w:rFonts w:hint="default" w:ascii="Calibri" w:hAnsi="Calibri" w:eastAsia="宋体" w:cs="Calibri"/>
                <w:i w:val="0"/>
                <w:color w:val="000000"/>
                <w:kern w:val="0"/>
                <w:sz w:val="22"/>
                <w:szCs w:val="22"/>
                <w:u w:val="none"/>
                <w:bdr w:val="none" w:color="auto" w:sz="0" w:space="0"/>
                <w:lang w:val="en-US" w:eastAsia="zh-CN" w:bidi="ar"/>
              </w:rPr>
              <w:br w:type="textWrapping"/>
            </w:r>
            <w:r>
              <w:rPr>
                <w:rFonts w:hint="default" w:ascii="Calibri" w:hAnsi="Calibri" w:eastAsia="宋体" w:cs="Calibri"/>
                <w:i w:val="0"/>
                <w:color w:val="000000"/>
                <w:kern w:val="0"/>
                <w:sz w:val="22"/>
                <w:szCs w:val="22"/>
                <w:u w:val="none"/>
                <w:bdr w:val="none" w:color="auto" w:sz="0" w:space="0"/>
                <w:lang w:val="en-US" w:eastAsia="zh-CN" w:bidi="ar"/>
              </w:rPr>
              <w:t>质量指标：三公经费降低率(≥10%)</w:t>
            </w:r>
          </w:p>
        </w:tc>
        <w:tc>
          <w:tcPr>
            <w:tcW w:w="3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时效指标：完成时间(2025年12月25日前)</w:t>
            </w:r>
          </w:p>
        </w:tc>
        <w:tc>
          <w:tcPr>
            <w:tcW w:w="4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成本指标：预算控制率(按实际发生)</w:t>
            </w:r>
          </w:p>
        </w:tc>
        <w:tc>
          <w:tcPr>
            <w:tcW w:w="27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7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23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default" w:ascii="Calibri" w:hAnsi="Calibri" w:cs="Calibri"/>
                <w:i w:val="0"/>
                <w:color w:val="000000"/>
                <w:sz w:val="22"/>
                <w:szCs w:val="22"/>
                <w:u w:val="none"/>
              </w:rPr>
            </w:pPr>
          </w:p>
        </w:tc>
        <w:tc>
          <w:tcPr>
            <w:tcW w:w="49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可持续效益指标：进一步规范接待工作，结合政府中心工作和重点工作，充分发挥综合、协调、做好服务工作、提升整体管理水平。(优)</w:t>
            </w:r>
          </w:p>
        </w:tc>
        <w:tc>
          <w:tcPr>
            <w:tcW w:w="34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default" w:ascii="Calibri" w:hAnsi="Calibri" w:cs="Calibri"/>
                <w:i w:val="0"/>
                <w:color w:val="000000"/>
                <w:sz w:val="22"/>
                <w:szCs w:val="22"/>
                <w:u w:val="none"/>
              </w:rPr>
            </w:pPr>
            <w:r>
              <w:rPr>
                <w:rFonts w:hint="default" w:ascii="Calibri" w:hAnsi="Calibri" w:eastAsia="宋体" w:cs="Calibri"/>
                <w:i w:val="0"/>
                <w:color w:val="000000"/>
                <w:kern w:val="0"/>
                <w:sz w:val="22"/>
                <w:szCs w:val="22"/>
                <w:u w:val="none"/>
                <w:bdr w:val="none" w:color="auto" w:sz="0" w:space="0"/>
                <w:lang w:val="en-US" w:eastAsia="zh-CN" w:bidi="ar"/>
              </w:rPr>
              <w:t>满意度指标：服务对象满意度(≥95%)</w:t>
            </w:r>
          </w:p>
        </w:tc>
      </w:tr>
    </w:tbl>
    <w:p>
      <w:pPr>
        <w:rPr>
          <w:rFonts w:hint="eastAsia" w:ascii="黑体" w:eastAsia="黑体"/>
          <w:szCs w:val="32"/>
        </w:rPr>
        <w:sectPr>
          <w:pgSz w:w="16838" w:h="11906" w:orient="landscape"/>
          <w:pgMar w:top="1803" w:right="1440" w:bottom="1803" w:left="1440" w:header="851" w:footer="992" w:gutter="0"/>
          <w:paperSrc/>
          <w:cols w:space="0" w:num="1"/>
          <w:rtlGutter w:val="0"/>
          <w:docGrid w:type="lines" w:linePitch="436" w:charSpace="0"/>
        </w:sectPr>
      </w:pPr>
      <w:r>
        <w:rPr>
          <w:rFonts w:hint="eastAsia" w:ascii="黑体" w:eastAsia="黑体"/>
          <w:szCs w:val="32"/>
        </w:rPr>
        <w:br w:type="page"/>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color w:val="auto"/>
          <w:szCs w:val="32"/>
        </w:rPr>
      </w:pPr>
      <w:r>
        <w:rPr>
          <w:rFonts w:hint="eastAsia" w:ascii="黑体" w:hAnsi="宋体" w:eastAsia="黑体"/>
          <w:color w:val="auto"/>
          <w:szCs w:val="32"/>
          <w:lang w:eastAsia="zh-CN"/>
        </w:rPr>
        <w:t>第四部分：</w:t>
      </w:r>
      <w:r>
        <w:rPr>
          <w:rFonts w:hint="eastAsia" w:ascii="黑体" w:eastAsia="黑体"/>
          <w:color w:val="auto"/>
          <w:szCs w:val="32"/>
          <w:lang w:eastAsia="zh-CN"/>
        </w:rPr>
        <w:t>柳州市柳江区人民政府接待办公室</w:t>
      </w:r>
      <w:r>
        <w:rPr>
          <w:rFonts w:hint="eastAsia" w:ascii="黑体" w:hAnsi="宋体" w:eastAsia="黑体"/>
          <w:color w:val="auto"/>
          <w:szCs w:val="32"/>
          <w:lang w:eastAsia="zh-CN"/>
        </w:rPr>
        <w:t>2025</w:t>
      </w:r>
      <w:r>
        <w:rPr>
          <w:rFonts w:hint="eastAsia" w:ascii="黑体" w:hAnsi="宋体" w:eastAsia="黑体"/>
          <w:color w:val="auto"/>
          <w:szCs w:val="32"/>
        </w:rPr>
        <w:t>年</w:t>
      </w:r>
      <w:r>
        <w:rPr>
          <w:rFonts w:hint="eastAsia" w:ascii="黑体" w:eastAsia="黑体"/>
          <w:color w:val="auto"/>
          <w:szCs w:val="32"/>
          <w:lang w:eastAsia="zh-CN"/>
        </w:rPr>
        <w:t>单位</w:t>
      </w:r>
      <w:r>
        <w:rPr>
          <w:rFonts w:hint="eastAsia" w:ascii="黑体" w:eastAsia="黑体"/>
          <w:color w:val="auto"/>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p>
    <w:p/>
    <w:bookmarkEnd w:id="0"/>
    <w:sectPr>
      <w:pgSz w:w="11906" w:h="16838"/>
      <w:pgMar w:top="1440" w:right="1803" w:bottom="1440" w:left="1803" w:header="851" w:footer="992" w:gutter="0"/>
      <w:paperSrc/>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27CC6"/>
    <w:multiLevelType w:val="singleLevel"/>
    <w:tmpl w:val="A3F27C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95362E"/>
    <w:rsid w:val="11345384"/>
    <w:rsid w:val="15DD7808"/>
    <w:rsid w:val="191C4098"/>
    <w:rsid w:val="21690C6D"/>
    <w:rsid w:val="24EE2575"/>
    <w:rsid w:val="25A57690"/>
    <w:rsid w:val="29995DFC"/>
    <w:rsid w:val="2BAB46D0"/>
    <w:rsid w:val="2F0E7201"/>
    <w:rsid w:val="33D04F7F"/>
    <w:rsid w:val="36190BE4"/>
    <w:rsid w:val="36257CAD"/>
    <w:rsid w:val="392A132F"/>
    <w:rsid w:val="4E3B534E"/>
    <w:rsid w:val="54C61A00"/>
    <w:rsid w:val="563020C7"/>
    <w:rsid w:val="5E2F1F1A"/>
    <w:rsid w:val="611A0FF5"/>
    <w:rsid w:val="61790893"/>
    <w:rsid w:val="6A3E1DEA"/>
    <w:rsid w:val="6CDF446B"/>
    <w:rsid w:val="6DAE2E3A"/>
    <w:rsid w:val="722C7F49"/>
    <w:rsid w:val="77C655DB"/>
    <w:rsid w:val="78CC08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1616</Words>
  <Characters>1822</Characters>
  <Lines>0</Lines>
  <Paragraphs>0</Paragraphs>
  <TotalTime>5</TotalTime>
  <ScaleCrop>false</ScaleCrop>
  <LinksUpToDate>false</LinksUpToDate>
  <CharactersWithSpaces>1836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2025-02-10T02:31:52Z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TemplateDocerSaveRecord">
    <vt:lpwstr>eyJoZGlkIjoiNTA0ZjFmOTk0MzIwNzg4OWU4OGEzNGViM2Y5MGEzYzkifQ==</vt:lpwstr>
  </property>
  <property fmtid="{D5CDD505-2E9C-101B-9397-08002B2CF9AE}" pid="4" name="ICV">
    <vt:lpwstr>E723BE59CE2C4E01A4D68AF4D8692EE9_13</vt:lpwstr>
  </property>
</Properties>
</file>