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Cs w:val="32"/>
        </w:rPr>
      </w:pPr>
      <w:r>
        <w:rPr>
          <w:rFonts w:hint="eastAsia" w:ascii="黑体" w:hAnsi="宋体" w:eastAsia="黑体"/>
          <w:bCs/>
          <w:sz w:val="44"/>
          <w:szCs w:val="44"/>
          <w:highlight w:val="none"/>
          <w:lang w:eastAsia="zh-CN"/>
        </w:rPr>
        <w:t>柳州市柳江区信息中心</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柳州市柳江区信息中心2025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lang w:eastAsia="zh-CN"/>
        </w:rPr>
        <w:t>柳州市柳江区信息中心2025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负责全区电子政务建设和政府门户网站的规划、建设、维护和管理工作。负责全区政府信息公开的推进落实及政务舆情的监测上报工作。拟定电子政务、政府门户网站、政府信息公开和政务舆情等有关工作的规章制度和管理办法，并组织实施。承担全区重点领域政务信息系统规划、建设与维护。负责指导全区各单位的政务信息化业务及信息资源的规划、设计和管理。负责全区政府系统电子政务建设的规划、建设、维护和管理。负责全区电子政务网络平台建设的建设规划、组织协调和实施监督。负责全区政府系统电子政务骨干网络平台的运行管理工作。负责电子政务应用系统软件开发，完善政务管理自动化体系。负责全区电子政务外网横向网络的规划建设和运维管理，为全区各单位电子政务外网应用部署提供技术支持和保障工作。负责组织实施本级电子政务外网业务迁移工作。负责保障政府及各单位的网络安全运行。负责区人民政府门户</w:t>
      </w:r>
      <w:bookmarkStart w:id="0" w:name="_GoBack"/>
      <w:bookmarkEnd w:id="0"/>
      <w:r>
        <w:rPr>
          <w:rFonts w:hint="eastAsia" w:ascii="仿宋_GB2312" w:hAnsi="宋体"/>
          <w:szCs w:val="32"/>
          <w:u w:val="none"/>
          <w:lang w:eastAsia="zh-CN"/>
        </w:rPr>
        <w:t>网站的建设规划、组织保障、健康发展和安全管理等工作，推进网站信息发布、解读回应、互动交流和公共便民服务功能建设。负责全区政府职能网站的统筹管理、日常监督和巡检工作，推进政府网站集约化建设。负责推进、指导、协调、监督全区政务公开、政府信息公开工作，落实政务公开、政府信息公开相关法律法规和方针政策，建立政务公开、政府信息公开工作制度，统筹全区政务公开、政府信息公开载体建设。负责组织党政机关及其他政府部门工作人员电子政务应用技术培训工作，为各部门提供电子政务相关的业务咨询、技术支持与服务。完成区委、区人民政府交办的其他任务。</w:t>
      </w:r>
    </w:p>
    <w:p>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pPr>
        <w:tabs>
          <w:tab w:val="center" w:pos="4475"/>
        </w:tabs>
        <w:spacing w:line="560" w:lineRule="exact"/>
        <w:ind w:firstLine="645"/>
        <w:rPr>
          <w:rFonts w:hint="eastAsia" w:ascii="仿宋_GB2312" w:hAnsi="宋体"/>
          <w:szCs w:val="32"/>
          <w:highlight w:val="none"/>
          <w:u w:val="none"/>
          <w:lang w:eastAsia="zh-CN"/>
        </w:rPr>
      </w:pPr>
      <w:r>
        <w:rPr>
          <w:rFonts w:hint="eastAsia" w:ascii="仿宋_GB2312" w:hAnsi="宋体"/>
          <w:szCs w:val="32"/>
          <w:highlight w:val="none"/>
          <w:u w:val="none"/>
          <w:lang w:eastAsia="zh-CN"/>
        </w:rPr>
        <w:t>柳州市柳江区信息中心直属柳江区人民政府参照公务员管理事业单位，为副科级单位，全额财政拨款。核定编制12名，设主任1名、副主任1名，实有在职在编人员</w:t>
      </w:r>
      <w:r>
        <w:rPr>
          <w:rFonts w:hint="eastAsia" w:ascii="仿宋_GB2312" w:hAnsi="宋体"/>
          <w:szCs w:val="32"/>
          <w:highlight w:val="none"/>
          <w:u w:val="none"/>
          <w:lang w:val="en-US" w:eastAsia="zh-CN"/>
        </w:rPr>
        <w:t>11</w:t>
      </w:r>
      <w:r>
        <w:rPr>
          <w:rFonts w:hint="eastAsia" w:ascii="仿宋_GB2312" w:hAnsi="宋体"/>
          <w:szCs w:val="32"/>
          <w:highlight w:val="none"/>
          <w:u w:val="none"/>
          <w:lang w:eastAsia="zh-CN"/>
        </w:rPr>
        <w:t>名。</w:t>
      </w:r>
    </w:p>
    <w:p>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szCs w:val="32"/>
          <w:lang w:eastAsia="zh-CN"/>
        </w:rPr>
        <w:t>柳州市柳江区信息中心</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263.37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263.37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sz w:val="32"/>
          <w:szCs w:val="32"/>
          <w:lang w:eastAsia="zh-CN"/>
        </w:rPr>
        <w:t>总收入较上年增加</w:t>
      </w:r>
      <w:r>
        <w:rPr>
          <w:rFonts w:hint="eastAsia" w:ascii="仿宋_GB2312"/>
          <w:sz w:val="32"/>
          <w:szCs w:val="32"/>
          <w:lang w:val="en-US" w:eastAsia="zh-CN"/>
        </w:rPr>
        <w:t>17.15</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6.96 %，主要原因是</w:t>
      </w:r>
      <w:r>
        <w:rPr>
          <w:rFonts w:hint="eastAsia" w:ascii="仿宋_GB2312"/>
          <w:szCs w:val="32"/>
          <w:lang w:eastAsia="zh-CN"/>
        </w:rPr>
        <w:t>因工作需要调入人员，增加了人员经费</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6.69%，主要原因是</w:t>
      </w:r>
      <w:r>
        <w:rPr>
          <w:rFonts w:hint="eastAsia" w:ascii="仿宋_GB2312"/>
          <w:szCs w:val="32"/>
          <w:lang w:eastAsia="zh-CN"/>
        </w:rPr>
        <w:t>工作需要调入人员，增加了人员经费</w:t>
      </w:r>
      <w:r>
        <w:rPr>
          <w:rFonts w:hint="eastAsia" w:ascii="仿宋_GB2312"/>
          <w:sz w:val="32"/>
          <w:szCs w:val="32"/>
          <w:lang w:val="en-US"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263.37</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17.15</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6.96 %，主要原因是</w:t>
      </w:r>
      <w:r>
        <w:rPr>
          <w:rFonts w:hint="eastAsia" w:ascii="仿宋_GB2312"/>
          <w:szCs w:val="32"/>
          <w:lang w:eastAsia="zh-CN"/>
        </w:rPr>
        <w:t>工作需要调入人员，增加了人员经费</w:t>
      </w:r>
      <w:r>
        <w:rPr>
          <w:rFonts w:hint="eastAsia" w:ascii="仿宋_GB2312"/>
          <w:sz w:val="32"/>
          <w:szCs w:val="32"/>
          <w:lang w:val="en-US" w:eastAsia="zh-CN"/>
        </w:rPr>
        <w:t>。单位收入主要包括：</w:t>
      </w:r>
    </w:p>
    <w:p>
      <w:pPr>
        <w:numPr>
          <w:ilvl w:val="0"/>
          <w:numId w:val="1"/>
        </w:num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一般公共预算拨款收入208.54万元，占总总收入的79.18%</w:t>
      </w:r>
    </w:p>
    <w:p>
      <w:pPr>
        <w:numPr>
          <w:ilvl w:val="0"/>
          <w:numId w:val="1"/>
        </w:numPr>
        <w:tabs>
          <w:tab w:val="center" w:pos="4475"/>
        </w:tabs>
        <w:spacing w:line="560" w:lineRule="exact"/>
        <w:ind w:firstLine="645"/>
        <w:rPr>
          <w:rFonts w:hint="default" w:ascii="仿宋_GB2312"/>
          <w:sz w:val="32"/>
          <w:szCs w:val="32"/>
          <w:lang w:val="en-US" w:eastAsia="zh-CN"/>
        </w:rPr>
      </w:pPr>
      <w:r>
        <w:rPr>
          <w:rFonts w:hint="default" w:ascii="仿宋_GB2312"/>
          <w:sz w:val="32"/>
          <w:szCs w:val="32"/>
          <w:lang w:val="en-US" w:eastAsia="zh-CN"/>
        </w:rPr>
        <w:t>政府性基金预算拨款</w:t>
      </w:r>
      <w:r>
        <w:rPr>
          <w:rFonts w:hint="eastAsia" w:ascii="仿宋_GB2312"/>
          <w:sz w:val="32"/>
          <w:szCs w:val="32"/>
          <w:lang w:val="en-US" w:eastAsia="zh-CN"/>
        </w:rPr>
        <w:t>收入54.83万元，占总收入的20.82%</w:t>
      </w:r>
    </w:p>
    <w:p>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263.37</w:t>
      </w:r>
      <w:r>
        <w:rPr>
          <w:rFonts w:hint="eastAsia" w:ascii="仿宋_GB2312" w:eastAsia="仿宋_GB2312"/>
          <w:sz w:val="32"/>
          <w:szCs w:val="32"/>
        </w:rPr>
        <w:t xml:space="preserve"> 万元</w:t>
      </w:r>
      <w:r>
        <w:rPr>
          <w:rFonts w:hint="eastAsia" w:ascii="仿宋_GB2312"/>
          <w:sz w:val="32"/>
          <w:szCs w:val="32"/>
          <w:lang w:eastAsia="zh-CN"/>
        </w:rPr>
        <w:t>，较上年增加</w:t>
      </w:r>
      <w:r>
        <w:rPr>
          <w:rFonts w:hint="eastAsia" w:ascii="仿宋_GB2312"/>
          <w:sz w:val="32"/>
          <w:szCs w:val="32"/>
          <w:lang w:val="en-US" w:eastAsia="zh-CN"/>
        </w:rPr>
        <w:t>17.15</w:t>
      </w:r>
      <w:r>
        <w:rPr>
          <w:rFonts w:hint="default" w:ascii="仿宋_GB2312"/>
          <w:sz w:val="32"/>
          <w:szCs w:val="32"/>
          <w:lang w:val="en" w:eastAsia="zh-CN"/>
        </w:rPr>
        <w:t xml:space="preserve"> </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6.96%，主要原因是</w:t>
      </w:r>
      <w:r>
        <w:rPr>
          <w:rFonts w:hint="eastAsia" w:ascii="仿宋_GB2312"/>
          <w:szCs w:val="32"/>
          <w:lang w:eastAsia="zh-CN"/>
        </w:rPr>
        <w:t>工作需要调入人员，增加了人员经费</w:t>
      </w:r>
      <w:r>
        <w:rPr>
          <w:rFonts w:hint="eastAsia" w:ascii="仿宋_GB2312"/>
          <w:sz w:val="32"/>
          <w:szCs w:val="32"/>
          <w:lang w:val="en-US" w:eastAsia="zh-CN"/>
        </w:rPr>
        <w:t>。单位支出主要包括：</w:t>
      </w:r>
    </w:p>
    <w:p>
      <w:pPr>
        <w:numPr>
          <w:ilvl w:val="0"/>
          <w:numId w:val="2"/>
        </w:num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一般公共服务支出152.18万元，占总支出的57.79%</w:t>
      </w:r>
    </w:p>
    <w:p>
      <w:pPr>
        <w:numPr>
          <w:ilvl w:val="0"/>
          <w:numId w:val="2"/>
        </w:numPr>
        <w:tabs>
          <w:tab w:val="center" w:pos="4475"/>
        </w:tabs>
        <w:spacing w:line="560" w:lineRule="exact"/>
        <w:ind w:firstLine="645"/>
        <w:rPr>
          <w:rFonts w:hint="eastAsia" w:ascii="仿宋_GB2312"/>
          <w:sz w:val="32"/>
          <w:szCs w:val="32"/>
          <w:lang w:val="en-US" w:eastAsia="zh-CN"/>
        </w:rPr>
      </w:pPr>
      <w:r>
        <w:rPr>
          <w:rFonts w:hint="default" w:ascii="仿宋_GB2312"/>
          <w:sz w:val="32"/>
          <w:szCs w:val="32"/>
          <w:lang w:val="en-US" w:eastAsia="zh-CN"/>
        </w:rPr>
        <w:t>社会保障和就业支出</w:t>
      </w:r>
      <w:r>
        <w:rPr>
          <w:rFonts w:hint="eastAsia" w:ascii="仿宋_GB2312"/>
          <w:sz w:val="32"/>
          <w:szCs w:val="32"/>
          <w:lang w:val="en-US" w:eastAsia="zh-CN"/>
        </w:rPr>
        <w:t>31.50万元，占总支出的11.96%</w:t>
      </w:r>
    </w:p>
    <w:p>
      <w:pPr>
        <w:numPr>
          <w:ilvl w:val="0"/>
          <w:numId w:val="2"/>
        </w:numPr>
        <w:tabs>
          <w:tab w:val="center" w:pos="4475"/>
        </w:tabs>
        <w:spacing w:line="560" w:lineRule="exact"/>
        <w:ind w:firstLine="645"/>
        <w:rPr>
          <w:rFonts w:hint="eastAsia" w:ascii="仿宋_GB2312"/>
          <w:sz w:val="32"/>
          <w:szCs w:val="32"/>
          <w:lang w:val="en-US" w:eastAsia="zh-CN"/>
        </w:rPr>
      </w:pPr>
      <w:r>
        <w:rPr>
          <w:rFonts w:hint="default" w:ascii="仿宋_GB2312"/>
          <w:sz w:val="32"/>
          <w:szCs w:val="32"/>
          <w:lang w:val="en-US" w:eastAsia="zh-CN"/>
        </w:rPr>
        <w:t>卫生健康支出</w:t>
      </w:r>
      <w:r>
        <w:rPr>
          <w:rFonts w:hint="eastAsia" w:ascii="仿宋_GB2312"/>
          <w:sz w:val="32"/>
          <w:szCs w:val="32"/>
          <w:lang w:val="en-US" w:eastAsia="zh-CN"/>
        </w:rPr>
        <w:t>9.23万元，占总支出的3.50%</w:t>
      </w:r>
    </w:p>
    <w:p>
      <w:pPr>
        <w:numPr>
          <w:ilvl w:val="0"/>
          <w:numId w:val="2"/>
        </w:numPr>
        <w:tabs>
          <w:tab w:val="center" w:pos="4475"/>
        </w:tabs>
        <w:spacing w:line="560" w:lineRule="exact"/>
        <w:ind w:firstLine="645"/>
        <w:rPr>
          <w:rFonts w:hint="default" w:ascii="仿宋_GB2312"/>
          <w:sz w:val="32"/>
          <w:szCs w:val="32"/>
          <w:lang w:val="en-US" w:eastAsia="zh-CN"/>
        </w:rPr>
      </w:pPr>
      <w:r>
        <w:rPr>
          <w:rFonts w:hint="default" w:ascii="仿宋_GB2312"/>
          <w:sz w:val="32"/>
          <w:szCs w:val="32"/>
          <w:lang w:val="en-US" w:eastAsia="zh-CN"/>
        </w:rPr>
        <w:t>城乡社区支出</w:t>
      </w:r>
      <w:r>
        <w:rPr>
          <w:rFonts w:hint="eastAsia" w:ascii="仿宋_GB2312"/>
          <w:sz w:val="32"/>
          <w:szCs w:val="32"/>
          <w:lang w:val="en-US" w:eastAsia="zh-CN"/>
        </w:rPr>
        <w:t>54.83万元，占总支出的20.82%</w:t>
      </w:r>
    </w:p>
    <w:p>
      <w:pPr>
        <w:numPr>
          <w:ilvl w:val="0"/>
          <w:numId w:val="2"/>
        </w:numPr>
        <w:tabs>
          <w:tab w:val="center" w:pos="4475"/>
        </w:tabs>
        <w:spacing w:line="560" w:lineRule="exact"/>
        <w:ind w:firstLine="645"/>
        <w:rPr>
          <w:rFonts w:hint="eastAsia" w:ascii="仿宋_GB2312" w:hAnsi="宋体"/>
          <w:szCs w:val="32"/>
          <w:highlight w:val="none"/>
          <w:lang w:val="en-US" w:eastAsia="zh-CN"/>
        </w:rPr>
      </w:pPr>
      <w:r>
        <w:rPr>
          <w:rFonts w:hint="default" w:ascii="仿宋_GB2312"/>
          <w:sz w:val="32"/>
          <w:szCs w:val="32"/>
          <w:lang w:val="en-US" w:eastAsia="zh-CN"/>
        </w:rPr>
        <w:t>住房保障支出</w:t>
      </w:r>
      <w:r>
        <w:rPr>
          <w:rFonts w:hint="eastAsia" w:ascii="仿宋_GB2312"/>
          <w:sz w:val="32"/>
          <w:szCs w:val="32"/>
          <w:lang w:val="en-US" w:eastAsia="zh-CN"/>
        </w:rPr>
        <w:t>15.62万元，占总支出的5.93%</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pPr>
        <w:tabs>
          <w:tab w:val="center" w:pos="4475"/>
        </w:tabs>
        <w:spacing w:line="560" w:lineRule="exact"/>
        <w:ind w:firstLine="645"/>
        <w:rPr>
          <w:rFonts w:hint="eastAsia" w:ascii="黑体" w:eastAsia="黑体"/>
          <w:szCs w:val="32"/>
        </w:rPr>
      </w:pPr>
      <w:r>
        <w:rPr>
          <w:rFonts w:hint="eastAsia" w:ascii="仿宋_GB2312"/>
          <w:sz w:val="32"/>
          <w:szCs w:val="32"/>
          <w:highlight w:val="none"/>
          <w:lang w:eastAsia="zh-CN"/>
        </w:rPr>
        <w:t>我</w:t>
      </w:r>
      <w:r>
        <w:rPr>
          <w:rFonts w:hint="eastAsia" w:ascii="仿宋_GB2312"/>
          <w:sz w:val="32"/>
          <w:szCs w:val="32"/>
          <w:lang w:eastAsia="zh-CN"/>
        </w:rPr>
        <w:t>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54.83</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23.43</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29.94%，主要原因是</w:t>
      </w:r>
      <w:r>
        <w:rPr>
          <w:rFonts w:hint="eastAsia" w:ascii="仿宋_GB2312"/>
          <w:szCs w:val="32"/>
          <w:lang w:eastAsia="zh-CN"/>
        </w:rPr>
        <w:t>减少项目支出。</w:t>
      </w:r>
    </w:p>
    <w:p>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tabs>
          <w:tab w:val="center" w:pos="4475"/>
        </w:tabs>
        <w:spacing w:line="560" w:lineRule="exact"/>
        <w:ind w:firstLine="645"/>
        <w:rPr>
          <w:rFonts w:hint="eastAsia" w:ascii="黑体" w:eastAsia="黑体"/>
          <w:szCs w:val="32"/>
        </w:rPr>
      </w:pPr>
      <w:r>
        <w:rPr>
          <w:rFonts w:hint="eastAsia" w:ascii="仿宋_GB2312"/>
          <w:sz w:val="32"/>
          <w:szCs w:val="32"/>
          <w:lang w:eastAsia="zh-CN"/>
        </w:rPr>
        <w:t>我单位202</w:t>
      </w:r>
      <w:r>
        <w:rPr>
          <w:rFonts w:hint="eastAsia" w:ascii="仿宋_GB2312"/>
          <w:sz w:val="32"/>
          <w:szCs w:val="32"/>
          <w:lang w:val="en-US" w:eastAsia="zh-CN"/>
        </w:rPr>
        <w:t>5</w:t>
      </w:r>
      <w:r>
        <w:rPr>
          <w:rFonts w:hint="eastAsia" w:ascii="仿宋_GB2312"/>
          <w:sz w:val="32"/>
          <w:szCs w:val="32"/>
          <w:lang w:eastAsia="zh-CN"/>
        </w:rPr>
        <w:t>年无国有资本经营预算。</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0.26</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0.01</w:t>
      </w:r>
      <w:r>
        <w:rPr>
          <w:rFonts w:hint="eastAsia" w:ascii="仿宋_GB2312"/>
          <w:bCs/>
        </w:rPr>
        <w:t>万元，下降</w:t>
      </w:r>
      <w:r>
        <w:rPr>
          <w:rFonts w:hint="eastAsia" w:ascii="仿宋_GB2312"/>
          <w:bCs/>
          <w:lang w:val="en-US" w:eastAsia="zh-CN"/>
        </w:rPr>
        <w:t>3.70</w:t>
      </w:r>
      <w:r>
        <w:rPr>
          <w:rFonts w:hint="eastAsia" w:ascii="仿宋_GB2312"/>
          <w:bCs/>
        </w:rPr>
        <w:t>%，具体如下：</w:t>
      </w:r>
    </w:p>
    <w:p>
      <w:pPr>
        <w:numPr>
          <w:ilvl w:val="0"/>
          <w:numId w:val="3"/>
        </w:numPr>
        <w:tabs>
          <w:tab w:val="center" w:pos="4475"/>
        </w:tabs>
        <w:spacing w:line="560" w:lineRule="exact"/>
        <w:ind w:firstLine="645"/>
        <w:rPr>
          <w:rFonts w:hint="eastAsia" w:ascii="仿宋_GB2312" w:hAnsi="宋体"/>
          <w:szCs w:val="32"/>
          <w:lang w:eastAsia="zh-CN"/>
        </w:rPr>
      </w:pP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与上年度持平。</w:t>
      </w:r>
    </w:p>
    <w:p>
      <w:pPr>
        <w:numPr>
          <w:ilvl w:val="0"/>
          <w:numId w:val="3"/>
        </w:numPr>
        <w:tabs>
          <w:tab w:val="center" w:pos="4475"/>
        </w:tabs>
        <w:spacing w:line="560" w:lineRule="exact"/>
        <w:ind w:left="0" w:leftChars="0" w:firstLine="645" w:firstLineChars="0"/>
        <w:rPr>
          <w:rFonts w:hint="eastAsia" w:ascii="仿宋_GB2312" w:hAnsi="宋体"/>
          <w:szCs w:val="32"/>
        </w:rPr>
      </w:pP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与上年度持平，</w:t>
      </w:r>
      <w:r>
        <w:rPr>
          <w:rFonts w:hint="eastAsia" w:ascii="仿宋_GB2312" w:hAnsi="宋体"/>
          <w:szCs w:val="32"/>
        </w:rPr>
        <w:t>其中：</w:t>
      </w:r>
    </w:p>
    <w:p>
      <w:pPr>
        <w:keepNext w:val="0"/>
        <w:keepLines w:val="0"/>
        <w:pageBreakBefore w:val="0"/>
        <w:widowControl w:val="0"/>
        <w:numPr>
          <w:ilvl w:val="0"/>
          <w:numId w:val="0"/>
        </w:numPr>
        <w:tabs>
          <w:tab w:val="center" w:pos="447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szCs w:val="32"/>
          <w:lang w:eastAsia="zh-CN"/>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，与上年度持平。</w:t>
      </w:r>
    </w:p>
    <w:p>
      <w:pPr>
        <w:keepNext w:val="0"/>
        <w:keepLines w:val="0"/>
        <w:pageBreakBefore w:val="0"/>
        <w:widowControl w:val="0"/>
        <w:tabs>
          <w:tab w:val="center" w:pos="4475"/>
        </w:tabs>
        <w:kinsoku/>
        <w:wordWrap/>
        <w:overflowPunct/>
        <w:topLinePunct w:val="0"/>
        <w:autoSpaceDE/>
        <w:autoSpaceDN/>
        <w:bidi w:val="0"/>
        <w:adjustRightInd/>
        <w:snapToGrid/>
        <w:spacing w:line="560" w:lineRule="exact"/>
        <w:ind w:left="0" w:leftChars="0" w:firstLine="640" w:firstLineChars="200"/>
        <w:textAlignment w:val="auto"/>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与上年度持平。</w:t>
      </w:r>
    </w:p>
    <w:p>
      <w:pPr>
        <w:keepNext w:val="0"/>
        <w:keepLines w:val="0"/>
        <w:pageBreakBefore w:val="0"/>
        <w:widowControl w:val="0"/>
        <w:numPr>
          <w:ilvl w:val="0"/>
          <w:numId w:val="0"/>
        </w:numPr>
        <w:tabs>
          <w:tab w:val="center" w:pos="447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szCs w:val="32"/>
          <w:lang w:eastAsia="zh-CN"/>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0.26</w:t>
      </w:r>
      <w:r>
        <w:rPr>
          <w:rFonts w:hint="eastAsia" w:ascii="仿宋_GB2312" w:hAnsi="宋体"/>
          <w:szCs w:val="32"/>
        </w:rPr>
        <w:t>万元，比上年减少</w:t>
      </w:r>
      <w:r>
        <w:rPr>
          <w:rFonts w:hint="eastAsia" w:ascii="仿宋_GB2312" w:hAnsi="宋体"/>
          <w:szCs w:val="32"/>
          <w:lang w:val="en-US" w:eastAsia="zh-CN"/>
        </w:rPr>
        <w:t>0.01</w:t>
      </w:r>
      <w:r>
        <w:rPr>
          <w:rFonts w:hint="eastAsia" w:ascii="仿宋_GB2312" w:hAnsi="宋体"/>
          <w:szCs w:val="32"/>
        </w:rPr>
        <w:t>万元，下降</w:t>
      </w:r>
      <w:r>
        <w:rPr>
          <w:rFonts w:hint="eastAsia" w:ascii="仿宋_GB2312" w:hAnsi="宋体"/>
          <w:szCs w:val="32"/>
          <w:lang w:val="en-US" w:eastAsia="zh-CN"/>
        </w:rPr>
        <w:t>3.70</w:t>
      </w:r>
      <w:r>
        <w:rPr>
          <w:rFonts w:hint="eastAsia" w:ascii="仿宋_GB2312" w:hAnsi="宋体"/>
          <w:szCs w:val="32"/>
        </w:rPr>
        <w:t>%，</w:t>
      </w:r>
      <w:r>
        <w:rPr>
          <w:rFonts w:hint="eastAsia" w:ascii="仿宋_GB2312" w:hAnsi="Arial" w:cs="Arial"/>
          <w:kern w:val="0"/>
        </w:rPr>
        <w:t>减少的主要原因</w:t>
      </w:r>
      <w:r>
        <w:rPr>
          <w:rFonts w:hint="eastAsia" w:ascii="仿宋_GB2312" w:hAnsi="仿宋_GB2312" w:eastAsia="仿宋_GB2312" w:cs="Times New Roman"/>
          <w:sz w:val="32"/>
          <w:lang w:bidi="zh-HK"/>
        </w:rPr>
        <w:t>贯彻落实厉行节约反对浪费精神</w:t>
      </w:r>
      <w:r>
        <w:rPr>
          <w:rFonts w:hint="eastAsia" w:ascii="仿宋_GB2312" w:hAnsi="仿宋_GB2312" w:cs="Times New Roman"/>
          <w:sz w:val="32"/>
          <w:lang w:eastAsia="zh-CN" w:bidi="zh-HK"/>
        </w:rPr>
        <w:t>，压缩“三公”经费支出，加强公务接待</w:t>
      </w:r>
      <w:r>
        <w:rPr>
          <w:rFonts w:hint="eastAsia" w:ascii="仿宋_GB2312" w:hAnsi="宋体"/>
          <w:szCs w:val="32"/>
        </w:rPr>
        <w:t>费</w:t>
      </w:r>
      <w:r>
        <w:rPr>
          <w:rFonts w:hint="eastAsia" w:ascii="仿宋_GB2312" w:hAnsi="宋体"/>
          <w:szCs w:val="32"/>
          <w:lang w:eastAsia="zh-CN"/>
        </w:rPr>
        <w:t>的管理。</w:t>
      </w:r>
    </w:p>
    <w:p>
      <w:pPr>
        <w:numPr>
          <w:ilvl w:val="0"/>
          <w:numId w:val="0"/>
        </w:numPr>
        <w:tabs>
          <w:tab w:val="center" w:pos="4475"/>
        </w:tabs>
        <w:spacing w:line="560" w:lineRule="exact"/>
        <w:ind w:left="645" w:leftChars="0"/>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机关</w:t>
      </w:r>
      <w:r>
        <w:rPr>
          <w:rFonts w:hint="eastAsia" w:ascii="仿宋_GB2312" w:hAnsi="宋体" w:cs="Times New Roman"/>
          <w:szCs w:val="32"/>
          <w:highlight w:val="none"/>
          <w:lang w:eastAsia="zh-CN"/>
        </w:rPr>
        <w:t>运行经费主要包括</w:t>
      </w:r>
      <w:r>
        <w:rPr>
          <w:rFonts w:hint="eastAsia" w:ascii="仿宋_GB2312" w:hAnsi="宋体" w:cs="Times New Roman"/>
          <w:szCs w:val="32"/>
          <w:highlight w:val="none"/>
          <w:lang w:val="en-US" w:eastAsia="zh-CN"/>
        </w:rPr>
        <w:t>办公费、印刷费、邮电费、差旅费、维修（护）费、会议费、培训费、公务接待费、工会经费、福利费、其他交通费用、其他商品和服务支出。</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2025年机关</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运行经费预算30.92万元，较上年增加5.42</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21.25%，增长的主要原因是工作需要，新增人员，增加定额商品服务支出。</w:t>
      </w:r>
    </w:p>
    <w:p>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6</w:t>
      </w:r>
      <w:r>
        <w:rPr>
          <w:rFonts w:hint="eastAsia" w:ascii="仿宋_GB2312" w:hAnsi="宋体"/>
          <w:szCs w:val="32"/>
        </w:rPr>
        <w:t>万元。其中：货物类采购</w:t>
      </w:r>
      <w:r>
        <w:rPr>
          <w:rFonts w:hint="eastAsia" w:ascii="仿宋_GB2312" w:hAnsi="宋体"/>
          <w:szCs w:val="32"/>
          <w:lang w:val="en-US" w:eastAsia="zh-CN"/>
        </w:rPr>
        <w:t>6</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pPr>
        <w:tabs>
          <w:tab w:val="center" w:pos="4475"/>
        </w:tabs>
        <w:spacing w:line="560" w:lineRule="exact"/>
        <w:ind w:firstLine="645"/>
        <w:rPr>
          <w:rFonts w:hint="eastAsia" w:ascii="仿宋_GB2312" w:hAnsi="宋体"/>
          <w:szCs w:val="32"/>
        </w:rPr>
      </w:pPr>
      <w:r>
        <w:rPr>
          <w:rFonts w:hint="eastAsia" w:ascii="仿宋_GB2312" w:hAnsi="宋体"/>
          <w:szCs w:val="32"/>
        </w:rPr>
        <w:t>我</w:t>
      </w:r>
      <w:r>
        <w:rPr>
          <w:rFonts w:hint="eastAsia" w:ascii="仿宋_GB2312" w:hAnsi="宋体"/>
          <w:szCs w:val="32"/>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年无国有资产占用相关情况。</w:t>
      </w:r>
    </w:p>
    <w:p>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pPr>
        <w:tabs>
          <w:tab w:val="center" w:pos="4475"/>
        </w:tabs>
        <w:suppressAutoHyphens w:val="0"/>
        <w:autoSpaceDN w:val="0"/>
        <w:spacing w:line="560" w:lineRule="exact"/>
        <w:ind w:firstLine="645"/>
        <w:rPr>
          <w:rFonts w:hint="eastAsia" w:ascii="仿宋_GB2312" w:hAnsi="宋体"/>
          <w:color w:val="auto"/>
          <w:szCs w:val="32"/>
          <w:highlight w:val="none"/>
          <w:lang w:val="en-US" w:eastAsia="zh-CN"/>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2025年所有项目支出全面实施绩效目标管理，涉本级项目</w:t>
      </w:r>
      <w:r>
        <w:rPr>
          <w:rFonts w:hint="eastAsia" w:ascii="仿宋_GB2312" w:cs="仿宋_GB2312"/>
          <w:b w:val="0"/>
          <w:bCs w:val="0"/>
          <w:caps w:val="0"/>
          <w:color w:val="auto"/>
          <w:kern w:val="2"/>
          <w:sz w:val="32"/>
          <w:szCs w:val="32"/>
          <w:vertAlign w:val="baseline"/>
          <w:lang w:val="en-US" w:eastAsia="zh-CN" w:bidi="ar"/>
        </w:rPr>
        <w:t>4</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54.83</w:t>
      </w:r>
      <w:r>
        <w:rPr>
          <w:rFonts w:hint="eastAsia" w:ascii="仿宋_GB2312" w:hAnsi="Times New Roman" w:eastAsia="仿宋_GB2312" w:cs="仿宋_GB2312"/>
          <w:b w:val="0"/>
          <w:bCs w:val="0"/>
          <w:caps w:val="0"/>
          <w:color w:val="auto"/>
          <w:kern w:val="2"/>
          <w:sz w:val="32"/>
          <w:szCs w:val="32"/>
          <w:vertAlign w:val="baseline"/>
          <w:lang w:val="en-US" w:eastAsia="zh-CN" w:bidi="ar"/>
        </w:rPr>
        <w:t>万元；对下转移支付项目</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万元。绩效目标情况详见报表。</w:t>
      </w:r>
    </w:p>
    <w:p>
      <w:pPr>
        <w:tabs>
          <w:tab w:val="center" w:pos="4475"/>
        </w:tabs>
        <w:spacing w:line="560" w:lineRule="exact"/>
        <w:ind w:firstLine="640" w:firstLineChars="200"/>
        <w:rPr>
          <w:rFonts w:hint="default" w:ascii="黑体" w:eastAsia="黑体"/>
          <w:szCs w:val="32"/>
          <w:lang w:val="en-US" w:eastAsia="zh-CN"/>
        </w:rPr>
      </w:pPr>
      <w:r>
        <w:rPr>
          <w:rFonts w:hint="eastAsia" w:ascii="仿宋_GB2312"/>
          <w:sz w:val="32"/>
          <w:szCs w:val="32"/>
          <w:lang w:val="en-US" w:eastAsia="zh-CN"/>
        </w:rPr>
        <w:t>（二）重点项目预算绩效目标说明。</w:t>
      </w:r>
    </w:p>
    <w:p>
      <w:pPr>
        <w:tabs>
          <w:tab w:val="center" w:pos="4475"/>
        </w:tabs>
        <w:spacing w:line="560" w:lineRule="exact"/>
        <w:ind w:firstLine="645"/>
        <w:rPr>
          <w:rFonts w:hint="eastAsia" w:ascii="黑体" w:eastAsia="黑体"/>
          <w:szCs w:val="32"/>
        </w:rPr>
        <w:sectPr>
          <w:footerReference r:id="rId3" w:type="default"/>
          <w:pgSz w:w="11906" w:h="16838"/>
          <w:pgMar w:top="1440" w:right="1800" w:bottom="1440" w:left="1800" w:header="851" w:footer="992" w:gutter="0"/>
          <w:cols w:space="720" w:num="1"/>
          <w:docGrid w:type="lines" w:linePitch="312" w:charSpace="0"/>
        </w:sectPr>
      </w:pPr>
    </w:p>
    <w:tbl>
      <w:tblPr>
        <w:tblStyle w:val="5"/>
        <w:tblW w:w="5000" w:type="pct"/>
        <w:tblInd w:w="0" w:type="dxa"/>
        <w:shd w:val="clear" w:color="auto" w:fill="auto"/>
        <w:tblLayout w:type="fixed"/>
        <w:tblCellMar>
          <w:top w:w="0" w:type="dxa"/>
          <w:left w:w="0" w:type="dxa"/>
          <w:bottom w:w="0" w:type="dxa"/>
          <w:right w:w="0" w:type="dxa"/>
        </w:tblCellMar>
      </w:tblPr>
      <w:tblGrid>
        <w:gridCol w:w="375"/>
        <w:gridCol w:w="504"/>
        <w:gridCol w:w="573"/>
        <w:gridCol w:w="840"/>
        <w:gridCol w:w="675"/>
        <w:gridCol w:w="2415"/>
        <w:gridCol w:w="1095"/>
        <w:gridCol w:w="1830"/>
        <w:gridCol w:w="975"/>
        <w:gridCol w:w="975"/>
        <w:gridCol w:w="1050"/>
        <w:gridCol w:w="645"/>
        <w:gridCol w:w="675"/>
        <w:gridCol w:w="600"/>
        <w:gridCol w:w="761"/>
      </w:tblGrid>
      <w:tr>
        <w:tblPrEx>
          <w:shd w:val="clear" w:color="auto" w:fill="auto"/>
          <w:tblCellMar>
            <w:top w:w="0" w:type="dxa"/>
            <w:left w:w="0" w:type="dxa"/>
            <w:bottom w:w="0" w:type="dxa"/>
            <w:right w:w="0" w:type="dxa"/>
          </w:tblCellMar>
        </w:tblPrEx>
        <w:trPr>
          <w:trHeight w:val="450" w:hRule="atLeast"/>
        </w:trPr>
        <w:tc>
          <w:tcPr>
            <w:tcW w:w="5000" w:type="pct"/>
            <w:gridSpan w:val="15"/>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项目绩效目标公开表</w:t>
            </w:r>
          </w:p>
        </w:tc>
      </w:tr>
      <w:tr>
        <w:tblPrEx>
          <w:shd w:val="clear" w:color="auto" w:fill="auto"/>
          <w:tblCellMar>
            <w:top w:w="0" w:type="dxa"/>
            <w:left w:w="0" w:type="dxa"/>
            <w:bottom w:w="0" w:type="dxa"/>
            <w:right w:w="0" w:type="dxa"/>
          </w:tblCellMar>
        </w:tblPrEx>
        <w:trPr>
          <w:trHeight w:val="450" w:hRule="atLeast"/>
        </w:trPr>
        <w:tc>
          <w:tcPr>
            <w:tcW w:w="5000" w:type="pct"/>
            <w:gridSpan w:val="15"/>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r>
      <w:tr>
        <w:tblPrEx>
          <w:shd w:val="clear" w:color="auto" w:fill="auto"/>
          <w:tblCellMar>
            <w:top w:w="0" w:type="dxa"/>
            <w:left w:w="0" w:type="dxa"/>
            <w:bottom w:w="0" w:type="dxa"/>
            <w:right w:w="0" w:type="dxa"/>
          </w:tblCellMar>
        </w:tblPrEx>
        <w:trPr>
          <w:trHeight w:val="312" w:hRule="atLeast"/>
        </w:trPr>
        <w:tc>
          <w:tcPr>
            <w:tcW w:w="5000" w:type="pct"/>
            <w:gridSpan w:val="15"/>
            <w:vMerge w:val="continue"/>
            <w:tcBorders>
              <w:top w:val="nil"/>
              <w:left w:val="nil"/>
              <w:bottom w:val="single" w:color="auto"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r>
      <w:tr>
        <w:tblPrEx>
          <w:shd w:val="clear" w:color="auto" w:fill="auto"/>
          <w:tblCellMar>
            <w:top w:w="0" w:type="dxa"/>
            <w:left w:w="0" w:type="dxa"/>
            <w:bottom w:w="0" w:type="dxa"/>
            <w:right w:w="0" w:type="dxa"/>
          </w:tblCellMar>
        </w:tblPrEx>
        <w:trPr>
          <w:trHeight w:val="255" w:hRule="atLeast"/>
        </w:trPr>
        <w:tc>
          <w:tcPr>
            <w:tcW w:w="134"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80"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单位代码</w:t>
            </w:r>
          </w:p>
        </w:tc>
        <w:tc>
          <w:tcPr>
            <w:tcW w:w="204"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w:t>
            </w:r>
          </w:p>
        </w:tc>
        <w:tc>
          <w:tcPr>
            <w:tcW w:w="300"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预算资金总额</w:t>
            </w:r>
          </w:p>
        </w:tc>
        <w:tc>
          <w:tcPr>
            <w:tcW w:w="863"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391"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654"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48"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48"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75"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30"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14"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可持续效益指标</w:t>
            </w:r>
          </w:p>
        </w:tc>
        <w:tc>
          <w:tcPr>
            <w:tcW w:w="272"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r>
      <w:tr>
        <w:tblPrEx>
          <w:shd w:val="clear" w:color="auto" w:fill="auto"/>
          <w:tblCellMar>
            <w:top w:w="0" w:type="dxa"/>
            <w:left w:w="0" w:type="dxa"/>
            <w:bottom w:w="0" w:type="dxa"/>
            <w:right w:w="0" w:type="dxa"/>
          </w:tblCellMar>
        </w:tblPrEx>
        <w:trPr>
          <w:trHeight w:val="944" w:hRule="atLeast"/>
        </w:trPr>
        <w:tc>
          <w:tcPr>
            <w:tcW w:w="134"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0"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0"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3"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1"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4"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8"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8"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0"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4"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21" w:hRule="atLeast"/>
        </w:trPr>
        <w:tc>
          <w:tcPr>
            <w:tcW w:w="1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w:t>
            </w:r>
          </w:p>
        </w:tc>
        <w:tc>
          <w:tcPr>
            <w:tcW w:w="1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w:t>
            </w:r>
          </w:p>
        </w:tc>
        <w:tc>
          <w:tcPr>
            <w:tcW w:w="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w:t>
            </w:r>
          </w:p>
        </w:tc>
        <w:tc>
          <w:tcPr>
            <w:tcW w:w="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w:t>
            </w:r>
          </w:p>
        </w:tc>
        <w:tc>
          <w:tcPr>
            <w:tcW w:w="2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w:t>
            </w:r>
          </w:p>
        </w:tc>
        <w:tc>
          <w:tcPr>
            <w:tcW w:w="8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w:t>
            </w:r>
          </w:p>
        </w:tc>
        <w:tc>
          <w:tcPr>
            <w:tcW w:w="3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w:t>
            </w:r>
          </w:p>
        </w:tc>
        <w:tc>
          <w:tcPr>
            <w:tcW w:w="6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w:t>
            </w:r>
          </w:p>
        </w:tc>
        <w:tc>
          <w:tcPr>
            <w:tcW w:w="3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w:t>
            </w:r>
          </w:p>
        </w:tc>
        <w:tc>
          <w:tcPr>
            <w:tcW w:w="3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w:t>
            </w:r>
          </w:p>
        </w:tc>
        <w:tc>
          <w:tcPr>
            <w:tcW w:w="3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w:t>
            </w:r>
          </w:p>
        </w:tc>
        <w:tc>
          <w:tcPr>
            <w:tcW w:w="2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w:t>
            </w:r>
          </w:p>
        </w:tc>
        <w:tc>
          <w:tcPr>
            <w:tcW w:w="2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w:t>
            </w:r>
          </w:p>
        </w:tc>
        <w:tc>
          <w:tcPr>
            <w:tcW w:w="2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w:t>
            </w:r>
          </w:p>
        </w:tc>
        <w:tc>
          <w:tcPr>
            <w:tcW w:w="2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w:t>
            </w:r>
          </w:p>
        </w:tc>
      </w:tr>
      <w:tr>
        <w:tblPrEx>
          <w:shd w:val="clear" w:color="auto" w:fill="auto"/>
          <w:tblCellMar>
            <w:top w:w="0" w:type="dxa"/>
            <w:left w:w="0" w:type="dxa"/>
            <w:bottom w:w="0" w:type="dxa"/>
            <w:right w:w="0" w:type="dxa"/>
          </w:tblCellMar>
        </w:tblPrEx>
        <w:trPr>
          <w:trHeight w:val="90" w:hRule="atLeast"/>
        </w:trPr>
        <w:tc>
          <w:tcPr>
            <w:tcW w:w="1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22"/>
                <w:szCs w:val="22"/>
                <w:u w:val="none"/>
              </w:rPr>
            </w:pPr>
          </w:p>
        </w:tc>
        <w:tc>
          <w:tcPr>
            <w:tcW w:w="1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2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24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54.83</w:t>
            </w:r>
          </w:p>
        </w:tc>
        <w:tc>
          <w:tcPr>
            <w:tcW w:w="86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39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65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3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3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3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2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24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2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27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r>
      <w:tr>
        <w:tblPrEx>
          <w:shd w:val="clear" w:color="auto" w:fill="auto"/>
          <w:tblCellMar>
            <w:top w:w="0" w:type="dxa"/>
            <w:left w:w="0" w:type="dxa"/>
            <w:bottom w:w="0" w:type="dxa"/>
            <w:right w:w="0" w:type="dxa"/>
          </w:tblCellMar>
        </w:tblPrEx>
        <w:trPr>
          <w:trHeight w:val="4450" w:hRule="atLeast"/>
        </w:trPr>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Arial" w:hAnsi="Arial" w:eastAsia="宋体" w:cs="Arial"/>
                <w:i w:val="0"/>
                <w:color w:val="000000"/>
                <w:sz w:val="20"/>
                <w:szCs w:val="20"/>
                <w:u w:val="none"/>
                <w:lang w:val="en-US" w:eastAsia="zh-CN"/>
              </w:rPr>
            </w:pPr>
            <w:r>
              <w:rPr>
                <w:rFonts w:hint="eastAsia" w:ascii="Arial" w:hAnsi="Arial" w:cs="Arial"/>
                <w:i w:val="0"/>
                <w:color w:val="000000"/>
                <w:sz w:val="20"/>
                <w:szCs w:val="20"/>
                <w:u w:val="none"/>
                <w:lang w:val="en-US" w:eastAsia="zh-CN"/>
              </w:rPr>
              <w:t>1</w:t>
            </w:r>
          </w:p>
        </w:tc>
        <w:tc>
          <w:tcPr>
            <w:tcW w:w="1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102003</w:t>
            </w:r>
          </w:p>
        </w:tc>
        <w:tc>
          <w:tcPr>
            <w:tcW w:w="2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柳州市柳江区信息中心</w:t>
            </w:r>
          </w:p>
        </w:tc>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电子政务外网网络及平台服务经费</w:t>
            </w:r>
          </w:p>
        </w:tc>
        <w:tc>
          <w:tcPr>
            <w:tcW w:w="24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37.66</w:t>
            </w:r>
          </w:p>
        </w:tc>
        <w:tc>
          <w:tcPr>
            <w:tcW w:w="86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该项经费，已保障我区电子政务外网建设和管理工作顺利开展，主要从以下几个方面开展工作：一、落实电子政务外网合规性建设；二、落实电子政务外网安全管理；三是保障网络稳定，设备、线路故障能得到及时处理。</w:t>
            </w:r>
          </w:p>
        </w:tc>
        <w:tc>
          <w:tcPr>
            <w:tcW w:w="391" w:type="pc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数量指标：柳江区直单位、乡镇电子政务外网覆盖率(＝100%)</w:t>
            </w:r>
          </w:p>
        </w:tc>
        <w:tc>
          <w:tcPr>
            <w:tcW w:w="654"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质量指标：互联网出口冗余互备(出口主线不低于5000Mbps，备线不低于2000Mbps，党政机关单位接入带宽不低于300Mbps，二层机构接入带宽不低于100Mbps。)</w:t>
            </w:r>
          </w:p>
        </w:tc>
        <w:tc>
          <w:tcPr>
            <w:tcW w:w="348"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时效指标：各项工作按计划完成率(＝100%)</w:t>
            </w:r>
          </w:p>
        </w:tc>
        <w:tc>
          <w:tcPr>
            <w:tcW w:w="348"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成本指标：预算支付率(≤100%)</w:t>
            </w:r>
          </w:p>
        </w:tc>
        <w:tc>
          <w:tcPr>
            <w:tcW w:w="375"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经济效益指标：避免重复建设专网，信息化项目投入(减少)</w:t>
            </w:r>
          </w:p>
        </w:tc>
        <w:tc>
          <w:tcPr>
            <w:tcW w:w="230"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241"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214"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272"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满意度指标：工作指导、故障响应满意度(≥90%)</w:t>
            </w:r>
          </w:p>
        </w:tc>
      </w:tr>
      <w:tr>
        <w:tblPrEx>
          <w:shd w:val="clear" w:color="auto" w:fill="auto"/>
          <w:tblCellMar>
            <w:top w:w="0" w:type="dxa"/>
            <w:left w:w="0" w:type="dxa"/>
            <w:bottom w:w="0" w:type="dxa"/>
            <w:right w:w="0" w:type="dxa"/>
          </w:tblCellMar>
        </w:tblPrEx>
        <w:trPr>
          <w:trHeight w:val="6750" w:hRule="atLeast"/>
        </w:trPr>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Arial" w:hAnsi="Arial" w:eastAsia="宋体" w:cs="Arial"/>
                <w:i w:val="0"/>
                <w:color w:val="000000"/>
                <w:sz w:val="20"/>
                <w:szCs w:val="20"/>
                <w:u w:val="none"/>
                <w:lang w:val="en-US" w:eastAsia="zh-CN"/>
              </w:rPr>
            </w:pPr>
            <w:r>
              <w:rPr>
                <w:rFonts w:hint="eastAsia" w:ascii="Arial" w:hAnsi="Arial" w:cs="Arial"/>
                <w:i w:val="0"/>
                <w:color w:val="000000"/>
                <w:sz w:val="20"/>
                <w:szCs w:val="20"/>
                <w:u w:val="none"/>
                <w:lang w:val="en-US" w:eastAsia="zh-CN"/>
              </w:rPr>
              <w:t>2</w:t>
            </w:r>
          </w:p>
        </w:tc>
        <w:tc>
          <w:tcPr>
            <w:tcW w:w="1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102003</w:t>
            </w:r>
          </w:p>
        </w:tc>
        <w:tc>
          <w:tcPr>
            <w:tcW w:w="2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柳州市柳江区信息中心</w:t>
            </w:r>
          </w:p>
        </w:tc>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网站管理维护经费</w:t>
            </w:r>
          </w:p>
        </w:tc>
        <w:tc>
          <w:tcPr>
            <w:tcW w:w="24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7.00</w:t>
            </w:r>
          </w:p>
        </w:tc>
        <w:tc>
          <w:tcPr>
            <w:tcW w:w="86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通过使用该项目经费，以保障我区政府门户网站建设和管理工作顺利开展，主要从以下几方面开展工作：一是按照国家、自治区和柳州市年度政府网站绩效评估的有关要求，加强区政府门户网站建设和管理，进一步完善网站内容及功能；二是进一步加强区政府门户网站健康运行监管工作；三是拓展宣传渠道，提高区政府门户网站关注度；四是进一步加强区政府门户网站业务指导。</w:t>
            </w:r>
          </w:p>
        </w:tc>
        <w:tc>
          <w:tcPr>
            <w:tcW w:w="391"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数量指标：政府网站检查(＝1次/月)</w:t>
            </w:r>
            <w:r>
              <w:rPr>
                <w:rFonts w:hint="default" w:ascii="Calibri" w:hAnsi="Calibri" w:eastAsia="宋体" w:cs="Calibri"/>
                <w:i w:val="0"/>
                <w:color w:val="000000"/>
                <w:kern w:val="0"/>
                <w:sz w:val="22"/>
                <w:szCs w:val="22"/>
                <w:u w:val="none"/>
                <w:lang w:val="en-US" w:eastAsia="zh-CN" w:bidi="ar"/>
              </w:rPr>
              <w:br w:type="textWrapping"/>
            </w:r>
            <w:r>
              <w:rPr>
                <w:rFonts w:hint="default" w:ascii="Calibri" w:hAnsi="Calibri" w:eastAsia="宋体" w:cs="Calibri"/>
                <w:i w:val="0"/>
                <w:color w:val="000000"/>
                <w:kern w:val="0"/>
                <w:sz w:val="22"/>
                <w:szCs w:val="22"/>
                <w:u w:val="none"/>
                <w:lang w:val="en-US" w:eastAsia="zh-CN" w:bidi="ar"/>
              </w:rPr>
              <w:t>数量指标：每季度检查通报(＝1次)</w:t>
            </w: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质量指标：政府网站运行(良好)</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时效指标：各项工作按计划完成率(＝100%)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成本指标：预算支付率(≤100%)</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社会效益指标：网站管理运维水平(提升)</w:t>
            </w:r>
          </w:p>
        </w:tc>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满意度指标：业务满意度(≥90%)</w:t>
            </w:r>
          </w:p>
        </w:tc>
      </w:tr>
      <w:tr>
        <w:tblPrEx>
          <w:shd w:val="clear" w:color="auto" w:fill="auto"/>
          <w:tblCellMar>
            <w:top w:w="0" w:type="dxa"/>
            <w:left w:w="0" w:type="dxa"/>
            <w:bottom w:w="0" w:type="dxa"/>
            <w:right w:w="0" w:type="dxa"/>
          </w:tblCellMar>
        </w:tblPrEx>
        <w:trPr>
          <w:trHeight w:val="4590" w:hRule="atLeast"/>
        </w:trPr>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Arial" w:hAnsi="Arial" w:eastAsia="宋体" w:cs="Arial"/>
                <w:i w:val="0"/>
                <w:color w:val="000000"/>
                <w:sz w:val="20"/>
                <w:szCs w:val="20"/>
                <w:u w:val="none"/>
                <w:lang w:val="en-US" w:eastAsia="zh-CN"/>
              </w:rPr>
            </w:pPr>
            <w:r>
              <w:rPr>
                <w:rFonts w:hint="eastAsia" w:ascii="Arial" w:hAnsi="Arial" w:cs="Arial"/>
                <w:i w:val="0"/>
                <w:color w:val="000000"/>
                <w:sz w:val="20"/>
                <w:szCs w:val="20"/>
                <w:u w:val="none"/>
                <w:lang w:val="en-US" w:eastAsia="zh-CN"/>
              </w:rPr>
              <w:t>3</w:t>
            </w:r>
          </w:p>
        </w:tc>
        <w:tc>
          <w:tcPr>
            <w:tcW w:w="1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102003</w:t>
            </w:r>
          </w:p>
        </w:tc>
        <w:tc>
          <w:tcPr>
            <w:tcW w:w="2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柳州市柳江区信息中心</w:t>
            </w:r>
          </w:p>
        </w:tc>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政务新媒体管理经费</w:t>
            </w:r>
          </w:p>
        </w:tc>
        <w:tc>
          <w:tcPr>
            <w:tcW w:w="24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4.50</w:t>
            </w:r>
          </w:p>
        </w:tc>
        <w:tc>
          <w:tcPr>
            <w:tcW w:w="86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通过使用该项经费，以保障我区政务新媒体业务工作顺利开展，主要从以下几方面开展工作：一是进一步加强我区政务新媒体健康运行监管工作；二是拓展宣传渠道，提高区政府门户网站微信公众号的信息发布量；三是进一步加强我区政务新媒体业务指导。</w:t>
            </w:r>
          </w:p>
        </w:tc>
        <w:tc>
          <w:tcPr>
            <w:tcW w:w="391"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数量指标：政务新媒体检查(＝1次/月)</w:t>
            </w:r>
            <w:r>
              <w:rPr>
                <w:rFonts w:hint="default" w:ascii="Calibri" w:hAnsi="Calibri" w:eastAsia="宋体" w:cs="Calibri"/>
                <w:i w:val="0"/>
                <w:color w:val="000000"/>
                <w:kern w:val="0"/>
                <w:sz w:val="22"/>
                <w:szCs w:val="22"/>
                <w:u w:val="none"/>
                <w:lang w:val="en-US" w:eastAsia="zh-CN" w:bidi="ar"/>
              </w:rPr>
              <w:br w:type="textWrapping"/>
            </w:r>
            <w:r>
              <w:rPr>
                <w:rFonts w:hint="default" w:ascii="Calibri" w:hAnsi="Calibri" w:eastAsia="宋体" w:cs="Calibri"/>
                <w:i w:val="0"/>
                <w:color w:val="000000"/>
                <w:kern w:val="0"/>
                <w:sz w:val="22"/>
                <w:szCs w:val="22"/>
                <w:u w:val="none"/>
                <w:lang w:val="en-US" w:eastAsia="zh-CN" w:bidi="ar"/>
              </w:rPr>
              <w:t>数量指标：每季度检查通报(＝1次)</w:t>
            </w: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质量指标：政务新媒体运行(良好)</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时效指标：各项工作按计划完成率(＝100%)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成本指标：预算支付率(≤100%)</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社会效益指标：政务新媒体监管水平(提升)</w:t>
            </w:r>
          </w:p>
        </w:tc>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满意度指标：服务对象满意度(≥90%)</w:t>
            </w:r>
          </w:p>
        </w:tc>
      </w:tr>
      <w:tr>
        <w:tblPrEx>
          <w:shd w:val="clear" w:color="auto" w:fill="auto"/>
          <w:tblCellMar>
            <w:top w:w="0" w:type="dxa"/>
            <w:left w:w="0" w:type="dxa"/>
            <w:bottom w:w="0" w:type="dxa"/>
            <w:right w:w="0" w:type="dxa"/>
          </w:tblCellMar>
        </w:tblPrEx>
        <w:trPr>
          <w:trHeight w:val="1875" w:hRule="atLeast"/>
        </w:trPr>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Arial" w:hAnsi="Arial" w:eastAsia="宋体" w:cs="Arial"/>
                <w:i w:val="0"/>
                <w:color w:val="000000"/>
                <w:sz w:val="20"/>
                <w:szCs w:val="20"/>
                <w:u w:val="none"/>
                <w:lang w:val="en-US" w:eastAsia="zh-CN"/>
              </w:rPr>
            </w:pPr>
            <w:r>
              <w:rPr>
                <w:rFonts w:hint="eastAsia" w:ascii="Arial" w:hAnsi="Arial" w:cs="Arial"/>
                <w:i w:val="0"/>
                <w:color w:val="000000"/>
                <w:sz w:val="20"/>
                <w:szCs w:val="20"/>
                <w:u w:val="none"/>
                <w:lang w:val="en-US" w:eastAsia="zh-CN"/>
              </w:rPr>
              <w:t>4</w:t>
            </w:r>
          </w:p>
        </w:tc>
        <w:tc>
          <w:tcPr>
            <w:tcW w:w="1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102003</w:t>
            </w:r>
          </w:p>
        </w:tc>
        <w:tc>
          <w:tcPr>
            <w:tcW w:w="2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柳州市柳江区信息中心</w:t>
            </w:r>
          </w:p>
        </w:tc>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综合业务经费</w:t>
            </w:r>
          </w:p>
        </w:tc>
        <w:tc>
          <w:tcPr>
            <w:tcW w:w="24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5.67</w:t>
            </w:r>
          </w:p>
        </w:tc>
        <w:tc>
          <w:tcPr>
            <w:tcW w:w="86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投入该项经费以保障我区政务公开和网络信息安全等综合业务盖章顺利开展，主要从以下几方面开展工作：一是深入贯彻执行《中华人民共和国政府信息公开条例》，推进、指导、协调、监督我区的政府信息公开工作。二是深入推进“五公开”，提升公开平台建设，提高政务信息的公开实效，提高公开质量。三是加强文件类信息公开，深化政策解读工作，将政策解读形象化、通俗化。四是完成上级工作部署、巡视检查、绩效检查。五是保障门我单位管理的网站、系统和机房安全。按要求开展安全监测、安全自查、安全培训和应急演练。</w:t>
            </w:r>
          </w:p>
        </w:tc>
        <w:tc>
          <w:tcPr>
            <w:tcW w:w="391"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数量指标：政府信息公开发布量(≥5000条)</w:t>
            </w:r>
            <w:r>
              <w:rPr>
                <w:rFonts w:hint="default" w:ascii="Calibri" w:hAnsi="Calibri" w:eastAsia="宋体" w:cs="Calibri"/>
                <w:i w:val="0"/>
                <w:color w:val="000000"/>
                <w:kern w:val="0"/>
                <w:sz w:val="22"/>
                <w:szCs w:val="22"/>
                <w:u w:val="none"/>
                <w:lang w:val="en-US" w:eastAsia="zh-CN" w:bidi="ar"/>
              </w:rPr>
              <w:br w:type="textWrapping"/>
            </w:r>
            <w:r>
              <w:rPr>
                <w:rFonts w:hint="default" w:ascii="Calibri" w:hAnsi="Calibri" w:eastAsia="宋体" w:cs="Calibri"/>
                <w:i w:val="0"/>
                <w:color w:val="000000"/>
                <w:kern w:val="0"/>
                <w:sz w:val="22"/>
                <w:szCs w:val="22"/>
                <w:u w:val="none"/>
                <w:lang w:val="en-US" w:eastAsia="zh-CN" w:bidi="ar"/>
              </w:rPr>
              <w:t>数量指标：深化政策解读(≥6次)</w:t>
            </w: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质量指标：重大安全事故发生次数(＝0次)</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时效指标：各项工作按计划完成(＝100%)</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成本指标：预算支付率(≥90%)</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社会效益指标：网络安全事故造成不良社会影响(减少（避免）)</w:t>
            </w:r>
          </w:p>
        </w:tc>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满意度指标：参训人员满意度(≥95%)</w:t>
            </w:r>
          </w:p>
        </w:tc>
      </w:tr>
    </w:tbl>
    <w:p>
      <w:pPr>
        <w:rPr>
          <w:rFonts w:hint="eastAsia" w:ascii="黑体" w:eastAsia="黑体"/>
          <w:szCs w:val="32"/>
        </w:rPr>
        <w:sectPr>
          <w:pgSz w:w="16838" w:h="11906" w:orient="landscape"/>
          <w:pgMar w:top="1803" w:right="1440" w:bottom="1803" w:left="1440" w:header="851" w:footer="992" w:gutter="0"/>
          <w:cols w:space="0" w:num="1"/>
          <w:rtlGutter w:val="0"/>
          <w:docGrid w:type="lines" w:linePitch="436" w:charSpace="0"/>
        </w:sectPr>
      </w:pPr>
      <w:r>
        <w:rPr>
          <w:rFonts w:hint="eastAsia" w:ascii="黑体" w:eastAsia="黑体"/>
          <w:szCs w:val="32"/>
        </w:rPr>
        <w:br w:type="page"/>
      </w:r>
    </w:p>
    <w:p>
      <w:pPr>
        <w:tabs>
          <w:tab w:val="center" w:pos="4475"/>
        </w:tabs>
        <w:spacing w:line="560" w:lineRule="exact"/>
        <w:ind w:firstLine="640" w:firstLineChars="200"/>
        <w:rPr>
          <w:rFonts w:hint="eastAsia" w:ascii="黑体" w:eastAsia="黑体"/>
          <w:szCs w:val="32"/>
        </w:rPr>
      </w:pPr>
      <w:r>
        <w:rPr>
          <w:rFonts w:hint="eastAsia" w:ascii="黑体" w:eastAsia="黑体"/>
          <w:szCs w:val="32"/>
        </w:rPr>
        <w:t>第三部分：名词解释</w:t>
      </w:r>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pPr>
        <w:ind w:firstLine="862" w:firstLineChars="196"/>
        <w:rPr>
          <w:rFonts w:ascii="仿宋_GB2312" w:hAnsi="宋体" w:eastAsia="仿宋_GB2312"/>
          <w:bCs/>
          <w:sz w:val="44"/>
          <w:szCs w:val="44"/>
          <w:highlight w:val="none"/>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rPr>
        <w:t>柳州市柳江区信息中心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rPr>
          <w:rFonts w:ascii="仿宋_GB2312" w:hAnsi="宋体" w:eastAsia="仿宋_GB2312"/>
          <w:bCs/>
          <w:sz w:val="44"/>
          <w:szCs w:val="44"/>
          <w:highlight w:val="none"/>
        </w:rPr>
      </w:pPr>
    </w:p>
    <w:p/>
    <w:sectPr>
      <w:pgSz w:w="11906" w:h="16838"/>
      <w:pgMar w:top="1440" w:right="1803" w:bottom="1440" w:left="1803" w:header="851"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27CC6"/>
    <w:multiLevelType w:val="singleLevel"/>
    <w:tmpl w:val="A3F27CC6"/>
    <w:lvl w:ilvl="0" w:tentative="0">
      <w:start w:val="1"/>
      <w:numFmt w:val="decimal"/>
      <w:suff w:val="nothing"/>
      <w:lvlText w:val="%1、"/>
      <w:lvlJc w:val="left"/>
    </w:lvl>
  </w:abstractNum>
  <w:abstractNum w:abstractNumId="1">
    <w:nsid w:val="B96886AE"/>
    <w:multiLevelType w:val="singleLevel"/>
    <w:tmpl w:val="B96886AE"/>
    <w:lvl w:ilvl="0" w:tentative="0">
      <w:start w:val="1"/>
      <w:numFmt w:val="chineseCounting"/>
      <w:suff w:val="nothing"/>
      <w:lvlText w:val="（%1）"/>
      <w:lvlJc w:val="left"/>
      <w:rPr>
        <w:rFonts w:hint="eastAsia"/>
      </w:rPr>
    </w:lvl>
  </w:abstractNum>
  <w:abstractNum w:abstractNumId="2">
    <w:nsid w:val="F25486C1"/>
    <w:multiLevelType w:val="singleLevel"/>
    <w:tmpl w:val="F25486C1"/>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6136C"/>
    <w:rsid w:val="139D7862"/>
    <w:rsid w:val="15DD7808"/>
    <w:rsid w:val="21690C6D"/>
    <w:rsid w:val="286409A7"/>
    <w:rsid w:val="2C9F548E"/>
    <w:rsid w:val="2F0E7201"/>
    <w:rsid w:val="34FF38FF"/>
    <w:rsid w:val="36190BE4"/>
    <w:rsid w:val="392A132F"/>
    <w:rsid w:val="3F7345D4"/>
    <w:rsid w:val="4C0424A7"/>
    <w:rsid w:val="4E3B534E"/>
    <w:rsid w:val="56B22191"/>
    <w:rsid w:val="592E7400"/>
    <w:rsid w:val="5A805789"/>
    <w:rsid w:val="5E74056B"/>
    <w:rsid w:val="61790893"/>
    <w:rsid w:val="634005D7"/>
    <w:rsid w:val="64C80C1D"/>
    <w:rsid w:val="6A3E1DEA"/>
    <w:rsid w:val="6B22492A"/>
    <w:rsid w:val="6C6647A2"/>
    <w:rsid w:val="6DAE2E3A"/>
    <w:rsid w:val="7171130A"/>
    <w:rsid w:val="71CB7D60"/>
    <w:rsid w:val="78183A53"/>
    <w:rsid w:val="790A72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1185</Words>
  <Characters>1263</Characters>
  <Lines>0</Lines>
  <Paragraphs>0</Paragraphs>
  <TotalTime>67</TotalTime>
  <ScaleCrop>false</ScaleCrop>
  <LinksUpToDate>false</LinksUpToDate>
  <CharactersWithSpaces>1305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dcterms:modified xsi:type="dcterms:W3CDTF">2025-02-10T03:24:31Z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eyJoZGlkIjoiNTA0ZjFmOTk0MzIwNzg4OWU4OGEzNGViM2Y5MGEzYzkifQ==</vt:lpwstr>
  </property>
  <property fmtid="{D5CDD505-2E9C-101B-9397-08002B2CF9AE}" pid="4" name="ICV">
    <vt:lpwstr>E723BE59CE2C4E01A4D68AF4D8692EE9_13</vt:lpwstr>
  </property>
</Properties>
</file>