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柳州市柳江区财政预算绩效中心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柳州市柳江区财政预算绩效中心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eastAsia="zh-CN"/>
        </w:rPr>
        <w:t>柳州市柳江区财政预算绩效中心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34134C2">
      <w:pPr>
        <w:rPr>
          <w:rFonts w:hint="eastAsia" w:ascii="黑体" w:hAnsi="宋体" w:eastAsia="黑体"/>
          <w:bCs/>
          <w:szCs w:val="32"/>
        </w:rPr>
      </w:pPr>
      <w:r>
        <w:rPr>
          <w:rFonts w:hint="eastAsia" w:ascii="黑体" w:hAnsi="宋体" w:eastAsia="黑体"/>
          <w:bCs/>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8034EF8">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14:paraId="6AF85DFC">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 负责贯彻执行上级预算绩效管理政策，参与制定区本级预算绩效管理制度和实施办法。</w:t>
      </w:r>
    </w:p>
    <w:p w14:paraId="67691EA9">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（二）研究建立预算绩效管理机制和预算绩效评价体系。</w:t>
      </w:r>
    </w:p>
    <w:p w14:paraId="3B4B0432">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 负责承担财政政策、财政制度、财政支出结构和财政资金等预算绩效评价的事务性工作；</w:t>
      </w:r>
    </w:p>
    <w:p w14:paraId="0E8892B4">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（四）负责区本级部门整体支出管理综合绩效评价的事务性工作；</w:t>
      </w:r>
    </w:p>
    <w:p w14:paraId="0EBBB7F7">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（五）负责联系上级财政预算绩效管理部门，指导和督促各镇、各单位开展预算绩效管理工作。</w:t>
      </w:r>
    </w:p>
    <w:p w14:paraId="2160117C">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（六）完成区委、区人民政府、区财政局交办的其他工作。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1个，为柳州市柳江区财政预算绩效中心，属于一类事业单位。</w:t>
      </w:r>
    </w:p>
    <w:p w14:paraId="56299112">
      <w:pPr>
        <w:rPr>
          <w:rFonts w:hint="eastAsia"/>
        </w:rPr>
      </w:pPr>
      <w:r>
        <w:rPr>
          <w:rFonts w:hint="eastAsia"/>
        </w:rPr>
        <w:br w:type="page"/>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柳州市柳江区财政预算绩效中心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141E3BB6">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68.57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总支出</w:t>
      </w:r>
      <w:r>
        <w:rPr>
          <w:rFonts w:hint="eastAsia" w:ascii="仿宋_GB2312"/>
          <w:sz w:val="32"/>
          <w:szCs w:val="32"/>
          <w:highlight w:val="none"/>
          <w:lang w:val="en-US" w:eastAsia="zh-CN"/>
        </w:rPr>
        <w:t>68.57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总收入较上年增加</w:t>
      </w:r>
      <w:r>
        <w:rPr>
          <w:rFonts w:hint="eastAsia" w:ascii="仿宋_GB2312"/>
          <w:sz w:val="32"/>
          <w:szCs w:val="32"/>
          <w:highlight w:val="none"/>
          <w:lang w:val="en-US" w:eastAsia="zh-CN"/>
        </w:rPr>
        <w:t>18.67%，主要原因是相比上年，本年度新增公开招聘1人，收支相应增加。总支出</w:t>
      </w:r>
      <w:r>
        <w:rPr>
          <w:rFonts w:hint="eastAsia" w:ascii="仿宋_GB2312"/>
          <w:sz w:val="32"/>
          <w:szCs w:val="32"/>
          <w:highlight w:val="none"/>
          <w:lang w:eastAsia="zh-CN"/>
        </w:rPr>
        <w:t>较上年增加</w:t>
      </w:r>
      <w:r>
        <w:rPr>
          <w:rFonts w:hint="eastAsia" w:ascii="仿宋_GB2312"/>
          <w:sz w:val="32"/>
          <w:szCs w:val="32"/>
          <w:highlight w:val="none"/>
          <w:lang w:val="en-US" w:eastAsia="zh-CN"/>
        </w:rPr>
        <w:t>18.67%，主要原因是相比上年，本年度新增公开招聘1人，收支相应增加。</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072FB17">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68.57</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18.67%，主要原因是相比上年，本年度新增公开招聘1人，一般公共预算收入相应增加。</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03CAF221">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68.57</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18.67%</w:t>
      </w:r>
      <w:r>
        <w:rPr>
          <w:rFonts w:hint="eastAsia" w:ascii="仿宋_GB2312"/>
          <w:sz w:val="32"/>
          <w:szCs w:val="32"/>
          <w:lang w:val="en-US" w:eastAsia="zh-CN"/>
        </w:rPr>
        <w:t>，主要原</w:t>
      </w:r>
      <w:r>
        <w:rPr>
          <w:rFonts w:hint="eastAsia" w:ascii="仿宋_GB2312"/>
          <w:sz w:val="32"/>
          <w:szCs w:val="32"/>
          <w:highlight w:val="none"/>
          <w:lang w:val="en-US" w:eastAsia="zh-CN"/>
        </w:rPr>
        <w:t>因是行相比上年，本年度新增公开招聘1人，基本支出增加。主要包括：1.基本支出</w:t>
      </w:r>
      <w:r>
        <w:rPr>
          <w:rFonts w:hint="eastAsia" w:ascii="仿宋_GB2312"/>
          <w:sz w:val="32"/>
          <w:szCs w:val="32"/>
          <w:lang w:val="en-US" w:eastAsia="zh-CN"/>
        </w:rPr>
        <w:t>68.57万元，占总支出的100.00%；2.项目支出0.00万元，占总支出的0.00%。</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108BAB91">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0.00%，主要原因是我单位2025年单位预算无政府性基金预算</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3A18BC41">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六</w:t>
      </w:r>
      <w:r>
        <w:rPr>
          <w:rFonts w:hint="eastAsia" w:ascii="黑体" w:eastAsia="黑体"/>
          <w:szCs w:val="32"/>
          <w:highlight w:val="none"/>
        </w:rPr>
        <w:t>、一般公共预算“三公”经费支出情况说明</w:t>
      </w:r>
    </w:p>
    <w:p w14:paraId="410679D8">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eastAsia="zh-CN"/>
        </w:rPr>
        <w:t>下降</w:t>
      </w:r>
      <w:r>
        <w:rPr>
          <w:rFonts w:hint="eastAsia" w:ascii="仿宋_GB2312"/>
          <w:bCs/>
          <w:lang w:val="en-US" w:eastAsia="zh-CN"/>
        </w:rPr>
        <w:t>0.01</w:t>
      </w:r>
      <w:r>
        <w:rPr>
          <w:rFonts w:hint="eastAsia" w:ascii="仿宋_GB2312"/>
          <w:bCs/>
        </w:rPr>
        <w:t>万元，下降</w:t>
      </w:r>
      <w:r>
        <w:rPr>
          <w:rFonts w:hint="eastAsia" w:ascii="仿宋_GB2312"/>
          <w:bCs/>
          <w:lang w:val="en-US" w:eastAsia="zh-CN"/>
        </w:rPr>
        <w:t>6.67</w:t>
      </w:r>
      <w:r>
        <w:rPr>
          <w:rFonts w:hint="eastAsia" w:ascii="仿宋_GB2312"/>
          <w:bCs/>
        </w:rPr>
        <w:t>%，具体如下：</w:t>
      </w:r>
    </w:p>
    <w:p w14:paraId="50D84A84">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3E83589">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年预算安排</w:t>
      </w:r>
      <w:r>
        <w:rPr>
          <w:rFonts w:hint="eastAsia" w:ascii="仿宋_GB2312" w:hAnsi="宋体"/>
          <w:szCs w:val="32"/>
          <w:highlight w:val="none"/>
          <w:lang w:val="en-US" w:eastAsia="zh-CN"/>
        </w:rPr>
        <w:t>0.14</w:t>
      </w:r>
      <w:r>
        <w:rPr>
          <w:rFonts w:hint="eastAsia" w:ascii="仿宋_GB2312" w:hAnsi="宋体"/>
          <w:szCs w:val="32"/>
          <w:highlight w:val="none"/>
        </w:rPr>
        <w:t>万元，比上年</w:t>
      </w:r>
      <w:r>
        <w:rPr>
          <w:rFonts w:hint="eastAsia" w:ascii="仿宋_GB2312" w:hAnsi="宋体"/>
          <w:szCs w:val="32"/>
          <w:highlight w:val="none"/>
          <w:lang w:eastAsia="zh-CN"/>
        </w:rPr>
        <w:t>减少</w:t>
      </w:r>
      <w:r>
        <w:rPr>
          <w:rFonts w:hint="eastAsia" w:ascii="仿宋_GB2312"/>
          <w:bCs/>
          <w:highlight w:val="none"/>
          <w:lang w:val="en-US" w:eastAsia="zh-CN"/>
        </w:rPr>
        <w:t>0.01</w:t>
      </w:r>
      <w:r>
        <w:rPr>
          <w:rFonts w:hint="eastAsia" w:ascii="仿宋_GB2312"/>
          <w:bCs/>
          <w:highlight w:val="none"/>
        </w:rPr>
        <w:t>万元，下降</w:t>
      </w:r>
      <w:r>
        <w:rPr>
          <w:rFonts w:hint="eastAsia" w:ascii="仿宋_GB2312"/>
          <w:bCs/>
          <w:highlight w:val="none"/>
          <w:lang w:val="en-US" w:eastAsia="zh-CN"/>
        </w:rPr>
        <w:t>6.67</w:t>
      </w:r>
      <w:r>
        <w:rPr>
          <w:rFonts w:hint="eastAsia" w:ascii="仿宋_GB2312"/>
          <w:bCs/>
          <w:highlight w:val="none"/>
        </w:rPr>
        <w:t>%，</w:t>
      </w:r>
      <w:r>
        <w:rPr>
          <w:rFonts w:hint="eastAsia" w:ascii="仿宋_GB2312" w:hAnsi="Arial" w:cs="Arial"/>
          <w:kern w:val="0"/>
          <w:highlight w:val="none"/>
          <w:lang w:eastAsia="zh-CN"/>
        </w:rPr>
        <w:t>下降</w:t>
      </w:r>
      <w:r>
        <w:rPr>
          <w:rFonts w:hint="eastAsia" w:ascii="仿宋_GB2312" w:hAnsi="Arial" w:cs="Arial"/>
          <w:kern w:val="0"/>
          <w:highlight w:val="none"/>
        </w:rPr>
        <w:t>的主要原因是</w:t>
      </w:r>
      <w:r>
        <w:rPr>
          <w:rFonts w:hint="eastAsia" w:ascii="仿宋_GB2312" w:hAnsi="Arial" w:cs="Arial"/>
          <w:kern w:val="0"/>
          <w:highlight w:val="none"/>
          <w:lang w:eastAsia="zh-CN"/>
        </w:rPr>
        <w:t>相较上年，</w:t>
      </w:r>
      <w:r>
        <w:rPr>
          <w:rFonts w:hint="eastAsia" w:ascii="仿宋_GB2312"/>
        </w:rPr>
        <w:t>公务接待费</w:t>
      </w:r>
      <w:r>
        <w:rPr>
          <w:rFonts w:hint="eastAsia" w:ascii="仿宋_GB2312"/>
          <w:lang w:eastAsia="zh-CN"/>
        </w:rPr>
        <w:t>预算标准下调</w:t>
      </w:r>
      <w:r>
        <w:rPr>
          <w:rFonts w:hint="eastAsia" w:ascii="仿宋_GB2312"/>
          <w:sz w:val="32"/>
          <w:szCs w:val="32"/>
          <w:highlight w:val="none"/>
          <w:lang w:val="en-US" w:eastAsia="zh-CN"/>
        </w:rPr>
        <w:t>。</w:t>
      </w:r>
    </w:p>
    <w:p w14:paraId="58A2849D">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14:paraId="46E76415">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8C9EB07">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七、事业</w:t>
      </w:r>
      <w:r>
        <w:rPr>
          <w:rFonts w:hint="eastAsia" w:ascii="黑体" w:eastAsia="黑体"/>
          <w:szCs w:val="32"/>
          <w:lang w:val="en-US" w:eastAsia="zh-CN"/>
        </w:rPr>
        <w:t>单位</w:t>
      </w:r>
      <w:r>
        <w:rPr>
          <w:rFonts w:hint="eastAsia" w:ascii="黑体" w:hAnsi="黑体" w:eastAsia="黑体" w:cs="黑体"/>
          <w:szCs w:val="32"/>
        </w:rPr>
        <w:t>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w:t>
      </w:r>
      <w:r>
        <w:rPr>
          <w:rFonts w:hint="eastAsia" w:ascii="仿宋_GB2312" w:hAnsi="宋体" w:cs="Times New Roman"/>
          <w:szCs w:val="32"/>
          <w:highlight w:val="none"/>
          <w:lang w:val="en-US" w:eastAsia="zh-CN"/>
        </w:rPr>
        <w:t>单位</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单位运行经费预算8.75万元，较上年增加1.16</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15.28</w:t>
      </w:r>
      <w:bookmarkStart w:id="0" w:name="_GoBack"/>
      <w:bookmarkEnd w:id="0"/>
      <w:r>
        <w:rPr>
          <w:rFonts w:hint="eastAsia" w:ascii="仿宋_GB2312"/>
          <w:sz w:val="32"/>
          <w:szCs w:val="32"/>
          <w:lang w:val="en-US" w:eastAsia="zh-CN"/>
        </w:rPr>
        <w:t>%，增长的主要原因是</w:t>
      </w:r>
      <w:r>
        <w:rPr>
          <w:rFonts w:hint="eastAsia" w:ascii="仿宋_GB2312" w:hAnsi="Arial" w:cs="Arial"/>
          <w:kern w:val="0"/>
          <w:highlight w:val="none"/>
        </w:rPr>
        <w:t>是</w:t>
      </w:r>
      <w:r>
        <w:rPr>
          <w:rFonts w:hint="eastAsia" w:ascii="仿宋_GB2312" w:hAnsi="Arial" w:cs="Arial"/>
          <w:kern w:val="0"/>
          <w:highlight w:val="none"/>
          <w:lang w:eastAsia="zh-CN"/>
        </w:rPr>
        <w:t>相较上年，</w:t>
      </w:r>
      <w:r>
        <w:rPr>
          <w:rFonts w:hint="eastAsia" w:ascii="仿宋_GB2312"/>
          <w:sz w:val="32"/>
          <w:szCs w:val="32"/>
          <w:highlight w:val="none"/>
          <w:lang w:val="en-US" w:eastAsia="zh-CN"/>
        </w:rPr>
        <w:t>本年度新增公开招聘1人，</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单位运行经费预算相应增加</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58FA7AFC">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5.09</w:t>
      </w:r>
      <w:r>
        <w:rPr>
          <w:rFonts w:hint="eastAsia" w:ascii="仿宋_GB2312" w:hAnsi="宋体"/>
          <w:szCs w:val="32"/>
        </w:rPr>
        <w:t>万元。其中：货物类采购</w:t>
      </w:r>
      <w:r>
        <w:rPr>
          <w:rFonts w:hint="eastAsia" w:ascii="仿宋_GB2312" w:hAnsi="宋体"/>
          <w:szCs w:val="32"/>
          <w:lang w:val="en-US" w:eastAsia="zh-CN"/>
        </w:rPr>
        <w:t>5.09</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97521C3">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eastAsia="zh-CN"/>
        </w:rPr>
        <w:t>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4197C424">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lang w:val="en-US"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年预算绩效目标统一由局本级管理，由局本级统一公开说明</w:t>
      </w:r>
      <w:r>
        <w:rPr>
          <w:rFonts w:hint="eastAsia" w:ascii="仿宋_GB2312"/>
          <w:sz w:val="32"/>
          <w:szCs w:val="32"/>
          <w:highlight w:val="none"/>
          <w:lang w:val="en-US" w:eastAsia="zh-CN"/>
        </w:rPr>
        <w:t>。</w:t>
      </w:r>
    </w:p>
    <w:p w14:paraId="27837B4C">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柳州市柳江区财政预算绩效中心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64DA7"/>
    <w:rsid w:val="15DD7808"/>
    <w:rsid w:val="193261D5"/>
    <w:rsid w:val="1EB268D8"/>
    <w:rsid w:val="21690C6D"/>
    <w:rsid w:val="22277DC8"/>
    <w:rsid w:val="22800727"/>
    <w:rsid w:val="2F0E7201"/>
    <w:rsid w:val="36190BE4"/>
    <w:rsid w:val="392A132F"/>
    <w:rsid w:val="4CC12FFC"/>
    <w:rsid w:val="4E3B534E"/>
    <w:rsid w:val="52744604"/>
    <w:rsid w:val="584246B7"/>
    <w:rsid w:val="5CE77012"/>
    <w:rsid w:val="61790893"/>
    <w:rsid w:val="65156AAD"/>
    <w:rsid w:val="6A3E1DEA"/>
    <w:rsid w:val="6B47600F"/>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4278</Words>
  <Characters>4526</Characters>
  <Lines>0</Lines>
  <Paragraphs>0</Paragraphs>
  <TotalTime>13</TotalTime>
  <ScaleCrop>false</ScaleCrop>
  <LinksUpToDate>false</LinksUpToDate>
  <CharactersWithSpaces>4567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陈二</cp:lastModifiedBy>
  <dcterms:modified xsi:type="dcterms:W3CDTF">2025-02-07T09:20:17Z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eyJoZGlkIjoiOTZjNmRiMjk0MzkzM2E1NTM0Y2NlM2ZmMmY4NWYwMGUiLCJ1c2VySWQiOiI0NjY5Mzg0OTEifQ==</vt:lpwstr>
  </property>
  <property fmtid="{D5CDD505-2E9C-101B-9397-08002B2CF9AE}" pid="4" name="ICV">
    <vt:lpwstr>1D795664F7C149BCB0E0A527689ABDF8_13</vt:lpwstr>
  </property>
</Properties>
</file>