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51247F">
      <w:pPr>
        <w:jc w:val="center"/>
        <w:rPr>
          <w:rFonts w:hint="eastAsia" w:ascii="黑体" w:hAnsi="宋体" w:eastAsia="黑体"/>
          <w:bCs/>
          <w:color w:val="auto"/>
          <w:szCs w:val="32"/>
        </w:rPr>
      </w:pPr>
      <w:r>
        <w:rPr>
          <w:rFonts w:hint="eastAsia" w:ascii="黑体" w:hAnsi="黑体" w:eastAsia="黑体" w:cs="黑体"/>
          <w:bCs/>
          <w:color w:val="auto"/>
          <w:sz w:val="44"/>
          <w:szCs w:val="44"/>
        </w:rPr>
        <w:t>柳州市柳江区里高镇卫生院</w:t>
      </w:r>
      <w:r>
        <w:rPr>
          <w:rFonts w:hint="eastAsia" w:ascii="黑体" w:hAnsi="宋体" w:eastAsia="黑体"/>
          <w:bCs/>
          <w:color w:val="auto"/>
          <w:sz w:val="44"/>
          <w:szCs w:val="44"/>
          <w:highlight w:val="none"/>
          <w:lang w:val="en-US" w:eastAsia="zh-CN"/>
        </w:rPr>
        <w:t>2</w:t>
      </w:r>
      <w:r>
        <w:rPr>
          <w:rFonts w:hint="eastAsia" w:ascii="黑体" w:hAnsi="宋体" w:eastAsia="黑体"/>
          <w:bCs/>
          <w:color w:val="auto"/>
          <w:sz w:val="44"/>
          <w:szCs w:val="44"/>
          <w:highlight w:val="none"/>
          <w:lang w:eastAsia="zh-CN"/>
        </w:rPr>
        <w:t>02</w:t>
      </w:r>
      <w:r>
        <w:rPr>
          <w:rFonts w:hint="eastAsia" w:ascii="黑体" w:hAnsi="宋体" w:eastAsia="黑体"/>
          <w:bCs/>
          <w:color w:val="auto"/>
          <w:sz w:val="44"/>
          <w:szCs w:val="44"/>
          <w:highlight w:val="none"/>
          <w:lang w:val="en-US" w:eastAsia="zh-CN"/>
        </w:rPr>
        <w:t>5</w:t>
      </w:r>
      <w:r>
        <w:rPr>
          <w:rFonts w:hint="eastAsia" w:ascii="黑体" w:hAnsi="宋体" w:eastAsia="黑体"/>
          <w:bCs/>
          <w:color w:val="auto"/>
          <w:sz w:val="44"/>
          <w:szCs w:val="44"/>
          <w:highlight w:val="none"/>
          <w:lang w:eastAsia="zh-CN"/>
        </w:rPr>
        <w:t>年单位</w:t>
      </w:r>
      <w:r>
        <w:rPr>
          <w:rFonts w:hint="eastAsia" w:ascii="黑体" w:hAnsi="宋体" w:eastAsia="黑体"/>
          <w:bCs/>
          <w:color w:val="auto"/>
          <w:sz w:val="44"/>
          <w:szCs w:val="44"/>
          <w:highlight w:val="none"/>
        </w:rPr>
        <w:t>预算及“三公”经费预算公开说明</w:t>
      </w:r>
    </w:p>
    <w:p w14:paraId="7D2B8130">
      <w:pPr>
        <w:adjustRightInd w:val="0"/>
        <w:snapToGrid w:val="0"/>
        <w:spacing w:line="560" w:lineRule="exact"/>
        <w:ind w:right="-333" w:rightChars="-104" w:firstLine="640" w:firstLineChars="200"/>
        <w:rPr>
          <w:rFonts w:hint="eastAsia" w:ascii="黑体" w:hAnsi="宋体" w:eastAsia="黑体"/>
          <w:bCs/>
          <w:color w:val="auto"/>
          <w:szCs w:val="32"/>
        </w:rPr>
      </w:pPr>
    </w:p>
    <w:p w14:paraId="7CC75134">
      <w:pPr>
        <w:keepNext w:val="0"/>
        <w:keepLines w:val="0"/>
        <w:pageBreakBefore w:val="0"/>
        <w:widowControl w:val="0"/>
        <w:kinsoku/>
        <w:wordWrap/>
        <w:overflowPunct/>
        <w:topLinePunct w:val="0"/>
        <w:autoSpaceDE/>
        <w:autoSpaceDN/>
        <w:bidi w:val="0"/>
        <w:adjustRightInd w:val="0"/>
        <w:snapToGrid w:val="0"/>
        <w:spacing w:line="640" w:lineRule="exact"/>
        <w:ind w:right="-333" w:rightChars="-104" w:firstLine="640" w:firstLineChars="200"/>
        <w:textAlignment w:val="auto"/>
        <w:rPr>
          <w:rFonts w:hint="eastAsia" w:ascii="黑体" w:hAnsi="宋体" w:eastAsia="黑体"/>
          <w:bCs/>
          <w:color w:val="auto"/>
          <w:szCs w:val="32"/>
        </w:rPr>
      </w:pPr>
      <w:r>
        <w:rPr>
          <w:rFonts w:hint="eastAsia" w:ascii="黑体" w:hAnsi="宋体" w:eastAsia="黑体"/>
          <w:bCs/>
          <w:color w:val="auto"/>
          <w:szCs w:val="32"/>
        </w:rPr>
        <w:t>第一部分：</w:t>
      </w:r>
      <w:r>
        <w:rPr>
          <w:rFonts w:hint="eastAsia" w:ascii="黑体" w:hAnsi="宋体" w:eastAsia="黑体"/>
          <w:bCs/>
          <w:color w:val="auto"/>
          <w:szCs w:val="32"/>
          <w:lang w:eastAsia="zh-CN"/>
        </w:rPr>
        <w:t>单位</w:t>
      </w:r>
      <w:r>
        <w:rPr>
          <w:rFonts w:hint="eastAsia" w:ascii="黑体" w:hAnsi="宋体" w:eastAsia="黑体"/>
          <w:bCs/>
          <w:color w:val="auto"/>
          <w:szCs w:val="32"/>
        </w:rPr>
        <w:t>概况</w:t>
      </w:r>
    </w:p>
    <w:p w14:paraId="58E52589">
      <w:pPr>
        <w:keepNext w:val="0"/>
        <w:keepLines w:val="0"/>
        <w:pageBreakBefore w:val="0"/>
        <w:widowControl w:val="0"/>
        <w:kinsoku/>
        <w:wordWrap/>
        <w:overflowPunct/>
        <w:topLinePunct w:val="0"/>
        <w:autoSpaceDE/>
        <w:autoSpaceDN/>
        <w:bidi w:val="0"/>
        <w:spacing w:line="640" w:lineRule="exact"/>
        <w:ind w:firstLine="640" w:firstLineChars="200"/>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一、</w:t>
      </w:r>
      <w:r>
        <w:rPr>
          <w:rFonts w:hint="eastAsia" w:ascii="宋体" w:hAnsi="宋体" w:eastAsia="宋体" w:cs="宋体"/>
          <w:color w:val="auto"/>
          <w:sz w:val="32"/>
          <w:szCs w:val="32"/>
          <w:highlight w:val="none"/>
          <w:lang w:eastAsia="zh-CN"/>
        </w:rPr>
        <w:t>主要</w:t>
      </w:r>
      <w:r>
        <w:rPr>
          <w:rFonts w:hint="eastAsia" w:ascii="宋体" w:hAnsi="宋体" w:eastAsia="宋体" w:cs="宋体"/>
          <w:color w:val="auto"/>
          <w:sz w:val="32"/>
          <w:szCs w:val="32"/>
          <w:highlight w:val="none"/>
        </w:rPr>
        <w:t>职责</w:t>
      </w:r>
    </w:p>
    <w:p w14:paraId="539B180F">
      <w:pPr>
        <w:keepNext w:val="0"/>
        <w:keepLines w:val="0"/>
        <w:pageBreakBefore w:val="0"/>
        <w:widowControl w:val="0"/>
        <w:kinsoku/>
        <w:wordWrap/>
        <w:overflowPunct/>
        <w:topLinePunct w:val="0"/>
        <w:autoSpaceDE/>
        <w:autoSpaceDN/>
        <w:bidi w:val="0"/>
        <w:spacing w:line="640" w:lineRule="exact"/>
        <w:ind w:firstLine="640" w:firstLineChars="200"/>
        <w:textAlignment w:val="auto"/>
        <w:rPr>
          <w:rFonts w:hint="eastAsia" w:ascii="黑体" w:hAnsi="宋体" w:eastAsia="黑体"/>
          <w:bCs/>
          <w:color w:val="auto"/>
          <w:szCs w:val="32"/>
        </w:rPr>
      </w:pPr>
      <w:r>
        <w:rPr>
          <w:rFonts w:hint="eastAsia" w:ascii="宋体" w:hAnsi="宋体" w:eastAsia="宋体" w:cs="宋体"/>
          <w:color w:val="auto"/>
          <w:sz w:val="32"/>
          <w:szCs w:val="32"/>
          <w:highlight w:val="none"/>
        </w:rPr>
        <w:t>二、机构设置</w:t>
      </w:r>
    </w:p>
    <w:p w14:paraId="20742117">
      <w:pPr>
        <w:keepNext w:val="0"/>
        <w:keepLines w:val="0"/>
        <w:pageBreakBefore w:val="0"/>
        <w:widowControl w:val="0"/>
        <w:kinsoku/>
        <w:wordWrap/>
        <w:overflowPunct/>
        <w:topLinePunct w:val="0"/>
        <w:autoSpaceDE/>
        <w:autoSpaceDN/>
        <w:bidi w:val="0"/>
        <w:adjustRightInd w:val="0"/>
        <w:snapToGrid w:val="0"/>
        <w:spacing w:line="640" w:lineRule="exact"/>
        <w:ind w:right="-333" w:rightChars="-104" w:firstLine="640" w:firstLineChars="200"/>
        <w:textAlignment w:val="auto"/>
        <w:rPr>
          <w:rFonts w:hint="eastAsia" w:ascii="黑体" w:hAnsi="宋体" w:eastAsia="黑体"/>
          <w:bCs/>
          <w:color w:val="auto"/>
          <w:szCs w:val="32"/>
        </w:rPr>
      </w:pPr>
      <w:r>
        <w:rPr>
          <w:rFonts w:hint="eastAsia" w:ascii="黑体" w:eastAsia="黑体"/>
          <w:color w:val="auto"/>
          <w:szCs w:val="32"/>
        </w:rPr>
        <w:t>第二部分：</w:t>
      </w:r>
      <w:r>
        <w:rPr>
          <w:rFonts w:hint="eastAsia" w:ascii="黑体" w:eastAsia="黑体"/>
          <w:color w:val="auto"/>
          <w:szCs w:val="32"/>
          <w:lang w:val="en-US" w:eastAsia="zh-CN"/>
        </w:rPr>
        <w:t>柳州市柳江区里高镇卫生院</w:t>
      </w:r>
      <w:r>
        <w:rPr>
          <w:rFonts w:hint="eastAsia" w:ascii="黑体" w:hAnsi="宋体" w:eastAsia="黑体"/>
          <w:color w:val="auto"/>
          <w:szCs w:val="32"/>
          <w:lang w:eastAsia="zh-CN"/>
        </w:rPr>
        <w:t>2025</w:t>
      </w:r>
      <w:r>
        <w:rPr>
          <w:rFonts w:hint="eastAsia" w:ascii="黑体" w:hAnsi="宋体" w:eastAsia="黑体"/>
          <w:color w:val="auto"/>
          <w:szCs w:val="32"/>
        </w:rPr>
        <w:t>年</w:t>
      </w:r>
      <w:r>
        <w:rPr>
          <w:rFonts w:hint="eastAsia" w:ascii="黑体" w:eastAsia="黑体"/>
          <w:color w:val="auto"/>
          <w:szCs w:val="32"/>
          <w:lang w:eastAsia="zh-CN"/>
        </w:rPr>
        <w:t>单位</w:t>
      </w:r>
      <w:r>
        <w:rPr>
          <w:rFonts w:hint="eastAsia" w:ascii="黑体" w:eastAsia="黑体"/>
          <w:color w:val="auto"/>
          <w:szCs w:val="32"/>
        </w:rPr>
        <w:t>预算情况说明</w:t>
      </w:r>
    </w:p>
    <w:p w14:paraId="152F2A83">
      <w:pPr>
        <w:keepNext w:val="0"/>
        <w:keepLines w:val="0"/>
        <w:pageBreakBefore w:val="0"/>
        <w:widowControl w:val="0"/>
        <w:tabs>
          <w:tab w:val="center" w:pos="4475"/>
        </w:tabs>
        <w:kinsoku/>
        <w:wordWrap/>
        <w:overflowPunct/>
        <w:topLinePunct w:val="0"/>
        <w:autoSpaceDE/>
        <w:autoSpaceDN/>
        <w:bidi w:val="0"/>
        <w:spacing w:line="640" w:lineRule="exact"/>
        <w:ind w:firstLine="645"/>
        <w:textAlignment w:val="auto"/>
        <w:rPr>
          <w:rFonts w:hint="eastAsia" w:ascii="宋体" w:hAnsi="宋体" w:eastAsia="宋体" w:cs="宋体"/>
          <w:color w:val="auto"/>
          <w:szCs w:val="32"/>
        </w:rPr>
      </w:pPr>
      <w:r>
        <w:rPr>
          <w:rFonts w:hint="eastAsia" w:ascii="宋体" w:hAnsi="宋体" w:eastAsia="宋体" w:cs="宋体"/>
          <w:color w:val="auto"/>
          <w:sz w:val="32"/>
          <w:szCs w:val="32"/>
          <w:highlight w:val="none"/>
        </w:rPr>
        <w:t>一、单位预算收支增减变化情况说明</w:t>
      </w:r>
    </w:p>
    <w:p w14:paraId="4AD94B02">
      <w:pPr>
        <w:keepNext w:val="0"/>
        <w:keepLines w:val="0"/>
        <w:pageBreakBefore w:val="0"/>
        <w:widowControl w:val="0"/>
        <w:tabs>
          <w:tab w:val="center" w:pos="4475"/>
        </w:tabs>
        <w:kinsoku/>
        <w:wordWrap/>
        <w:overflowPunct/>
        <w:topLinePunct w:val="0"/>
        <w:autoSpaceDE/>
        <w:autoSpaceDN/>
        <w:bidi w:val="0"/>
        <w:spacing w:line="640" w:lineRule="exact"/>
        <w:ind w:firstLine="645"/>
        <w:textAlignment w:val="auto"/>
        <w:rPr>
          <w:rFonts w:hint="eastAsia" w:ascii="宋体" w:hAnsi="宋体" w:eastAsia="宋体" w:cs="宋体"/>
          <w:color w:val="auto"/>
          <w:szCs w:val="32"/>
        </w:rPr>
      </w:pPr>
      <w:r>
        <w:rPr>
          <w:rFonts w:hint="eastAsia" w:ascii="宋体" w:hAnsi="宋体" w:eastAsia="宋体" w:cs="宋体"/>
          <w:color w:val="auto"/>
          <w:sz w:val="32"/>
          <w:szCs w:val="32"/>
          <w:highlight w:val="none"/>
          <w:lang w:eastAsia="zh-CN"/>
        </w:rPr>
        <w:t>二、单位预算收入总体情况说明</w:t>
      </w:r>
    </w:p>
    <w:p w14:paraId="39020EBB">
      <w:pPr>
        <w:keepNext w:val="0"/>
        <w:keepLines w:val="0"/>
        <w:pageBreakBefore w:val="0"/>
        <w:widowControl w:val="0"/>
        <w:kinsoku/>
        <w:wordWrap/>
        <w:overflowPunct/>
        <w:topLinePunct w:val="0"/>
        <w:autoSpaceDE/>
        <w:autoSpaceDN/>
        <w:bidi w:val="0"/>
        <w:spacing w:line="640" w:lineRule="exact"/>
        <w:ind w:firstLine="640" w:firstLineChars="200"/>
        <w:textAlignment w:val="auto"/>
        <w:rPr>
          <w:rFonts w:hint="eastAsia" w:ascii="宋体" w:hAnsi="宋体" w:eastAsia="宋体" w:cs="宋体"/>
          <w:color w:val="auto"/>
          <w:szCs w:val="32"/>
        </w:rPr>
      </w:pPr>
      <w:r>
        <w:rPr>
          <w:rFonts w:hint="eastAsia" w:ascii="宋体" w:hAnsi="宋体" w:eastAsia="宋体" w:cs="宋体"/>
          <w:color w:val="auto"/>
          <w:sz w:val="32"/>
          <w:szCs w:val="32"/>
          <w:highlight w:val="none"/>
          <w:lang w:eastAsia="zh-CN"/>
        </w:rPr>
        <w:t>三、单位预算支出总体情况说明</w:t>
      </w:r>
    </w:p>
    <w:p w14:paraId="17A41D64">
      <w:pPr>
        <w:keepNext w:val="0"/>
        <w:keepLines w:val="0"/>
        <w:pageBreakBefore w:val="0"/>
        <w:widowControl w:val="0"/>
        <w:tabs>
          <w:tab w:val="center" w:pos="4475"/>
        </w:tabs>
        <w:kinsoku/>
        <w:wordWrap/>
        <w:overflowPunct/>
        <w:topLinePunct w:val="0"/>
        <w:autoSpaceDE/>
        <w:autoSpaceDN/>
        <w:bidi w:val="0"/>
        <w:spacing w:line="640" w:lineRule="exact"/>
        <w:ind w:firstLine="645"/>
        <w:textAlignment w:val="auto"/>
        <w:rPr>
          <w:rFonts w:hint="eastAsia" w:ascii="宋体" w:hAnsi="宋体" w:eastAsia="宋体" w:cs="宋体"/>
          <w:color w:val="auto"/>
          <w:szCs w:val="32"/>
        </w:rPr>
      </w:pPr>
      <w:r>
        <w:rPr>
          <w:rFonts w:hint="eastAsia" w:ascii="宋体" w:hAnsi="宋体" w:eastAsia="宋体" w:cs="宋体"/>
          <w:color w:val="auto"/>
          <w:sz w:val="32"/>
          <w:szCs w:val="32"/>
          <w:highlight w:val="none"/>
          <w:lang w:eastAsia="zh-CN"/>
        </w:rPr>
        <w:t>四</w:t>
      </w:r>
      <w:r>
        <w:rPr>
          <w:rFonts w:hint="eastAsia" w:ascii="宋体" w:hAnsi="宋体" w:eastAsia="宋体" w:cs="宋体"/>
          <w:color w:val="auto"/>
          <w:sz w:val="32"/>
          <w:szCs w:val="32"/>
          <w:highlight w:val="none"/>
        </w:rPr>
        <w:t>、政府性基金预算支出情况说明</w:t>
      </w:r>
    </w:p>
    <w:p w14:paraId="01298E94">
      <w:pPr>
        <w:keepNext w:val="0"/>
        <w:keepLines w:val="0"/>
        <w:pageBreakBefore w:val="0"/>
        <w:widowControl w:val="0"/>
        <w:tabs>
          <w:tab w:val="center" w:pos="4475"/>
        </w:tabs>
        <w:kinsoku/>
        <w:wordWrap/>
        <w:overflowPunct/>
        <w:topLinePunct w:val="0"/>
        <w:autoSpaceDE/>
        <w:autoSpaceDN/>
        <w:bidi w:val="0"/>
        <w:spacing w:line="640" w:lineRule="exact"/>
        <w:ind w:firstLine="645"/>
        <w:textAlignment w:val="auto"/>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五、国有资本经营预算支出情况说明</w:t>
      </w:r>
    </w:p>
    <w:p w14:paraId="2B4EB8FA">
      <w:pPr>
        <w:keepNext w:val="0"/>
        <w:keepLines w:val="0"/>
        <w:pageBreakBefore w:val="0"/>
        <w:widowControl w:val="0"/>
        <w:tabs>
          <w:tab w:val="center" w:pos="4475"/>
        </w:tabs>
        <w:kinsoku/>
        <w:wordWrap/>
        <w:overflowPunct/>
        <w:topLinePunct w:val="0"/>
        <w:autoSpaceDE/>
        <w:autoSpaceDN/>
        <w:bidi w:val="0"/>
        <w:spacing w:line="640" w:lineRule="exact"/>
        <w:ind w:firstLine="645"/>
        <w:textAlignment w:val="auto"/>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六、一般公共预算“三公”经费支出情况说明</w:t>
      </w:r>
    </w:p>
    <w:p w14:paraId="05DCA601">
      <w:pPr>
        <w:keepNext w:val="0"/>
        <w:keepLines w:val="0"/>
        <w:pageBreakBefore w:val="0"/>
        <w:widowControl w:val="0"/>
        <w:tabs>
          <w:tab w:val="center" w:pos="4475"/>
        </w:tabs>
        <w:kinsoku/>
        <w:wordWrap/>
        <w:overflowPunct/>
        <w:topLinePunct w:val="0"/>
        <w:autoSpaceDE/>
        <w:autoSpaceDN/>
        <w:bidi w:val="0"/>
        <w:spacing w:line="640" w:lineRule="exact"/>
        <w:ind w:firstLine="645"/>
        <w:textAlignment w:val="auto"/>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七、机关运行经费安排情况说明</w:t>
      </w:r>
    </w:p>
    <w:p w14:paraId="316D5A5D">
      <w:pPr>
        <w:keepNext w:val="0"/>
        <w:keepLines w:val="0"/>
        <w:pageBreakBefore w:val="0"/>
        <w:widowControl w:val="0"/>
        <w:tabs>
          <w:tab w:val="center" w:pos="4475"/>
        </w:tabs>
        <w:kinsoku/>
        <w:wordWrap/>
        <w:overflowPunct/>
        <w:topLinePunct w:val="0"/>
        <w:autoSpaceDE/>
        <w:autoSpaceDN/>
        <w:bidi w:val="0"/>
        <w:spacing w:line="640" w:lineRule="exact"/>
        <w:ind w:firstLine="645"/>
        <w:textAlignment w:val="auto"/>
        <w:rPr>
          <w:rFonts w:hint="eastAsia" w:ascii="宋体" w:hAnsi="宋体" w:eastAsia="宋体" w:cs="宋体"/>
          <w:color w:val="auto"/>
          <w:szCs w:val="32"/>
          <w:lang w:eastAsia="zh-CN"/>
        </w:rPr>
      </w:pPr>
      <w:r>
        <w:rPr>
          <w:rFonts w:hint="eastAsia" w:ascii="宋体" w:hAnsi="宋体" w:eastAsia="宋体" w:cs="宋体"/>
          <w:color w:val="auto"/>
          <w:szCs w:val="32"/>
          <w:lang w:eastAsia="zh-CN"/>
        </w:rPr>
        <w:t>八、政府采购预算安排情况说明</w:t>
      </w:r>
    </w:p>
    <w:p w14:paraId="13885121">
      <w:pPr>
        <w:keepNext w:val="0"/>
        <w:keepLines w:val="0"/>
        <w:pageBreakBefore w:val="0"/>
        <w:widowControl w:val="0"/>
        <w:tabs>
          <w:tab w:val="center" w:pos="4475"/>
        </w:tabs>
        <w:kinsoku/>
        <w:wordWrap/>
        <w:overflowPunct/>
        <w:topLinePunct w:val="0"/>
        <w:autoSpaceDE/>
        <w:autoSpaceDN/>
        <w:bidi w:val="0"/>
        <w:spacing w:line="640" w:lineRule="exact"/>
        <w:ind w:firstLine="645"/>
        <w:textAlignment w:val="auto"/>
        <w:rPr>
          <w:rFonts w:hint="eastAsia" w:ascii="宋体" w:hAnsi="宋体" w:eastAsia="宋体" w:cs="宋体"/>
          <w:color w:val="auto"/>
          <w:szCs w:val="32"/>
          <w:highlight w:val="yellow"/>
          <w:lang w:eastAsia="zh-CN"/>
        </w:rPr>
      </w:pPr>
      <w:r>
        <w:rPr>
          <w:rFonts w:hint="eastAsia" w:ascii="宋体" w:hAnsi="宋体" w:eastAsia="宋体" w:cs="宋体"/>
          <w:color w:val="auto"/>
          <w:szCs w:val="32"/>
          <w:lang w:eastAsia="zh-CN"/>
        </w:rPr>
        <w:t>九、国有资产占用情况说明</w:t>
      </w:r>
    </w:p>
    <w:p w14:paraId="530CF99C">
      <w:pPr>
        <w:keepNext w:val="0"/>
        <w:keepLines w:val="0"/>
        <w:pageBreakBefore w:val="0"/>
        <w:widowControl w:val="0"/>
        <w:tabs>
          <w:tab w:val="center" w:pos="4475"/>
        </w:tabs>
        <w:kinsoku/>
        <w:wordWrap/>
        <w:overflowPunct/>
        <w:topLinePunct w:val="0"/>
        <w:autoSpaceDE/>
        <w:autoSpaceDN/>
        <w:bidi w:val="0"/>
        <w:adjustRightInd/>
        <w:snapToGrid/>
        <w:spacing w:line="640" w:lineRule="exact"/>
        <w:ind w:firstLine="646"/>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eastAsia="zh-CN"/>
        </w:rPr>
        <w:t>十</w:t>
      </w:r>
      <w:r>
        <w:rPr>
          <w:rFonts w:hint="eastAsia" w:ascii="宋体" w:hAnsi="宋体" w:eastAsia="宋体" w:cs="宋体"/>
          <w:color w:val="auto"/>
          <w:sz w:val="32"/>
          <w:szCs w:val="32"/>
          <w:highlight w:val="none"/>
        </w:rPr>
        <w:t>、预算绩效目标情况说明</w:t>
      </w:r>
    </w:p>
    <w:p w14:paraId="247B2B38">
      <w:pPr>
        <w:keepNext w:val="0"/>
        <w:keepLines w:val="0"/>
        <w:pageBreakBefore w:val="0"/>
        <w:widowControl w:val="0"/>
        <w:kinsoku/>
        <w:wordWrap/>
        <w:overflowPunct/>
        <w:topLinePunct w:val="0"/>
        <w:autoSpaceDE/>
        <w:autoSpaceDN/>
        <w:bidi w:val="0"/>
        <w:adjustRightInd w:val="0"/>
        <w:snapToGrid w:val="0"/>
        <w:spacing w:line="640" w:lineRule="exact"/>
        <w:ind w:right="-333" w:rightChars="-104" w:firstLine="640" w:firstLineChars="200"/>
        <w:textAlignment w:val="auto"/>
        <w:rPr>
          <w:rFonts w:hint="eastAsia" w:ascii="黑体" w:hAnsi="宋体" w:eastAsia="黑体"/>
          <w:bCs/>
          <w:color w:val="auto"/>
          <w:szCs w:val="32"/>
        </w:rPr>
      </w:pPr>
      <w:r>
        <w:rPr>
          <w:rFonts w:hint="eastAsia" w:ascii="黑体" w:eastAsia="黑体"/>
          <w:color w:val="auto"/>
          <w:szCs w:val="32"/>
        </w:rPr>
        <w:t>第三部分：名词解释</w:t>
      </w:r>
    </w:p>
    <w:p w14:paraId="4F3D161D">
      <w:pPr>
        <w:keepNext w:val="0"/>
        <w:keepLines w:val="0"/>
        <w:pageBreakBefore w:val="0"/>
        <w:widowControl w:val="0"/>
        <w:kinsoku/>
        <w:wordWrap/>
        <w:overflowPunct/>
        <w:topLinePunct w:val="0"/>
        <w:autoSpaceDE/>
        <w:autoSpaceDN/>
        <w:bidi w:val="0"/>
        <w:adjustRightInd w:val="0"/>
        <w:snapToGrid w:val="0"/>
        <w:spacing w:line="640" w:lineRule="exact"/>
        <w:ind w:right="-333" w:rightChars="-104" w:firstLine="640" w:firstLineChars="200"/>
        <w:textAlignment w:val="auto"/>
        <w:rPr>
          <w:rFonts w:hint="eastAsia" w:ascii="黑体" w:eastAsia="黑体"/>
          <w:color w:val="auto"/>
          <w:szCs w:val="32"/>
        </w:rPr>
      </w:pPr>
      <w:r>
        <w:rPr>
          <w:rFonts w:hint="eastAsia" w:ascii="黑体" w:hAnsi="宋体" w:eastAsia="黑体"/>
          <w:bCs/>
          <w:color w:val="auto"/>
          <w:szCs w:val="32"/>
        </w:rPr>
        <w:t>第四部分：</w:t>
      </w:r>
      <w:r>
        <w:rPr>
          <w:rFonts w:hint="eastAsia" w:ascii="黑体" w:eastAsia="黑体"/>
          <w:color w:val="auto"/>
          <w:szCs w:val="32"/>
          <w:lang w:val="en-US" w:eastAsia="zh-CN"/>
        </w:rPr>
        <w:t>柳州市柳江区里高镇卫生院2</w:t>
      </w:r>
      <w:r>
        <w:rPr>
          <w:rFonts w:hint="eastAsia" w:ascii="黑体" w:hAnsi="宋体" w:eastAsia="黑体"/>
          <w:color w:val="auto"/>
          <w:szCs w:val="32"/>
          <w:lang w:eastAsia="zh-CN"/>
        </w:rPr>
        <w:t>025</w:t>
      </w:r>
      <w:r>
        <w:rPr>
          <w:rFonts w:hint="eastAsia" w:ascii="黑体" w:hAnsi="宋体" w:eastAsia="黑体"/>
          <w:color w:val="auto"/>
          <w:szCs w:val="32"/>
        </w:rPr>
        <w:t>年</w:t>
      </w:r>
      <w:r>
        <w:rPr>
          <w:rFonts w:hint="eastAsia" w:ascii="黑体" w:eastAsia="黑体"/>
          <w:color w:val="auto"/>
          <w:szCs w:val="32"/>
          <w:lang w:eastAsia="zh-CN"/>
        </w:rPr>
        <w:t>单位</w:t>
      </w:r>
      <w:r>
        <w:rPr>
          <w:rFonts w:hint="eastAsia" w:ascii="黑体" w:eastAsia="黑体"/>
          <w:color w:val="auto"/>
          <w:szCs w:val="32"/>
        </w:rPr>
        <w:t>预算报表</w:t>
      </w:r>
    </w:p>
    <w:p w14:paraId="1A5ADA2F">
      <w:pPr>
        <w:adjustRightInd w:val="0"/>
        <w:snapToGrid w:val="0"/>
        <w:spacing w:line="560" w:lineRule="exact"/>
        <w:ind w:right="-333" w:rightChars="-104" w:firstLine="640" w:firstLineChars="200"/>
        <w:rPr>
          <w:rFonts w:hint="eastAsia" w:ascii="黑体" w:hAnsi="宋体" w:eastAsia="黑体"/>
          <w:bCs/>
          <w:color w:val="auto"/>
          <w:szCs w:val="32"/>
        </w:rPr>
      </w:pPr>
    </w:p>
    <w:p w14:paraId="70B9FFC6">
      <w:pPr>
        <w:keepNext w:val="0"/>
        <w:keepLines w:val="0"/>
        <w:pageBreakBefore w:val="0"/>
        <w:widowControl w:val="0"/>
        <w:kinsoku/>
        <w:wordWrap/>
        <w:overflowPunct/>
        <w:topLinePunct w:val="0"/>
        <w:autoSpaceDE/>
        <w:autoSpaceDN/>
        <w:bidi w:val="0"/>
        <w:adjustRightInd w:val="0"/>
        <w:snapToGrid w:val="0"/>
        <w:spacing w:line="600" w:lineRule="exact"/>
        <w:ind w:right="-333" w:rightChars="-104" w:firstLine="640" w:firstLineChars="200"/>
        <w:textAlignment w:val="auto"/>
        <w:rPr>
          <w:rFonts w:hint="eastAsia" w:ascii="黑体" w:hAnsi="宋体" w:eastAsia="黑体"/>
          <w:bCs/>
          <w:color w:val="auto"/>
          <w:szCs w:val="32"/>
        </w:rPr>
      </w:pPr>
      <w:r>
        <w:rPr>
          <w:rFonts w:hint="eastAsia" w:ascii="黑体" w:hAnsi="宋体" w:eastAsia="黑体"/>
          <w:bCs/>
          <w:color w:val="auto"/>
          <w:szCs w:val="32"/>
        </w:rPr>
        <w:t>第一部分：</w:t>
      </w:r>
      <w:r>
        <w:rPr>
          <w:rFonts w:hint="eastAsia" w:ascii="黑体" w:hAnsi="宋体" w:eastAsia="黑体"/>
          <w:bCs/>
          <w:color w:val="auto"/>
          <w:szCs w:val="32"/>
          <w:lang w:eastAsia="zh-CN"/>
        </w:rPr>
        <w:t>单位</w:t>
      </w:r>
      <w:r>
        <w:rPr>
          <w:rFonts w:hint="eastAsia" w:ascii="黑体" w:hAnsi="宋体" w:eastAsia="黑体"/>
          <w:bCs/>
          <w:color w:val="auto"/>
          <w:szCs w:val="32"/>
        </w:rPr>
        <w:t>概况</w:t>
      </w:r>
    </w:p>
    <w:p w14:paraId="7043E7C4">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right="-333" w:rightChars="-104" w:firstLine="640" w:firstLineChars="200"/>
        <w:textAlignment w:val="auto"/>
        <w:rPr>
          <w:rFonts w:hint="eastAsia" w:ascii="黑体" w:hAnsi="宋体" w:eastAsia="黑体"/>
          <w:color w:val="auto"/>
          <w:szCs w:val="32"/>
        </w:rPr>
      </w:pPr>
      <w:r>
        <w:rPr>
          <w:rFonts w:hint="eastAsia" w:ascii="黑体" w:hAnsi="宋体" w:eastAsia="黑体"/>
          <w:color w:val="auto"/>
          <w:szCs w:val="32"/>
          <w:lang w:eastAsia="zh-CN"/>
        </w:rPr>
        <w:t>单位</w:t>
      </w:r>
      <w:r>
        <w:rPr>
          <w:rFonts w:hint="eastAsia" w:ascii="黑体" w:hAnsi="宋体" w:eastAsia="黑体"/>
          <w:color w:val="auto"/>
          <w:szCs w:val="32"/>
        </w:rPr>
        <w:t>主要职</w:t>
      </w:r>
      <w:r>
        <w:rPr>
          <w:rFonts w:hint="eastAsia" w:ascii="黑体" w:hAnsi="宋体" w:eastAsia="黑体"/>
          <w:color w:val="auto"/>
          <w:szCs w:val="32"/>
          <w:lang w:eastAsia="zh-CN"/>
        </w:rPr>
        <w:t>能</w:t>
      </w:r>
    </w:p>
    <w:p w14:paraId="3BB36167">
      <w:pPr>
        <w:keepNext w:val="0"/>
        <w:keepLines w:val="0"/>
        <w:pageBreakBefore w:val="0"/>
        <w:widowControl w:val="0"/>
        <w:tabs>
          <w:tab w:val="center" w:pos="4475"/>
        </w:tabs>
        <w:kinsoku/>
        <w:wordWrap/>
        <w:overflowPunct/>
        <w:topLinePunct w:val="0"/>
        <w:autoSpaceDE/>
        <w:autoSpaceDN/>
        <w:bidi w:val="0"/>
        <w:spacing w:line="600" w:lineRule="exact"/>
        <w:ind w:firstLine="645"/>
        <w:textAlignment w:val="auto"/>
        <w:rPr>
          <w:rFonts w:hint="eastAsia" w:ascii="仿宋_GB2312" w:hAnsi="宋体" w:eastAsia="仿宋_GB2312" w:cs="Times New Roman"/>
          <w:color w:val="auto"/>
          <w:szCs w:val="32"/>
          <w:highlight w:val="none"/>
          <w:lang w:eastAsia="zh-CN"/>
        </w:rPr>
      </w:pPr>
      <w:r>
        <w:rPr>
          <w:rFonts w:hint="eastAsia" w:ascii="仿宋_GB2312" w:hAnsi="宋体" w:eastAsia="仿宋_GB2312" w:cs="Times New Roman"/>
          <w:color w:val="auto"/>
          <w:szCs w:val="32"/>
          <w:highlight w:val="none"/>
          <w:lang w:eastAsia="zh-CN"/>
        </w:rPr>
        <w:t>里高镇卫生院是镇设立的一所卫生行政兼医疗预防工作的综合性机构，是负责所在地区内医疗卫生工作，组织领导群众卫生运动，培训卫生技术人员</w:t>
      </w:r>
      <w:r>
        <w:rPr>
          <w:rFonts w:hint="eastAsia" w:ascii="仿宋_GB2312" w:hAnsi="宋体" w:cs="Times New Roman"/>
          <w:color w:val="auto"/>
          <w:szCs w:val="32"/>
          <w:highlight w:val="none"/>
          <w:lang w:eastAsia="zh-CN"/>
        </w:rPr>
        <w:t>，</w:t>
      </w:r>
      <w:r>
        <w:rPr>
          <w:rFonts w:hint="eastAsia" w:ascii="仿宋_GB2312" w:hAnsi="宋体" w:eastAsia="仿宋_GB2312" w:cs="Times New Roman"/>
          <w:color w:val="auto"/>
          <w:szCs w:val="32"/>
          <w:highlight w:val="none"/>
          <w:lang w:eastAsia="zh-CN"/>
        </w:rPr>
        <w:t>并对基层卫生医疗机构进行业务指导和会诊工作</w:t>
      </w:r>
      <w:r>
        <w:rPr>
          <w:rFonts w:hint="eastAsia" w:ascii="仿宋_GB2312" w:hAnsi="宋体" w:cs="Times New Roman"/>
          <w:color w:val="auto"/>
          <w:szCs w:val="32"/>
          <w:highlight w:val="none"/>
          <w:lang w:eastAsia="zh-CN"/>
        </w:rPr>
        <w:t>，</w:t>
      </w:r>
      <w:r>
        <w:rPr>
          <w:rFonts w:hint="eastAsia" w:ascii="仿宋_GB2312" w:hAnsi="宋体" w:eastAsia="仿宋_GB2312" w:cs="Times New Roman"/>
          <w:color w:val="auto"/>
          <w:szCs w:val="32"/>
          <w:highlight w:val="none"/>
          <w:lang w:eastAsia="zh-CN"/>
        </w:rPr>
        <w:t>是农村三级医疗网点的重要环节，担负着医疗防疫、保健的重要任务，是直接解决农村看病难看病贵的</w:t>
      </w:r>
      <w:r>
        <w:rPr>
          <w:rFonts w:hint="eastAsia" w:ascii="仿宋_GB2312" w:hAnsi="宋体" w:cs="Times New Roman"/>
          <w:color w:val="auto"/>
          <w:szCs w:val="32"/>
          <w:highlight w:val="none"/>
          <w:lang w:eastAsia="zh-CN"/>
        </w:rPr>
        <w:t>重要一环</w:t>
      </w:r>
      <w:r>
        <w:rPr>
          <w:rFonts w:hint="eastAsia" w:ascii="仿宋_GB2312" w:hAnsi="宋体" w:eastAsia="仿宋_GB2312" w:cs="Times New Roman"/>
          <w:color w:val="auto"/>
          <w:szCs w:val="32"/>
          <w:highlight w:val="none"/>
          <w:lang w:eastAsia="zh-CN"/>
        </w:rPr>
        <w:t>。</w:t>
      </w:r>
    </w:p>
    <w:p w14:paraId="7662AA67">
      <w:pPr>
        <w:keepNext w:val="0"/>
        <w:keepLines w:val="0"/>
        <w:pageBreakBefore w:val="0"/>
        <w:widowControl w:val="0"/>
        <w:tabs>
          <w:tab w:val="center" w:pos="4475"/>
        </w:tabs>
        <w:kinsoku/>
        <w:wordWrap/>
        <w:overflowPunct/>
        <w:topLinePunct w:val="0"/>
        <w:autoSpaceDE/>
        <w:autoSpaceDN/>
        <w:bidi w:val="0"/>
        <w:spacing w:line="600" w:lineRule="exact"/>
        <w:ind w:firstLine="645"/>
        <w:textAlignment w:val="auto"/>
        <w:rPr>
          <w:rFonts w:hint="eastAsia" w:ascii="仿宋_GB2312" w:hAnsi="宋体" w:eastAsia="仿宋_GB2312" w:cs="Times New Roman"/>
          <w:color w:val="auto"/>
          <w:szCs w:val="32"/>
          <w:highlight w:val="none"/>
          <w:lang w:eastAsia="zh-CN"/>
        </w:rPr>
      </w:pPr>
      <w:r>
        <w:rPr>
          <w:rFonts w:hint="eastAsia" w:ascii="仿宋_GB2312" w:hAnsi="宋体" w:eastAsia="仿宋_GB2312" w:cs="Times New Roman"/>
          <w:color w:val="auto"/>
          <w:szCs w:val="32"/>
          <w:highlight w:val="none"/>
          <w:lang w:eastAsia="zh-CN"/>
        </w:rPr>
        <w:t>我镇卫生院承担本镇的各项医疗卫生服务和一定的卫生行政管理工作，具体工作职责如下</w:t>
      </w:r>
      <w:r>
        <w:rPr>
          <w:rFonts w:hint="eastAsia" w:ascii="仿宋_GB2312" w:hAnsi="宋体" w:cs="Times New Roman"/>
          <w:color w:val="auto"/>
          <w:szCs w:val="32"/>
          <w:highlight w:val="none"/>
          <w:lang w:eastAsia="zh-CN"/>
        </w:rPr>
        <w:t>：</w:t>
      </w:r>
    </w:p>
    <w:p w14:paraId="2BAB7F3F">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黑体" w:hAnsi="黑体" w:eastAsia="黑体" w:cs="黑体"/>
          <w:color w:val="auto"/>
          <w:sz w:val="30"/>
          <w:szCs w:val="30"/>
        </w:rPr>
      </w:pPr>
      <w:r>
        <w:rPr>
          <w:rFonts w:hint="eastAsia" w:ascii="黑体" w:hAnsi="黑体" w:eastAsia="黑体" w:cs="黑体"/>
          <w:color w:val="auto"/>
          <w:sz w:val="30"/>
          <w:szCs w:val="30"/>
        </w:rPr>
        <w:t>（一）提供基本公共卫生服务</w:t>
      </w:r>
    </w:p>
    <w:p w14:paraId="3AA144DA">
      <w:pPr>
        <w:keepNext w:val="0"/>
        <w:keepLines w:val="0"/>
        <w:pageBreakBefore w:val="0"/>
        <w:widowControl w:val="0"/>
        <w:tabs>
          <w:tab w:val="center" w:pos="4475"/>
        </w:tabs>
        <w:kinsoku/>
        <w:wordWrap/>
        <w:overflowPunct/>
        <w:topLinePunct w:val="0"/>
        <w:autoSpaceDE/>
        <w:autoSpaceDN/>
        <w:bidi w:val="0"/>
        <w:spacing w:line="600" w:lineRule="exact"/>
        <w:ind w:firstLine="645"/>
        <w:textAlignment w:val="auto"/>
        <w:rPr>
          <w:rFonts w:hint="eastAsia" w:ascii="仿宋_GB2312" w:hAnsi="宋体" w:eastAsia="仿宋_GB2312" w:cs="Times New Roman"/>
          <w:color w:val="auto"/>
          <w:szCs w:val="32"/>
          <w:highlight w:val="none"/>
          <w:lang w:eastAsia="zh-CN"/>
        </w:rPr>
      </w:pPr>
      <w:r>
        <w:rPr>
          <w:rFonts w:hint="eastAsia" w:ascii="仿宋_GB2312" w:hAnsi="宋体" w:eastAsia="仿宋_GB2312" w:cs="Times New Roman"/>
          <w:color w:val="auto"/>
          <w:szCs w:val="32"/>
          <w:highlight w:val="none"/>
          <w:lang w:eastAsia="zh-CN"/>
        </w:rPr>
        <w:t>1.承担农村居民健康档案规范建档指导、管理及服务。</w:t>
      </w:r>
    </w:p>
    <w:p w14:paraId="6082961A">
      <w:pPr>
        <w:keepNext w:val="0"/>
        <w:keepLines w:val="0"/>
        <w:pageBreakBefore w:val="0"/>
        <w:widowControl w:val="0"/>
        <w:tabs>
          <w:tab w:val="center" w:pos="4475"/>
        </w:tabs>
        <w:kinsoku/>
        <w:wordWrap/>
        <w:overflowPunct/>
        <w:topLinePunct w:val="0"/>
        <w:autoSpaceDE/>
        <w:autoSpaceDN/>
        <w:bidi w:val="0"/>
        <w:spacing w:line="600" w:lineRule="exact"/>
        <w:ind w:firstLine="645"/>
        <w:textAlignment w:val="auto"/>
        <w:rPr>
          <w:rFonts w:hint="eastAsia" w:ascii="仿宋_GB2312" w:hAnsi="宋体" w:eastAsia="仿宋_GB2312" w:cs="Times New Roman"/>
          <w:color w:val="auto"/>
          <w:szCs w:val="32"/>
          <w:highlight w:val="none"/>
          <w:lang w:eastAsia="zh-CN"/>
        </w:rPr>
      </w:pPr>
      <w:r>
        <w:rPr>
          <w:rFonts w:hint="eastAsia" w:ascii="仿宋_GB2312" w:hAnsi="宋体" w:eastAsia="仿宋_GB2312" w:cs="Times New Roman"/>
          <w:color w:val="auto"/>
          <w:szCs w:val="32"/>
          <w:highlight w:val="none"/>
          <w:lang w:eastAsia="zh-CN"/>
        </w:rPr>
        <w:t>2.普及卫生保健常识，在重点人群和重点场所开展</w:t>
      </w:r>
      <w:r>
        <w:rPr>
          <w:rFonts w:hint="eastAsia" w:ascii="仿宋_GB2312" w:hAnsi="宋体" w:cs="Times New Roman"/>
          <w:color w:val="auto"/>
          <w:szCs w:val="32"/>
          <w:highlight w:val="none"/>
          <w:lang w:eastAsia="zh-CN"/>
        </w:rPr>
        <w:t>健</w:t>
      </w:r>
    </w:p>
    <w:p w14:paraId="08E25080">
      <w:pPr>
        <w:keepNext w:val="0"/>
        <w:keepLines w:val="0"/>
        <w:pageBreakBefore w:val="0"/>
        <w:widowControl w:val="0"/>
        <w:tabs>
          <w:tab w:val="center" w:pos="4475"/>
        </w:tabs>
        <w:kinsoku/>
        <w:wordWrap/>
        <w:overflowPunct/>
        <w:topLinePunct w:val="0"/>
        <w:autoSpaceDE/>
        <w:autoSpaceDN/>
        <w:bidi w:val="0"/>
        <w:spacing w:line="600" w:lineRule="exact"/>
        <w:textAlignment w:val="auto"/>
        <w:rPr>
          <w:rFonts w:hint="eastAsia" w:ascii="仿宋_GB2312" w:hAnsi="宋体" w:eastAsia="仿宋_GB2312" w:cs="Times New Roman"/>
          <w:color w:val="auto"/>
          <w:szCs w:val="32"/>
          <w:highlight w:val="none"/>
          <w:lang w:eastAsia="zh-CN"/>
        </w:rPr>
      </w:pPr>
      <w:r>
        <w:rPr>
          <w:rFonts w:hint="eastAsia" w:ascii="仿宋_GB2312" w:hAnsi="宋体" w:eastAsia="仿宋_GB2312" w:cs="Times New Roman"/>
          <w:color w:val="auto"/>
          <w:szCs w:val="32"/>
          <w:highlight w:val="none"/>
          <w:lang w:eastAsia="zh-CN"/>
        </w:rPr>
        <w:t>康教育，帮助居民形成有利于维护和增进健康的行为方式</w:t>
      </w:r>
      <w:r>
        <w:rPr>
          <w:rFonts w:hint="eastAsia" w:ascii="仿宋_GB2312" w:hAnsi="宋体" w:cs="Times New Roman"/>
          <w:color w:val="auto"/>
          <w:szCs w:val="32"/>
          <w:highlight w:val="none"/>
          <w:lang w:eastAsia="zh-CN"/>
        </w:rPr>
        <w:t>，</w:t>
      </w:r>
      <w:r>
        <w:rPr>
          <w:rFonts w:hint="eastAsia" w:ascii="仿宋_GB2312" w:hAnsi="宋体" w:eastAsia="仿宋_GB2312" w:cs="Times New Roman"/>
          <w:color w:val="auto"/>
          <w:szCs w:val="32"/>
          <w:highlight w:val="none"/>
          <w:lang w:eastAsia="zh-CN"/>
        </w:rPr>
        <w:t>指导开展爱国卫生工作。</w:t>
      </w:r>
    </w:p>
    <w:p w14:paraId="66233806">
      <w:pPr>
        <w:keepNext w:val="0"/>
        <w:keepLines w:val="0"/>
        <w:pageBreakBefore w:val="0"/>
        <w:widowControl w:val="0"/>
        <w:tabs>
          <w:tab w:val="center" w:pos="4475"/>
        </w:tabs>
        <w:kinsoku/>
        <w:wordWrap/>
        <w:overflowPunct/>
        <w:topLinePunct w:val="0"/>
        <w:autoSpaceDE/>
        <w:autoSpaceDN/>
        <w:bidi w:val="0"/>
        <w:spacing w:line="600" w:lineRule="exact"/>
        <w:ind w:firstLine="645"/>
        <w:textAlignment w:val="auto"/>
        <w:rPr>
          <w:rFonts w:hint="eastAsia" w:ascii="仿宋_GB2312" w:hAnsi="宋体" w:eastAsia="仿宋_GB2312" w:cs="Times New Roman"/>
          <w:color w:val="auto"/>
          <w:szCs w:val="32"/>
          <w:highlight w:val="none"/>
          <w:lang w:eastAsia="zh-CN"/>
        </w:rPr>
      </w:pPr>
      <w:r>
        <w:rPr>
          <w:rFonts w:hint="eastAsia" w:ascii="仿宋_GB2312" w:hAnsi="宋体" w:eastAsia="仿宋_GB2312" w:cs="Times New Roman"/>
          <w:color w:val="auto"/>
          <w:szCs w:val="32"/>
          <w:highlight w:val="none"/>
          <w:lang w:eastAsia="zh-CN"/>
        </w:rPr>
        <w:t>3.提供并组织实施辖区预防接种服务</w:t>
      </w:r>
      <w:r>
        <w:rPr>
          <w:rFonts w:hint="eastAsia" w:ascii="仿宋_GB2312" w:hAnsi="宋体" w:cs="Times New Roman"/>
          <w:color w:val="auto"/>
          <w:szCs w:val="32"/>
          <w:highlight w:val="none"/>
          <w:lang w:eastAsia="zh-CN"/>
        </w:rPr>
        <w:t>，</w:t>
      </w:r>
      <w:r>
        <w:rPr>
          <w:rFonts w:hint="eastAsia" w:ascii="仿宋_GB2312" w:hAnsi="宋体" w:eastAsia="仿宋_GB2312" w:cs="Times New Roman"/>
          <w:color w:val="auto"/>
          <w:szCs w:val="32"/>
          <w:highlight w:val="none"/>
          <w:lang w:eastAsia="zh-CN"/>
        </w:rPr>
        <w:t>落实国家免疫</w:t>
      </w:r>
    </w:p>
    <w:p w14:paraId="29B5EAAA">
      <w:pPr>
        <w:keepNext w:val="0"/>
        <w:keepLines w:val="0"/>
        <w:pageBreakBefore w:val="0"/>
        <w:widowControl w:val="0"/>
        <w:tabs>
          <w:tab w:val="center" w:pos="4475"/>
        </w:tabs>
        <w:kinsoku/>
        <w:wordWrap/>
        <w:overflowPunct/>
        <w:topLinePunct w:val="0"/>
        <w:autoSpaceDE/>
        <w:autoSpaceDN/>
        <w:bidi w:val="0"/>
        <w:spacing w:line="600" w:lineRule="exact"/>
        <w:textAlignment w:val="auto"/>
        <w:rPr>
          <w:rFonts w:hint="eastAsia" w:ascii="仿宋_GB2312" w:hAnsi="宋体" w:eastAsia="仿宋_GB2312" w:cs="Times New Roman"/>
          <w:color w:val="auto"/>
          <w:szCs w:val="32"/>
          <w:highlight w:val="none"/>
          <w:lang w:eastAsia="zh-CN"/>
        </w:rPr>
      </w:pPr>
      <w:r>
        <w:rPr>
          <w:rFonts w:hint="eastAsia" w:ascii="仿宋_GB2312" w:hAnsi="宋体" w:eastAsia="仿宋_GB2312" w:cs="Times New Roman"/>
          <w:color w:val="auto"/>
          <w:szCs w:val="32"/>
          <w:highlight w:val="none"/>
          <w:lang w:eastAsia="zh-CN"/>
        </w:rPr>
        <w:t>规划。</w:t>
      </w:r>
    </w:p>
    <w:p w14:paraId="7AE1DB9B">
      <w:pPr>
        <w:keepNext w:val="0"/>
        <w:keepLines w:val="0"/>
        <w:pageBreakBefore w:val="0"/>
        <w:widowControl w:val="0"/>
        <w:tabs>
          <w:tab w:val="center" w:pos="4475"/>
        </w:tabs>
        <w:kinsoku/>
        <w:wordWrap/>
        <w:overflowPunct/>
        <w:topLinePunct w:val="0"/>
        <w:autoSpaceDE/>
        <w:autoSpaceDN/>
        <w:bidi w:val="0"/>
        <w:spacing w:line="600" w:lineRule="exact"/>
        <w:ind w:firstLine="645"/>
        <w:textAlignment w:val="auto"/>
        <w:rPr>
          <w:rFonts w:hint="eastAsia" w:ascii="仿宋_GB2312" w:hAnsi="宋体" w:eastAsia="仿宋_GB2312" w:cs="Times New Roman"/>
          <w:color w:val="auto"/>
          <w:szCs w:val="32"/>
          <w:highlight w:val="none"/>
          <w:lang w:eastAsia="zh-CN"/>
        </w:rPr>
      </w:pPr>
      <w:r>
        <w:rPr>
          <w:rFonts w:hint="eastAsia" w:ascii="仿宋_GB2312" w:hAnsi="宋体" w:eastAsia="仿宋_GB2312" w:cs="Times New Roman"/>
          <w:color w:val="auto"/>
          <w:szCs w:val="32"/>
          <w:highlight w:val="none"/>
          <w:lang w:eastAsia="zh-CN"/>
        </w:rPr>
        <w:t>4.及时发现、登记并报告辖区内发现的传染病病例和</w:t>
      </w:r>
    </w:p>
    <w:p w14:paraId="1DCF3E22">
      <w:pPr>
        <w:keepNext w:val="0"/>
        <w:keepLines w:val="0"/>
        <w:pageBreakBefore w:val="0"/>
        <w:widowControl w:val="0"/>
        <w:tabs>
          <w:tab w:val="center" w:pos="4475"/>
        </w:tabs>
        <w:kinsoku/>
        <w:wordWrap/>
        <w:overflowPunct/>
        <w:topLinePunct w:val="0"/>
        <w:autoSpaceDE/>
        <w:autoSpaceDN/>
        <w:bidi w:val="0"/>
        <w:spacing w:line="600" w:lineRule="exact"/>
        <w:textAlignment w:val="auto"/>
        <w:rPr>
          <w:rFonts w:hint="eastAsia" w:ascii="仿宋_GB2312" w:hAnsi="宋体" w:eastAsia="仿宋_GB2312" w:cs="Times New Roman"/>
          <w:color w:val="auto"/>
          <w:szCs w:val="32"/>
          <w:highlight w:val="none"/>
          <w:lang w:eastAsia="zh-CN"/>
        </w:rPr>
      </w:pPr>
      <w:r>
        <w:rPr>
          <w:rFonts w:hint="eastAsia" w:ascii="仿宋_GB2312" w:hAnsi="宋体" w:eastAsia="仿宋_GB2312" w:cs="Times New Roman"/>
          <w:color w:val="auto"/>
          <w:szCs w:val="32"/>
          <w:highlight w:val="none"/>
          <w:lang w:eastAsia="zh-CN"/>
        </w:rPr>
        <w:t>疑似病例，参与现场疫情处理。</w:t>
      </w:r>
    </w:p>
    <w:p w14:paraId="055D1502">
      <w:pPr>
        <w:keepNext w:val="0"/>
        <w:keepLines w:val="0"/>
        <w:pageBreakBefore w:val="0"/>
        <w:widowControl w:val="0"/>
        <w:tabs>
          <w:tab w:val="center" w:pos="4475"/>
        </w:tabs>
        <w:kinsoku/>
        <w:wordWrap/>
        <w:overflowPunct/>
        <w:topLinePunct w:val="0"/>
        <w:autoSpaceDE/>
        <w:autoSpaceDN/>
        <w:bidi w:val="0"/>
        <w:spacing w:line="600" w:lineRule="exact"/>
        <w:ind w:firstLine="645"/>
        <w:textAlignment w:val="auto"/>
        <w:rPr>
          <w:rFonts w:hint="eastAsia" w:ascii="仿宋_GB2312" w:hAnsi="宋体" w:eastAsia="仿宋_GB2312" w:cs="Times New Roman"/>
          <w:color w:val="auto"/>
          <w:szCs w:val="32"/>
          <w:highlight w:val="none"/>
          <w:lang w:eastAsia="zh-CN"/>
        </w:rPr>
      </w:pPr>
      <w:r>
        <w:rPr>
          <w:rFonts w:hint="eastAsia" w:ascii="仿宋_GB2312" w:hAnsi="宋体" w:eastAsia="仿宋_GB2312" w:cs="Times New Roman"/>
          <w:color w:val="auto"/>
          <w:szCs w:val="32"/>
          <w:highlight w:val="none"/>
          <w:lang w:eastAsia="zh-CN"/>
        </w:rPr>
        <w:t>5.开展新生儿访视及儿童保健系统管理，进行体格检</w:t>
      </w:r>
    </w:p>
    <w:p w14:paraId="31FEE5A5">
      <w:pPr>
        <w:keepNext w:val="0"/>
        <w:keepLines w:val="0"/>
        <w:pageBreakBefore w:val="0"/>
        <w:widowControl w:val="0"/>
        <w:tabs>
          <w:tab w:val="center" w:pos="4475"/>
        </w:tabs>
        <w:kinsoku/>
        <w:wordWrap/>
        <w:overflowPunct/>
        <w:topLinePunct w:val="0"/>
        <w:autoSpaceDE/>
        <w:autoSpaceDN/>
        <w:bidi w:val="0"/>
        <w:spacing w:line="600" w:lineRule="exact"/>
        <w:textAlignment w:val="auto"/>
        <w:rPr>
          <w:rFonts w:hint="eastAsia" w:ascii="仿宋_GB2312" w:hAnsi="宋体" w:eastAsia="仿宋_GB2312" w:cs="Times New Roman"/>
          <w:color w:val="auto"/>
          <w:szCs w:val="32"/>
          <w:highlight w:val="none"/>
          <w:lang w:eastAsia="zh-CN"/>
        </w:rPr>
      </w:pPr>
      <w:r>
        <w:rPr>
          <w:rFonts w:hint="eastAsia" w:ascii="仿宋_GB2312" w:hAnsi="宋体" w:eastAsia="仿宋_GB2312" w:cs="Times New Roman"/>
          <w:color w:val="auto"/>
          <w:szCs w:val="32"/>
          <w:highlight w:val="none"/>
          <w:lang w:eastAsia="zh-CN"/>
        </w:rPr>
        <w:t>查和生长发育监测及评价，开展健康指导。</w:t>
      </w:r>
    </w:p>
    <w:p w14:paraId="3E75A70D">
      <w:pPr>
        <w:keepNext w:val="0"/>
        <w:keepLines w:val="0"/>
        <w:pageBreakBefore w:val="0"/>
        <w:widowControl w:val="0"/>
        <w:tabs>
          <w:tab w:val="center" w:pos="4475"/>
        </w:tabs>
        <w:kinsoku/>
        <w:wordWrap/>
        <w:overflowPunct/>
        <w:topLinePunct w:val="0"/>
        <w:autoSpaceDE/>
        <w:autoSpaceDN/>
        <w:bidi w:val="0"/>
        <w:spacing w:line="600" w:lineRule="exact"/>
        <w:ind w:firstLine="645"/>
        <w:textAlignment w:val="auto"/>
        <w:rPr>
          <w:rFonts w:hint="eastAsia" w:ascii="仿宋_GB2312" w:hAnsi="宋体" w:eastAsia="仿宋_GB2312" w:cs="Times New Roman"/>
          <w:color w:val="auto"/>
          <w:szCs w:val="32"/>
          <w:highlight w:val="none"/>
          <w:lang w:eastAsia="zh-CN"/>
        </w:rPr>
      </w:pPr>
      <w:r>
        <w:rPr>
          <w:rFonts w:hint="eastAsia" w:ascii="仿宋_GB2312" w:hAnsi="宋体" w:eastAsia="仿宋_GB2312" w:cs="Times New Roman"/>
          <w:color w:val="auto"/>
          <w:szCs w:val="32"/>
          <w:highlight w:val="none"/>
          <w:lang w:eastAsia="zh-CN"/>
        </w:rPr>
        <w:t>6.开展孕产妇保健系统管理和产后访视，进行一般体</w:t>
      </w:r>
    </w:p>
    <w:p w14:paraId="41EA963C">
      <w:pPr>
        <w:keepNext w:val="0"/>
        <w:keepLines w:val="0"/>
        <w:pageBreakBefore w:val="0"/>
        <w:widowControl w:val="0"/>
        <w:tabs>
          <w:tab w:val="center" w:pos="4475"/>
        </w:tabs>
        <w:kinsoku/>
        <w:wordWrap/>
        <w:overflowPunct/>
        <w:topLinePunct w:val="0"/>
        <w:autoSpaceDE/>
        <w:autoSpaceDN/>
        <w:bidi w:val="0"/>
        <w:spacing w:line="600" w:lineRule="exact"/>
        <w:textAlignment w:val="auto"/>
        <w:rPr>
          <w:rFonts w:hint="eastAsia" w:ascii="仿宋_GB2312" w:hAnsi="宋体" w:eastAsia="仿宋_GB2312" w:cs="Times New Roman"/>
          <w:color w:val="auto"/>
          <w:szCs w:val="32"/>
          <w:highlight w:val="none"/>
          <w:lang w:eastAsia="zh-CN"/>
        </w:rPr>
      </w:pPr>
      <w:r>
        <w:rPr>
          <w:rFonts w:hint="eastAsia" w:ascii="仿宋_GB2312" w:hAnsi="宋体" w:eastAsia="仿宋_GB2312" w:cs="Times New Roman"/>
          <w:color w:val="auto"/>
          <w:szCs w:val="32"/>
          <w:highlight w:val="none"/>
          <w:lang w:eastAsia="zh-CN"/>
        </w:rPr>
        <w:t>格检查及孕期营养、心理等健康指导。</w:t>
      </w:r>
    </w:p>
    <w:p w14:paraId="353FCA27">
      <w:pPr>
        <w:keepNext w:val="0"/>
        <w:keepLines w:val="0"/>
        <w:pageBreakBefore w:val="0"/>
        <w:widowControl w:val="0"/>
        <w:tabs>
          <w:tab w:val="center" w:pos="4475"/>
        </w:tabs>
        <w:kinsoku/>
        <w:wordWrap/>
        <w:overflowPunct/>
        <w:topLinePunct w:val="0"/>
        <w:autoSpaceDE/>
        <w:autoSpaceDN/>
        <w:bidi w:val="0"/>
        <w:spacing w:line="600" w:lineRule="exact"/>
        <w:ind w:firstLine="645"/>
        <w:textAlignment w:val="auto"/>
        <w:rPr>
          <w:rFonts w:hint="eastAsia" w:ascii="仿宋_GB2312" w:hAnsi="宋体" w:eastAsia="仿宋_GB2312" w:cs="Times New Roman"/>
          <w:color w:val="auto"/>
          <w:szCs w:val="32"/>
          <w:highlight w:val="none"/>
          <w:lang w:eastAsia="zh-CN"/>
        </w:rPr>
      </w:pPr>
      <w:r>
        <w:rPr>
          <w:rFonts w:hint="eastAsia" w:ascii="仿宋_GB2312" w:hAnsi="宋体" w:eastAsia="仿宋_GB2312" w:cs="Times New Roman"/>
          <w:color w:val="auto"/>
          <w:szCs w:val="32"/>
          <w:highlight w:val="none"/>
          <w:lang w:eastAsia="zh-CN"/>
        </w:rPr>
        <w:t>7. 对辖区65岁及以上老年人进行登记管理，进行健康</w:t>
      </w:r>
    </w:p>
    <w:p w14:paraId="366B15B6">
      <w:pPr>
        <w:keepNext w:val="0"/>
        <w:keepLines w:val="0"/>
        <w:pageBreakBefore w:val="0"/>
        <w:widowControl w:val="0"/>
        <w:tabs>
          <w:tab w:val="center" w:pos="4475"/>
        </w:tabs>
        <w:kinsoku/>
        <w:wordWrap/>
        <w:overflowPunct/>
        <w:topLinePunct w:val="0"/>
        <w:autoSpaceDE/>
        <w:autoSpaceDN/>
        <w:bidi w:val="0"/>
        <w:spacing w:line="600" w:lineRule="exact"/>
        <w:textAlignment w:val="auto"/>
        <w:rPr>
          <w:rFonts w:hint="eastAsia" w:ascii="仿宋_GB2312" w:hAnsi="宋体" w:eastAsia="仿宋_GB2312" w:cs="Times New Roman"/>
          <w:color w:val="auto"/>
          <w:szCs w:val="32"/>
          <w:highlight w:val="none"/>
          <w:lang w:eastAsia="zh-CN"/>
        </w:rPr>
      </w:pPr>
      <w:r>
        <w:rPr>
          <w:rFonts w:hint="eastAsia" w:ascii="仿宋_GB2312" w:hAnsi="宋体" w:eastAsia="仿宋_GB2312" w:cs="Times New Roman"/>
          <w:color w:val="auto"/>
          <w:szCs w:val="32"/>
          <w:highlight w:val="none"/>
          <w:lang w:eastAsia="zh-CN"/>
        </w:rPr>
        <w:t>危险因素调查和一般体格检查，开展健康指导。</w:t>
      </w:r>
    </w:p>
    <w:p w14:paraId="4A526C9F">
      <w:pPr>
        <w:keepNext w:val="0"/>
        <w:keepLines w:val="0"/>
        <w:pageBreakBefore w:val="0"/>
        <w:widowControl w:val="0"/>
        <w:tabs>
          <w:tab w:val="center" w:pos="4475"/>
        </w:tabs>
        <w:kinsoku/>
        <w:wordWrap/>
        <w:overflowPunct/>
        <w:topLinePunct w:val="0"/>
        <w:autoSpaceDE/>
        <w:autoSpaceDN/>
        <w:bidi w:val="0"/>
        <w:spacing w:line="600" w:lineRule="exact"/>
        <w:ind w:firstLine="645"/>
        <w:textAlignment w:val="auto"/>
        <w:rPr>
          <w:rFonts w:hint="eastAsia" w:ascii="仿宋_GB2312" w:hAnsi="宋体" w:eastAsia="仿宋_GB2312" w:cs="Times New Roman"/>
          <w:color w:val="auto"/>
          <w:szCs w:val="32"/>
          <w:highlight w:val="none"/>
          <w:lang w:eastAsia="zh-CN"/>
        </w:rPr>
      </w:pPr>
      <w:r>
        <w:rPr>
          <w:rFonts w:hint="eastAsia" w:ascii="仿宋_GB2312" w:hAnsi="宋体" w:eastAsia="仿宋_GB2312" w:cs="Times New Roman"/>
          <w:color w:val="auto"/>
          <w:szCs w:val="32"/>
          <w:highlight w:val="none"/>
          <w:lang w:eastAsia="zh-CN"/>
        </w:rPr>
        <w:t>8. 对高血压、糖尿病等慢性病高危人群进行指导，对</w:t>
      </w:r>
    </w:p>
    <w:p w14:paraId="12BBF2DC">
      <w:pPr>
        <w:keepNext w:val="0"/>
        <w:keepLines w:val="0"/>
        <w:pageBreakBefore w:val="0"/>
        <w:widowControl w:val="0"/>
        <w:tabs>
          <w:tab w:val="center" w:pos="4475"/>
        </w:tabs>
        <w:kinsoku/>
        <w:wordWrap/>
        <w:overflowPunct/>
        <w:topLinePunct w:val="0"/>
        <w:autoSpaceDE/>
        <w:autoSpaceDN/>
        <w:bidi w:val="0"/>
        <w:spacing w:line="600" w:lineRule="exact"/>
        <w:textAlignment w:val="auto"/>
        <w:rPr>
          <w:rFonts w:hint="eastAsia" w:ascii="仿宋_GB2312" w:hAnsi="宋体" w:eastAsia="仿宋_GB2312" w:cs="Times New Roman"/>
          <w:color w:val="auto"/>
          <w:szCs w:val="32"/>
          <w:highlight w:val="none"/>
          <w:lang w:eastAsia="zh-CN"/>
        </w:rPr>
      </w:pPr>
      <w:r>
        <w:rPr>
          <w:rFonts w:hint="eastAsia" w:ascii="仿宋_GB2312" w:hAnsi="宋体" w:eastAsia="仿宋_GB2312" w:cs="Times New Roman"/>
          <w:color w:val="auto"/>
          <w:szCs w:val="32"/>
          <w:highlight w:val="none"/>
          <w:lang w:eastAsia="zh-CN"/>
        </w:rPr>
        <w:t>确诊高血压、糖尿病等慢性病病例进行登记管理、定期随访和健康指导。</w:t>
      </w:r>
    </w:p>
    <w:p w14:paraId="28140CFF">
      <w:pPr>
        <w:keepNext w:val="0"/>
        <w:keepLines w:val="0"/>
        <w:pageBreakBefore w:val="0"/>
        <w:widowControl w:val="0"/>
        <w:tabs>
          <w:tab w:val="center" w:pos="4475"/>
        </w:tabs>
        <w:kinsoku/>
        <w:wordWrap/>
        <w:overflowPunct/>
        <w:topLinePunct w:val="0"/>
        <w:autoSpaceDE/>
        <w:autoSpaceDN/>
        <w:bidi w:val="0"/>
        <w:spacing w:line="600" w:lineRule="exact"/>
        <w:ind w:firstLine="645"/>
        <w:textAlignment w:val="auto"/>
        <w:rPr>
          <w:rFonts w:hint="eastAsia" w:ascii="仿宋_GB2312" w:hAnsi="宋体" w:eastAsia="仿宋_GB2312" w:cs="Times New Roman"/>
          <w:color w:val="auto"/>
          <w:szCs w:val="32"/>
          <w:highlight w:val="none"/>
          <w:lang w:eastAsia="zh-CN"/>
        </w:rPr>
      </w:pPr>
      <w:r>
        <w:rPr>
          <w:rFonts w:hint="eastAsia" w:ascii="仿宋_GB2312" w:hAnsi="宋体" w:eastAsia="仿宋_GB2312" w:cs="Times New Roman"/>
          <w:color w:val="auto"/>
          <w:szCs w:val="32"/>
          <w:highlight w:val="none"/>
          <w:lang w:eastAsia="zh-CN"/>
        </w:rPr>
        <w:t>9.对辖区重性精神疾病患者进行登记管理、治疗随访和康复指导。</w:t>
      </w:r>
    </w:p>
    <w:p w14:paraId="22DD3FE5">
      <w:pPr>
        <w:keepNext w:val="0"/>
        <w:keepLines w:val="0"/>
        <w:pageBreakBefore w:val="0"/>
        <w:widowControl w:val="0"/>
        <w:tabs>
          <w:tab w:val="center" w:pos="4475"/>
        </w:tabs>
        <w:kinsoku/>
        <w:wordWrap/>
        <w:overflowPunct/>
        <w:topLinePunct w:val="0"/>
        <w:autoSpaceDE/>
        <w:autoSpaceDN/>
        <w:bidi w:val="0"/>
        <w:spacing w:line="600" w:lineRule="exact"/>
        <w:ind w:firstLine="645"/>
        <w:textAlignment w:val="auto"/>
        <w:rPr>
          <w:rFonts w:hint="eastAsia" w:ascii="仿宋_GB2312" w:hAnsi="宋体" w:eastAsia="仿宋_GB2312" w:cs="Times New Roman"/>
          <w:color w:val="auto"/>
          <w:szCs w:val="32"/>
          <w:highlight w:val="none"/>
          <w:lang w:eastAsia="zh-CN"/>
        </w:rPr>
      </w:pPr>
      <w:r>
        <w:rPr>
          <w:rFonts w:hint="eastAsia" w:ascii="仿宋_GB2312" w:hAnsi="宋体" w:eastAsia="仿宋_GB2312" w:cs="Times New Roman"/>
          <w:color w:val="auto"/>
          <w:szCs w:val="32"/>
          <w:highlight w:val="none"/>
          <w:lang w:eastAsia="zh-CN"/>
        </w:rPr>
        <w:t>10.负责辖区内突发公共卫生事件的报告并协助处理。</w:t>
      </w:r>
    </w:p>
    <w:p w14:paraId="389A8D5C">
      <w:pPr>
        <w:keepNext w:val="0"/>
        <w:keepLines w:val="0"/>
        <w:pageBreakBefore w:val="0"/>
        <w:widowControl w:val="0"/>
        <w:tabs>
          <w:tab w:val="center" w:pos="4475"/>
        </w:tabs>
        <w:kinsoku/>
        <w:wordWrap/>
        <w:overflowPunct/>
        <w:topLinePunct w:val="0"/>
        <w:autoSpaceDE/>
        <w:autoSpaceDN/>
        <w:bidi w:val="0"/>
        <w:spacing w:line="600" w:lineRule="exact"/>
        <w:ind w:firstLine="645"/>
        <w:textAlignment w:val="auto"/>
        <w:rPr>
          <w:rFonts w:hint="eastAsia" w:ascii="仿宋_GB2312" w:hAnsi="宋体" w:eastAsia="仿宋_GB2312" w:cs="Times New Roman"/>
          <w:color w:val="auto"/>
          <w:szCs w:val="32"/>
          <w:highlight w:val="none"/>
          <w:lang w:eastAsia="zh-CN"/>
        </w:rPr>
      </w:pPr>
      <w:r>
        <w:rPr>
          <w:rFonts w:hint="eastAsia" w:ascii="仿宋_GB2312" w:hAnsi="宋体" w:eastAsia="仿宋_GB2312" w:cs="Times New Roman"/>
          <w:color w:val="auto"/>
          <w:szCs w:val="32"/>
          <w:highlight w:val="none"/>
          <w:lang w:eastAsia="zh-CN"/>
        </w:rPr>
        <w:t>11.做好卫生行政部门规定的其他公共卫生服务。</w:t>
      </w:r>
    </w:p>
    <w:p w14:paraId="7464C17C">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黑体" w:hAnsi="黑体" w:eastAsia="黑体" w:cs="黑体"/>
          <w:color w:val="auto"/>
          <w:sz w:val="30"/>
          <w:szCs w:val="30"/>
        </w:rPr>
      </w:pPr>
      <w:r>
        <w:rPr>
          <w:rFonts w:hint="eastAsia" w:ascii="黑体" w:hAnsi="黑体" w:eastAsia="黑体" w:cs="黑体"/>
          <w:color w:val="auto"/>
          <w:sz w:val="30"/>
          <w:szCs w:val="30"/>
        </w:rPr>
        <w:t>（二）提供基本医疗服务</w:t>
      </w:r>
    </w:p>
    <w:p w14:paraId="41B67710">
      <w:pPr>
        <w:keepNext w:val="0"/>
        <w:keepLines w:val="0"/>
        <w:pageBreakBefore w:val="0"/>
        <w:widowControl w:val="0"/>
        <w:tabs>
          <w:tab w:val="center" w:pos="4475"/>
        </w:tabs>
        <w:kinsoku/>
        <w:wordWrap/>
        <w:overflowPunct/>
        <w:topLinePunct w:val="0"/>
        <w:autoSpaceDE/>
        <w:autoSpaceDN/>
        <w:bidi w:val="0"/>
        <w:spacing w:line="600" w:lineRule="exact"/>
        <w:ind w:firstLine="645"/>
        <w:textAlignment w:val="auto"/>
        <w:rPr>
          <w:rFonts w:hint="eastAsia" w:ascii="仿宋_GB2312" w:hAnsi="宋体" w:eastAsia="仿宋_GB2312" w:cs="Times New Roman"/>
          <w:color w:val="auto"/>
          <w:szCs w:val="32"/>
          <w:highlight w:val="none"/>
          <w:lang w:eastAsia="zh-CN"/>
        </w:rPr>
      </w:pPr>
      <w:r>
        <w:rPr>
          <w:rFonts w:hint="eastAsia" w:ascii="仿宋_GB2312" w:hAnsi="宋体" w:eastAsia="仿宋_GB2312" w:cs="Times New Roman"/>
          <w:color w:val="auto"/>
          <w:szCs w:val="32"/>
          <w:highlight w:val="none"/>
          <w:lang w:eastAsia="zh-CN"/>
        </w:rPr>
        <w:t>1.使用农村适宜医疗技术和中医药技术，正确处理常见病、多发病，对疑难重症进行恰当的处理并转诊。承担乡村现场应急救护、转诊服务和康复服务</w:t>
      </w:r>
      <w:r>
        <w:rPr>
          <w:rFonts w:hint="eastAsia" w:ascii="仿宋_GB2312" w:hAnsi="宋体" w:cs="Times New Roman"/>
          <w:color w:val="auto"/>
          <w:szCs w:val="32"/>
          <w:highlight w:val="none"/>
          <w:lang w:eastAsia="zh-CN"/>
        </w:rPr>
        <w:t>。</w:t>
      </w:r>
    </w:p>
    <w:p w14:paraId="3930C22B">
      <w:pPr>
        <w:keepNext w:val="0"/>
        <w:keepLines w:val="0"/>
        <w:pageBreakBefore w:val="0"/>
        <w:widowControl w:val="0"/>
        <w:tabs>
          <w:tab w:val="center" w:pos="4475"/>
        </w:tabs>
        <w:kinsoku/>
        <w:wordWrap/>
        <w:overflowPunct/>
        <w:topLinePunct w:val="0"/>
        <w:autoSpaceDE/>
        <w:autoSpaceDN/>
        <w:bidi w:val="0"/>
        <w:spacing w:line="600" w:lineRule="exact"/>
        <w:ind w:firstLine="645"/>
        <w:textAlignment w:val="auto"/>
        <w:rPr>
          <w:rFonts w:hint="eastAsia" w:ascii="仿宋_GB2312" w:hAnsi="宋体" w:eastAsia="仿宋_GB2312" w:cs="Times New Roman"/>
          <w:color w:val="auto"/>
          <w:szCs w:val="32"/>
          <w:highlight w:val="none"/>
          <w:lang w:eastAsia="zh-CN"/>
        </w:rPr>
      </w:pPr>
      <w:r>
        <w:rPr>
          <w:rFonts w:hint="eastAsia" w:ascii="仿宋_GB2312" w:hAnsi="宋体" w:eastAsia="仿宋_GB2312" w:cs="Times New Roman"/>
          <w:color w:val="auto"/>
          <w:szCs w:val="32"/>
          <w:highlight w:val="none"/>
          <w:lang w:eastAsia="zh-CN"/>
        </w:rPr>
        <w:t>2.具备处理孕产妇顺产能力，能完成外科的止血、缝合、包扎、骨折固定等处置。</w:t>
      </w:r>
    </w:p>
    <w:p w14:paraId="49425098">
      <w:pPr>
        <w:keepNext w:val="0"/>
        <w:keepLines w:val="0"/>
        <w:pageBreakBefore w:val="0"/>
        <w:widowControl w:val="0"/>
        <w:tabs>
          <w:tab w:val="center" w:pos="4475"/>
        </w:tabs>
        <w:kinsoku/>
        <w:wordWrap/>
        <w:overflowPunct/>
        <w:topLinePunct w:val="0"/>
        <w:autoSpaceDE/>
        <w:autoSpaceDN/>
        <w:bidi w:val="0"/>
        <w:spacing w:line="600" w:lineRule="exact"/>
        <w:ind w:firstLine="645"/>
        <w:textAlignment w:val="auto"/>
        <w:rPr>
          <w:rFonts w:hint="eastAsia" w:ascii="仿宋_GB2312" w:hAnsi="宋体" w:eastAsia="仿宋_GB2312" w:cs="Times New Roman"/>
          <w:color w:val="auto"/>
          <w:szCs w:val="32"/>
          <w:highlight w:val="none"/>
          <w:lang w:eastAsia="zh-CN"/>
        </w:rPr>
      </w:pPr>
      <w:r>
        <w:rPr>
          <w:rFonts w:hint="eastAsia" w:ascii="仿宋_GB2312" w:hAnsi="宋体" w:eastAsia="仿宋_GB2312" w:cs="Times New Roman"/>
          <w:color w:val="auto"/>
          <w:szCs w:val="32"/>
          <w:highlight w:val="none"/>
          <w:lang w:eastAsia="zh-CN"/>
        </w:rPr>
        <w:t>3.健全消毒、隔离制度，遵守无菌操作规程</w:t>
      </w:r>
      <w:r>
        <w:rPr>
          <w:rFonts w:hint="eastAsia" w:ascii="仿宋_GB2312" w:hAnsi="宋体" w:cs="Times New Roman"/>
          <w:color w:val="auto"/>
          <w:szCs w:val="32"/>
          <w:highlight w:val="none"/>
          <w:lang w:eastAsia="zh-CN"/>
        </w:rPr>
        <w:t>，</w:t>
      </w:r>
      <w:r>
        <w:rPr>
          <w:rFonts w:hint="eastAsia" w:ascii="仿宋_GB2312" w:hAnsi="宋体" w:eastAsia="仿宋_GB2312" w:cs="Times New Roman"/>
          <w:color w:val="auto"/>
          <w:szCs w:val="32"/>
          <w:highlight w:val="none"/>
          <w:lang w:eastAsia="zh-CN"/>
        </w:rPr>
        <w:t>加强医疗质量管理。做好医疗废物处理和污水、污物无害化处理。</w:t>
      </w:r>
    </w:p>
    <w:p w14:paraId="72986B6A">
      <w:pPr>
        <w:keepNext w:val="0"/>
        <w:keepLines w:val="0"/>
        <w:pageBreakBefore w:val="0"/>
        <w:widowControl w:val="0"/>
        <w:tabs>
          <w:tab w:val="center" w:pos="4475"/>
        </w:tabs>
        <w:kinsoku/>
        <w:wordWrap/>
        <w:overflowPunct/>
        <w:topLinePunct w:val="0"/>
        <w:autoSpaceDE/>
        <w:autoSpaceDN/>
        <w:bidi w:val="0"/>
        <w:spacing w:line="600" w:lineRule="exact"/>
        <w:ind w:firstLine="645"/>
        <w:textAlignment w:val="auto"/>
        <w:rPr>
          <w:rFonts w:hint="eastAsia" w:ascii="仿宋_GB2312" w:hAnsi="宋体" w:eastAsia="仿宋_GB2312" w:cs="Times New Roman"/>
          <w:color w:val="auto"/>
          <w:szCs w:val="32"/>
          <w:highlight w:val="none"/>
          <w:lang w:eastAsia="zh-CN"/>
        </w:rPr>
      </w:pPr>
      <w:r>
        <w:rPr>
          <w:rFonts w:hint="eastAsia" w:ascii="仿宋_GB2312" w:hAnsi="宋体" w:eastAsia="仿宋_GB2312" w:cs="Times New Roman"/>
          <w:color w:val="auto"/>
          <w:szCs w:val="32"/>
          <w:highlight w:val="none"/>
          <w:lang w:eastAsia="zh-CN"/>
        </w:rPr>
        <w:t>4.执行国家基本药物制度药品集中采购、零差率销售等政策，为实施一体化管理的村卫生室统一代购药品。</w:t>
      </w:r>
    </w:p>
    <w:p w14:paraId="314C750F">
      <w:pPr>
        <w:keepNext w:val="0"/>
        <w:keepLines w:val="0"/>
        <w:pageBreakBefore w:val="0"/>
        <w:widowControl w:val="0"/>
        <w:tabs>
          <w:tab w:val="center" w:pos="4475"/>
        </w:tabs>
        <w:kinsoku/>
        <w:wordWrap/>
        <w:overflowPunct/>
        <w:topLinePunct w:val="0"/>
        <w:autoSpaceDE/>
        <w:autoSpaceDN/>
        <w:bidi w:val="0"/>
        <w:spacing w:line="600" w:lineRule="exact"/>
        <w:ind w:firstLine="645"/>
        <w:textAlignment w:val="auto"/>
        <w:rPr>
          <w:rFonts w:hint="eastAsia" w:ascii="仿宋_GB2312" w:hAnsi="宋体" w:eastAsia="仿宋_GB2312" w:cs="Times New Roman"/>
          <w:color w:val="auto"/>
          <w:szCs w:val="32"/>
          <w:highlight w:val="none"/>
          <w:lang w:eastAsia="zh-CN"/>
        </w:rPr>
      </w:pPr>
      <w:r>
        <w:rPr>
          <w:rFonts w:hint="eastAsia" w:ascii="仿宋_GB2312" w:hAnsi="宋体" w:eastAsia="仿宋_GB2312" w:cs="Times New Roman"/>
          <w:color w:val="auto"/>
          <w:szCs w:val="32"/>
          <w:highlight w:val="none"/>
          <w:lang w:eastAsia="zh-CN"/>
        </w:rPr>
        <w:t>5.提供政府卫生行政部门批准的其他适宜的医疗服务。</w:t>
      </w:r>
    </w:p>
    <w:p w14:paraId="595BD8A6">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黑体" w:hAnsi="黑体" w:eastAsia="黑体" w:cs="黑体"/>
          <w:color w:val="auto"/>
          <w:sz w:val="30"/>
          <w:szCs w:val="30"/>
        </w:rPr>
      </w:pPr>
      <w:r>
        <w:rPr>
          <w:rFonts w:hint="eastAsia" w:ascii="黑体" w:hAnsi="黑体" w:eastAsia="黑体" w:cs="黑体"/>
          <w:color w:val="auto"/>
          <w:sz w:val="30"/>
          <w:szCs w:val="30"/>
        </w:rPr>
        <w:t>（三）承担公共卫生管理</w:t>
      </w:r>
    </w:p>
    <w:p w14:paraId="3A58930B">
      <w:pPr>
        <w:keepNext w:val="0"/>
        <w:keepLines w:val="0"/>
        <w:pageBreakBefore w:val="0"/>
        <w:widowControl w:val="0"/>
        <w:tabs>
          <w:tab w:val="center" w:pos="4475"/>
        </w:tabs>
        <w:kinsoku/>
        <w:wordWrap/>
        <w:overflowPunct/>
        <w:topLinePunct w:val="0"/>
        <w:autoSpaceDE/>
        <w:autoSpaceDN/>
        <w:bidi w:val="0"/>
        <w:spacing w:line="600" w:lineRule="exact"/>
        <w:ind w:firstLine="645"/>
        <w:textAlignment w:val="auto"/>
        <w:rPr>
          <w:rFonts w:hint="eastAsia" w:ascii="仿宋_GB2312" w:hAnsi="宋体" w:eastAsia="仿宋_GB2312" w:cs="Times New Roman"/>
          <w:color w:val="auto"/>
          <w:szCs w:val="32"/>
          <w:highlight w:val="none"/>
          <w:lang w:eastAsia="zh-CN"/>
        </w:rPr>
      </w:pPr>
      <w:r>
        <w:rPr>
          <w:rFonts w:hint="eastAsia" w:ascii="仿宋_GB2312" w:hAnsi="宋体" w:eastAsia="仿宋_GB2312" w:cs="Times New Roman"/>
          <w:color w:val="auto"/>
          <w:szCs w:val="32"/>
          <w:highlight w:val="none"/>
          <w:lang w:eastAsia="zh-CN"/>
        </w:rPr>
        <w:t>1.对辖区内传染病防治、学校卫生、食品卫生、饮水</w:t>
      </w:r>
      <w:r>
        <w:rPr>
          <w:rFonts w:hint="eastAsia" w:ascii="仿宋_GB2312" w:hAnsi="宋体" w:cs="Times New Roman"/>
          <w:color w:val="auto"/>
          <w:szCs w:val="32"/>
          <w:highlight w:val="none"/>
          <w:lang w:eastAsia="zh-CN"/>
        </w:rPr>
        <w:t>卫</w:t>
      </w:r>
    </w:p>
    <w:p w14:paraId="32E29D65">
      <w:pPr>
        <w:keepNext w:val="0"/>
        <w:keepLines w:val="0"/>
        <w:pageBreakBefore w:val="0"/>
        <w:widowControl w:val="0"/>
        <w:tabs>
          <w:tab w:val="center" w:pos="4475"/>
        </w:tabs>
        <w:kinsoku/>
        <w:wordWrap/>
        <w:overflowPunct/>
        <w:topLinePunct w:val="0"/>
        <w:autoSpaceDE/>
        <w:autoSpaceDN/>
        <w:bidi w:val="0"/>
        <w:spacing w:line="600" w:lineRule="exact"/>
        <w:textAlignment w:val="auto"/>
        <w:rPr>
          <w:rFonts w:hint="eastAsia" w:ascii="仿宋_GB2312" w:hAnsi="宋体" w:eastAsia="仿宋_GB2312" w:cs="Times New Roman"/>
          <w:color w:val="auto"/>
          <w:szCs w:val="32"/>
          <w:highlight w:val="none"/>
          <w:lang w:eastAsia="zh-CN"/>
        </w:rPr>
      </w:pPr>
      <w:r>
        <w:rPr>
          <w:rFonts w:hint="eastAsia" w:ascii="仿宋_GB2312" w:hAnsi="宋体" w:eastAsia="仿宋_GB2312" w:cs="Times New Roman"/>
          <w:color w:val="auto"/>
          <w:szCs w:val="32"/>
          <w:highlight w:val="none"/>
          <w:lang w:eastAsia="zh-CN"/>
        </w:rPr>
        <w:t>生、职业卫生，以及村级预防保健工作进行指导、培训、考核与监督。</w:t>
      </w:r>
    </w:p>
    <w:p w14:paraId="6012C633">
      <w:pPr>
        <w:keepNext w:val="0"/>
        <w:keepLines w:val="0"/>
        <w:pageBreakBefore w:val="0"/>
        <w:widowControl w:val="0"/>
        <w:tabs>
          <w:tab w:val="center" w:pos="4475"/>
        </w:tabs>
        <w:kinsoku/>
        <w:wordWrap/>
        <w:overflowPunct/>
        <w:topLinePunct w:val="0"/>
        <w:autoSpaceDE/>
        <w:autoSpaceDN/>
        <w:bidi w:val="0"/>
        <w:spacing w:line="600" w:lineRule="exact"/>
        <w:ind w:firstLine="645"/>
        <w:textAlignment w:val="auto"/>
        <w:rPr>
          <w:rFonts w:hint="eastAsia" w:ascii="仿宋_GB2312" w:hAnsi="宋体" w:eastAsia="仿宋_GB2312" w:cs="Times New Roman"/>
          <w:color w:val="auto"/>
          <w:szCs w:val="32"/>
          <w:highlight w:val="none"/>
          <w:lang w:eastAsia="zh-CN"/>
        </w:rPr>
      </w:pPr>
      <w:r>
        <w:rPr>
          <w:rFonts w:hint="eastAsia" w:ascii="仿宋_GB2312" w:hAnsi="宋体" w:eastAsia="仿宋_GB2312" w:cs="Times New Roman"/>
          <w:color w:val="auto"/>
          <w:szCs w:val="32"/>
          <w:highlight w:val="none"/>
          <w:lang w:eastAsia="zh-CN"/>
        </w:rPr>
        <w:t>2.严格执行医疗政策规定，履行定点医疗机构职责，做好有关的政策宣传、监督及服务工作。</w:t>
      </w:r>
    </w:p>
    <w:p w14:paraId="37F04ACE">
      <w:pPr>
        <w:keepNext w:val="0"/>
        <w:keepLines w:val="0"/>
        <w:pageBreakBefore w:val="0"/>
        <w:widowControl w:val="0"/>
        <w:tabs>
          <w:tab w:val="center" w:pos="4475"/>
        </w:tabs>
        <w:kinsoku/>
        <w:wordWrap/>
        <w:overflowPunct/>
        <w:topLinePunct w:val="0"/>
        <w:autoSpaceDE/>
        <w:autoSpaceDN/>
        <w:bidi w:val="0"/>
        <w:spacing w:line="600" w:lineRule="exact"/>
        <w:ind w:firstLine="645"/>
        <w:textAlignment w:val="auto"/>
        <w:rPr>
          <w:rFonts w:hint="eastAsia" w:ascii="仿宋_GB2312" w:hAnsi="宋体" w:eastAsia="仿宋_GB2312" w:cs="Times New Roman"/>
          <w:color w:val="auto"/>
          <w:szCs w:val="32"/>
          <w:highlight w:val="none"/>
          <w:lang w:eastAsia="zh-CN"/>
        </w:rPr>
      </w:pPr>
      <w:r>
        <w:rPr>
          <w:rFonts w:hint="eastAsia" w:ascii="仿宋_GB2312" w:hAnsi="宋体" w:eastAsia="仿宋_GB2312" w:cs="Times New Roman"/>
          <w:color w:val="auto"/>
          <w:szCs w:val="32"/>
          <w:highlight w:val="none"/>
          <w:lang w:eastAsia="zh-CN"/>
        </w:rPr>
        <w:t>3.深入推进乡村卫生服务一体化管理，对村卫生室实行以行政、人员、业务、药品、财产为基本内容的“五统一”规范管理，负责村卫生室的技术指导和乡村医生培训等工作。</w:t>
      </w:r>
    </w:p>
    <w:p w14:paraId="0C196481">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黑体" w:hAnsi="宋体" w:eastAsia="黑体" w:cs="Times New Roman"/>
          <w:color w:val="auto"/>
          <w:szCs w:val="32"/>
          <w:lang w:eastAsia="zh-CN"/>
        </w:rPr>
      </w:pPr>
      <w:r>
        <w:rPr>
          <w:rFonts w:hint="eastAsia" w:ascii="黑体" w:hAnsi="宋体" w:eastAsia="黑体"/>
          <w:color w:val="auto"/>
          <w:szCs w:val="32"/>
        </w:rPr>
        <w:t>二、</w:t>
      </w:r>
      <w:r>
        <w:rPr>
          <w:rFonts w:hint="eastAsia" w:ascii="黑体" w:hAnsi="宋体" w:eastAsia="黑体" w:cs="Times New Roman"/>
          <w:color w:val="auto"/>
          <w:szCs w:val="32"/>
        </w:rPr>
        <w:t>机构设置</w:t>
      </w:r>
      <w:r>
        <w:rPr>
          <w:rFonts w:hint="eastAsia" w:ascii="黑体" w:hAnsi="宋体" w:eastAsia="黑体" w:cs="Times New Roman"/>
          <w:color w:val="auto"/>
          <w:szCs w:val="32"/>
          <w:lang w:eastAsia="zh-CN"/>
        </w:rPr>
        <w:t>情况</w:t>
      </w:r>
    </w:p>
    <w:p w14:paraId="33C80704">
      <w:pPr>
        <w:keepNext w:val="0"/>
        <w:keepLines w:val="0"/>
        <w:pageBreakBefore w:val="0"/>
        <w:widowControl w:val="0"/>
        <w:tabs>
          <w:tab w:val="center" w:pos="4475"/>
        </w:tabs>
        <w:kinsoku/>
        <w:wordWrap/>
        <w:overflowPunct/>
        <w:topLinePunct w:val="0"/>
        <w:autoSpaceDE/>
        <w:autoSpaceDN/>
        <w:bidi w:val="0"/>
        <w:spacing w:line="600" w:lineRule="exact"/>
        <w:ind w:firstLine="645"/>
        <w:textAlignment w:val="auto"/>
        <w:rPr>
          <w:rFonts w:hint="eastAsia" w:ascii="仿宋_GB2312" w:hAnsi="宋体" w:eastAsia="仿宋_GB2312" w:cs="Times New Roman"/>
          <w:szCs w:val="32"/>
          <w:highlight w:val="none"/>
          <w:lang w:eastAsia="zh-CN"/>
        </w:rPr>
      </w:pPr>
      <w:r>
        <w:rPr>
          <w:rFonts w:hint="eastAsia" w:ascii="仿宋_GB2312" w:hAnsi="宋体" w:eastAsia="仿宋_GB2312" w:cs="Times New Roman"/>
          <w:color w:val="auto"/>
          <w:szCs w:val="32"/>
          <w:highlight w:val="none"/>
          <w:lang w:eastAsia="zh-CN"/>
        </w:rPr>
        <w:t>医院科室设有党办、院办、公共卫生科、综合科、妇产科、预防保健科、中医馆、影像功能科、检验科、药剂科、医务科、质控科、护理部、财务科、后勤科。</w:t>
      </w:r>
      <w:r>
        <w:rPr>
          <w:rFonts w:hint="eastAsia" w:ascii="仿宋_GB2312" w:hAnsi="宋体" w:eastAsia="仿宋_GB2312" w:cs="Times New Roman"/>
          <w:szCs w:val="32"/>
          <w:highlight w:val="none"/>
          <w:lang w:eastAsia="zh-CN"/>
        </w:rPr>
        <w:t>我单位实有编制数</w:t>
      </w:r>
      <w:r>
        <w:rPr>
          <w:rFonts w:hint="eastAsia" w:ascii="仿宋_GB2312" w:hAnsi="宋体" w:eastAsia="仿宋_GB2312" w:cs="Times New Roman"/>
          <w:szCs w:val="32"/>
          <w:highlight w:val="none"/>
          <w:lang w:val="en-US" w:eastAsia="zh-CN"/>
        </w:rPr>
        <w:t>38</w:t>
      </w:r>
      <w:r>
        <w:rPr>
          <w:rFonts w:hint="eastAsia" w:ascii="仿宋_GB2312" w:hAnsi="宋体" w:eastAsia="仿宋_GB2312" w:cs="Times New Roman"/>
          <w:szCs w:val="32"/>
          <w:highlight w:val="none"/>
          <w:lang w:eastAsia="zh-CN"/>
        </w:rPr>
        <w:t>人，现有在职编制人员3</w:t>
      </w:r>
      <w:r>
        <w:rPr>
          <w:rFonts w:hint="eastAsia" w:ascii="仿宋_GB2312" w:hAnsi="宋体" w:cs="Times New Roman"/>
          <w:szCs w:val="32"/>
          <w:highlight w:val="none"/>
          <w:lang w:val="en-US" w:eastAsia="zh-CN"/>
        </w:rPr>
        <w:t>8</w:t>
      </w:r>
      <w:r>
        <w:rPr>
          <w:rFonts w:hint="eastAsia" w:ascii="仿宋_GB2312" w:hAnsi="宋体" w:eastAsia="仿宋_GB2312" w:cs="Times New Roman"/>
          <w:szCs w:val="32"/>
          <w:highlight w:val="none"/>
          <w:lang w:eastAsia="zh-CN"/>
        </w:rPr>
        <w:t>人，临时聘用人员</w:t>
      </w:r>
      <w:r>
        <w:rPr>
          <w:rFonts w:hint="eastAsia" w:ascii="仿宋_GB2312" w:hAnsi="宋体" w:cs="Times New Roman"/>
          <w:szCs w:val="32"/>
          <w:highlight w:val="none"/>
          <w:lang w:val="en-US" w:eastAsia="zh-CN"/>
        </w:rPr>
        <w:t>29</w:t>
      </w:r>
      <w:r>
        <w:rPr>
          <w:rFonts w:hint="eastAsia" w:ascii="仿宋_GB2312" w:hAnsi="宋体" w:eastAsia="仿宋_GB2312" w:cs="Times New Roman"/>
          <w:szCs w:val="32"/>
          <w:highlight w:val="none"/>
          <w:lang w:eastAsia="zh-CN"/>
        </w:rPr>
        <w:t>人，退休人员4人，现有在职职工总数6</w:t>
      </w:r>
      <w:r>
        <w:rPr>
          <w:rFonts w:hint="eastAsia" w:ascii="仿宋_GB2312" w:hAnsi="宋体" w:cs="Times New Roman"/>
          <w:szCs w:val="32"/>
          <w:highlight w:val="none"/>
          <w:lang w:val="en-US" w:eastAsia="zh-CN"/>
        </w:rPr>
        <w:t>7</w:t>
      </w:r>
      <w:r>
        <w:rPr>
          <w:rFonts w:hint="eastAsia" w:ascii="仿宋_GB2312" w:hAnsi="宋体" w:eastAsia="仿宋_GB2312" w:cs="Times New Roman"/>
          <w:szCs w:val="32"/>
          <w:highlight w:val="none"/>
          <w:lang w:eastAsia="zh-CN"/>
        </w:rPr>
        <w:t>人，高级职称1人，中级职称</w:t>
      </w:r>
      <w:r>
        <w:rPr>
          <w:rFonts w:hint="eastAsia" w:ascii="仿宋_GB2312" w:hAnsi="宋体" w:cs="Times New Roman"/>
          <w:szCs w:val="32"/>
          <w:highlight w:val="none"/>
          <w:lang w:val="en-US" w:eastAsia="zh-CN"/>
        </w:rPr>
        <w:t>10</w:t>
      </w:r>
      <w:r>
        <w:rPr>
          <w:rFonts w:hint="eastAsia" w:ascii="仿宋_GB2312" w:hAnsi="宋体" w:eastAsia="仿宋_GB2312" w:cs="Times New Roman"/>
          <w:szCs w:val="32"/>
          <w:highlight w:val="none"/>
          <w:lang w:eastAsia="zh-CN"/>
        </w:rPr>
        <w:t>人，初级职称44人。其中临床医师一线医生1</w:t>
      </w:r>
      <w:r>
        <w:rPr>
          <w:rFonts w:hint="eastAsia" w:ascii="仿宋_GB2312" w:hAnsi="宋体" w:cs="Times New Roman"/>
          <w:szCs w:val="32"/>
          <w:highlight w:val="none"/>
          <w:lang w:val="en-US" w:eastAsia="zh-CN"/>
        </w:rPr>
        <w:t>4</w:t>
      </w:r>
      <w:r>
        <w:rPr>
          <w:rFonts w:hint="eastAsia" w:ascii="仿宋_GB2312" w:hAnsi="宋体" w:eastAsia="仿宋_GB2312" w:cs="Times New Roman"/>
          <w:szCs w:val="32"/>
          <w:highlight w:val="none"/>
          <w:lang w:eastAsia="zh-CN"/>
        </w:rPr>
        <w:t>人，临床一线护士1</w:t>
      </w:r>
      <w:r>
        <w:rPr>
          <w:rFonts w:hint="eastAsia" w:ascii="仿宋_GB2312" w:hAnsi="宋体" w:cs="Times New Roman"/>
          <w:szCs w:val="32"/>
          <w:highlight w:val="none"/>
          <w:lang w:val="en-US" w:eastAsia="zh-CN"/>
        </w:rPr>
        <w:t>3</w:t>
      </w:r>
      <w:r>
        <w:rPr>
          <w:rFonts w:hint="eastAsia" w:ascii="仿宋_GB2312" w:hAnsi="宋体" w:eastAsia="仿宋_GB2312" w:cs="Times New Roman"/>
          <w:szCs w:val="32"/>
          <w:highlight w:val="none"/>
          <w:lang w:eastAsia="zh-CN"/>
        </w:rPr>
        <w:t>人，防保、妇保及公共卫生科7人，</w:t>
      </w:r>
      <w:r>
        <w:rPr>
          <w:rFonts w:hint="eastAsia" w:ascii="仿宋_GB2312" w:hAnsi="宋体" w:cs="Times New Roman"/>
          <w:szCs w:val="32"/>
          <w:highlight w:val="none"/>
          <w:lang w:eastAsia="zh-CN"/>
        </w:rPr>
        <w:t>药剂科</w:t>
      </w:r>
      <w:r>
        <w:rPr>
          <w:rFonts w:hint="eastAsia" w:ascii="仿宋_GB2312" w:hAnsi="宋体" w:eastAsia="仿宋_GB2312" w:cs="Times New Roman"/>
          <w:szCs w:val="32"/>
          <w:highlight w:val="none"/>
          <w:lang w:eastAsia="zh-CN"/>
        </w:rPr>
        <w:t>、医技科</w:t>
      </w:r>
      <w:r>
        <w:rPr>
          <w:rFonts w:hint="eastAsia" w:ascii="仿宋_GB2312" w:hAnsi="宋体" w:cs="Times New Roman"/>
          <w:szCs w:val="32"/>
          <w:highlight w:val="none"/>
          <w:lang w:val="en-US" w:eastAsia="zh-CN"/>
        </w:rPr>
        <w:t>13</w:t>
      </w:r>
      <w:r>
        <w:rPr>
          <w:rFonts w:hint="eastAsia" w:ascii="仿宋_GB2312" w:hAnsi="宋体" w:eastAsia="仿宋_GB2312" w:cs="Times New Roman"/>
          <w:szCs w:val="32"/>
          <w:highlight w:val="none"/>
          <w:lang w:eastAsia="zh-CN"/>
        </w:rPr>
        <w:t>人，正在规培生</w:t>
      </w:r>
      <w:r>
        <w:rPr>
          <w:rFonts w:hint="eastAsia" w:ascii="仿宋_GB2312" w:hAnsi="宋体" w:cs="Times New Roman"/>
          <w:szCs w:val="32"/>
          <w:highlight w:val="none"/>
          <w:lang w:val="en-US" w:eastAsia="zh-CN"/>
        </w:rPr>
        <w:t>2</w:t>
      </w:r>
      <w:r>
        <w:rPr>
          <w:rFonts w:hint="eastAsia" w:ascii="仿宋_GB2312" w:hAnsi="宋体" w:eastAsia="仿宋_GB2312" w:cs="Times New Roman"/>
          <w:szCs w:val="32"/>
          <w:highlight w:val="none"/>
          <w:lang w:eastAsia="zh-CN"/>
        </w:rPr>
        <w:t>人，行政、财务及后勤科1</w:t>
      </w:r>
      <w:r>
        <w:rPr>
          <w:rFonts w:hint="eastAsia" w:ascii="仿宋_GB2312" w:hAnsi="宋体" w:cs="Times New Roman"/>
          <w:szCs w:val="32"/>
          <w:highlight w:val="none"/>
          <w:lang w:val="en-US" w:eastAsia="zh-CN"/>
        </w:rPr>
        <w:t>5</w:t>
      </w:r>
      <w:r>
        <w:rPr>
          <w:rFonts w:hint="eastAsia" w:ascii="仿宋_GB2312" w:hAnsi="宋体" w:eastAsia="仿宋_GB2312" w:cs="Times New Roman"/>
          <w:szCs w:val="32"/>
          <w:highlight w:val="none"/>
          <w:lang w:eastAsia="zh-CN"/>
        </w:rPr>
        <w:t>人（其中有3名兼职司机）。</w:t>
      </w:r>
    </w:p>
    <w:p w14:paraId="165ABB48">
      <w:pPr>
        <w:keepNext w:val="0"/>
        <w:keepLines w:val="0"/>
        <w:pageBreakBefore w:val="0"/>
        <w:widowControl w:val="0"/>
        <w:tabs>
          <w:tab w:val="center" w:pos="4475"/>
        </w:tabs>
        <w:kinsoku/>
        <w:wordWrap/>
        <w:overflowPunct/>
        <w:topLinePunct w:val="0"/>
        <w:autoSpaceDE/>
        <w:autoSpaceDN/>
        <w:bidi w:val="0"/>
        <w:spacing w:line="600" w:lineRule="exact"/>
        <w:textAlignment w:val="auto"/>
        <w:rPr>
          <w:rFonts w:hint="eastAsia" w:ascii="仿宋_GB2312" w:hAnsi="宋体" w:eastAsia="仿宋_GB2312" w:cs="Times New Roman"/>
          <w:color w:val="auto"/>
          <w:szCs w:val="32"/>
          <w:highlight w:val="none"/>
          <w:lang w:eastAsia="zh-CN"/>
        </w:rPr>
      </w:pPr>
    </w:p>
    <w:p w14:paraId="269D98D5">
      <w:pPr>
        <w:keepNext w:val="0"/>
        <w:keepLines w:val="0"/>
        <w:pageBreakBefore w:val="0"/>
        <w:widowControl w:val="0"/>
        <w:tabs>
          <w:tab w:val="center" w:pos="4475"/>
        </w:tabs>
        <w:kinsoku/>
        <w:wordWrap/>
        <w:overflowPunct/>
        <w:topLinePunct w:val="0"/>
        <w:autoSpaceDE/>
        <w:autoSpaceDN/>
        <w:bidi w:val="0"/>
        <w:spacing w:line="600" w:lineRule="exact"/>
        <w:ind w:firstLine="645"/>
        <w:textAlignment w:val="auto"/>
        <w:rPr>
          <w:rFonts w:hint="eastAsia" w:ascii="黑体" w:eastAsia="黑体"/>
          <w:color w:val="auto"/>
          <w:szCs w:val="32"/>
        </w:rPr>
      </w:pPr>
      <w:r>
        <w:rPr>
          <w:rFonts w:hint="eastAsia" w:ascii="黑体" w:eastAsia="黑体"/>
          <w:color w:val="auto"/>
          <w:szCs w:val="32"/>
        </w:rPr>
        <w:t>第二部分：</w:t>
      </w:r>
      <w:r>
        <w:rPr>
          <w:rFonts w:hint="eastAsia" w:ascii="黑体" w:eastAsia="黑体"/>
          <w:color w:val="auto"/>
          <w:szCs w:val="32"/>
          <w:lang w:val="en-US" w:eastAsia="zh-CN"/>
        </w:rPr>
        <w:t>柳州市柳江区</w:t>
      </w:r>
      <w:r>
        <w:rPr>
          <w:rFonts w:hint="eastAsia" w:ascii="黑体" w:eastAsia="黑体"/>
          <w:color w:val="auto"/>
          <w:szCs w:val="32"/>
          <w:lang w:eastAsia="zh-CN"/>
        </w:rPr>
        <w:t>里高镇卫生院</w:t>
      </w:r>
      <w:r>
        <w:rPr>
          <w:rFonts w:hint="eastAsia" w:ascii="黑体" w:hAnsi="宋体" w:eastAsia="黑体"/>
          <w:color w:val="auto"/>
          <w:szCs w:val="32"/>
        </w:rPr>
        <w:t>202</w:t>
      </w:r>
      <w:r>
        <w:rPr>
          <w:rFonts w:hint="eastAsia" w:ascii="黑体" w:hAnsi="宋体" w:eastAsia="黑体"/>
          <w:color w:val="auto"/>
          <w:szCs w:val="32"/>
          <w:lang w:val="en-US" w:eastAsia="zh-CN"/>
        </w:rPr>
        <w:t>5</w:t>
      </w:r>
      <w:r>
        <w:rPr>
          <w:rFonts w:hint="eastAsia" w:ascii="黑体" w:hAnsi="宋体" w:eastAsia="黑体"/>
          <w:color w:val="auto"/>
          <w:szCs w:val="32"/>
        </w:rPr>
        <w:t>年</w:t>
      </w:r>
      <w:r>
        <w:rPr>
          <w:rFonts w:hint="eastAsia" w:ascii="黑体" w:eastAsia="黑体"/>
          <w:color w:val="auto"/>
          <w:szCs w:val="32"/>
          <w:lang w:eastAsia="zh-CN"/>
        </w:rPr>
        <w:t>单位</w:t>
      </w:r>
      <w:r>
        <w:rPr>
          <w:rFonts w:hint="eastAsia" w:ascii="黑体" w:eastAsia="黑体"/>
          <w:color w:val="auto"/>
          <w:szCs w:val="32"/>
        </w:rPr>
        <w:t>预算情况说明</w:t>
      </w:r>
    </w:p>
    <w:p w14:paraId="79356BBD">
      <w:pPr>
        <w:keepNext w:val="0"/>
        <w:keepLines w:val="0"/>
        <w:pageBreakBefore w:val="0"/>
        <w:widowControl w:val="0"/>
        <w:numPr>
          <w:ilvl w:val="0"/>
          <w:numId w:val="2"/>
        </w:numPr>
        <w:tabs>
          <w:tab w:val="center" w:pos="4475"/>
        </w:tabs>
        <w:kinsoku/>
        <w:wordWrap/>
        <w:overflowPunct/>
        <w:topLinePunct w:val="0"/>
        <w:autoSpaceDE/>
        <w:autoSpaceDN/>
        <w:bidi w:val="0"/>
        <w:spacing w:line="600" w:lineRule="exact"/>
        <w:ind w:firstLine="645"/>
        <w:textAlignment w:val="auto"/>
        <w:rPr>
          <w:rFonts w:hint="eastAsia" w:ascii="黑体" w:eastAsia="黑体"/>
          <w:color w:val="auto"/>
          <w:szCs w:val="32"/>
        </w:rPr>
      </w:pPr>
      <w:r>
        <w:rPr>
          <w:rFonts w:hint="eastAsia" w:ascii="黑体" w:eastAsia="黑体"/>
          <w:color w:val="auto"/>
          <w:szCs w:val="32"/>
        </w:rPr>
        <w:t>单位预算收支增减变化情况说明</w:t>
      </w:r>
    </w:p>
    <w:p w14:paraId="0F93D996">
      <w:pPr>
        <w:keepNext w:val="0"/>
        <w:keepLines w:val="0"/>
        <w:pageBreakBefore w:val="0"/>
        <w:widowControl w:val="0"/>
        <w:numPr>
          <w:ilvl w:val="0"/>
          <w:numId w:val="0"/>
        </w:numPr>
        <w:tabs>
          <w:tab w:val="center" w:pos="4475"/>
        </w:tabs>
        <w:kinsoku/>
        <w:wordWrap/>
        <w:overflowPunct/>
        <w:topLinePunct w:val="0"/>
        <w:autoSpaceDE/>
        <w:autoSpaceDN/>
        <w:bidi w:val="0"/>
        <w:spacing w:line="600" w:lineRule="exact"/>
        <w:ind w:firstLine="640" w:firstLineChars="200"/>
        <w:textAlignment w:val="auto"/>
        <w:rPr>
          <w:rFonts w:hint="default" w:ascii="仿宋_GB2312" w:hAnsi="宋体" w:eastAsia="仿宋_GB2312" w:cs="Times New Roman"/>
          <w:color w:val="auto"/>
          <w:szCs w:val="32"/>
          <w:highlight w:val="none"/>
          <w:lang w:val="en-US" w:eastAsia="zh-CN"/>
        </w:rPr>
      </w:pPr>
      <w:r>
        <w:rPr>
          <w:rFonts w:hint="eastAsia" w:ascii="仿宋_GB2312" w:hAnsi="宋体" w:eastAsia="仿宋_GB2312" w:cs="Times New Roman"/>
          <w:color w:val="auto"/>
          <w:szCs w:val="32"/>
          <w:highlight w:val="none"/>
          <w:lang w:eastAsia="zh-CN"/>
        </w:rPr>
        <w:t>我</w:t>
      </w:r>
      <w:r>
        <w:rPr>
          <w:rFonts w:hint="eastAsia" w:ascii="仿宋_GB2312" w:hAnsi="宋体" w:cs="Times New Roman"/>
          <w:color w:val="auto"/>
          <w:szCs w:val="32"/>
          <w:highlight w:val="none"/>
          <w:lang w:eastAsia="zh-CN"/>
        </w:rPr>
        <w:t>单位</w:t>
      </w:r>
      <w:r>
        <w:rPr>
          <w:rFonts w:hint="eastAsia" w:ascii="仿宋_GB2312" w:eastAsia="仿宋_GB2312"/>
          <w:color w:val="auto"/>
          <w:sz w:val="32"/>
          <w:szCs w:val="32"/>
        </w:rPr>
        <w:t>总收入</w:t>
      </w:r>
      <w:r>
        <w:rPr>
          <w:rFonts w:hint="eastAsia" w:ascii="仿宋_GB2312"/>
          <w:color w:val="auto"/>
          <w:sz w:val="32"/>
          <w:szCs w:val="32"/>
          <w:lang w:val="en-US" w:eastAsia="zh-CN"/>
        </w:rPr>
        <w:t>965.40</w:t>
      </w:r>
      <w:r>
        <w:rPr>
          <w:rFonts w:hint="eastAsia" w:ascii="仿宋_GB2312" w:hAnsi="宋体" w:eastAsia="仿宋_GB2312" w:cs="Times New Roman"/>
          <w:color w:val="auto"/>
          <w:szCs w:val="32"/>
          <w:highlight w:val="none"/>
          <w:lang w:eastAsia="zh-CN"/>
        </w:rPr>
        <w:t>万元，总支出</w:t>
      </w:r>
      <w:r>
        <w:rPr>
          <w:rFonts w:hint="eastAsia" w:ascii="仿宋_GB2312"/>
          <w:color w:val="auto"/>
          <w:sz w:val="32"/>
          <w:szCs w:val="32"/>
          <w:lang w:val="en-US" w:eastAsia="zh-CN"/>
        </w:rPr>
        <w:t>965.40</w:t>
      </w:r>
      <w:r>
        <w:rPr>
          <w:rFonts w:hint="eastAsia" w:ascii="仿宋_GB2312" w:hAnsi="宋体" w:eastAsia="仿宋_GB2312" w:cs="Times New Roman"/>
          <w:color w:val="auto"/>
          <w:szCs w:val="32"/>
          <w:highlight w:val="none"/>
          <w:lang w:eastAsia="zh-CN"/>
        </w:rPr>
        <w:t>万元（不含财政拨款上年未列支结转收支数）。总收入较上年减少</w:t>
      </w:r>
      <w:r>
        <w:rPr>
          <w:rFonts w:hint="eastAsia" w:ascii="仿宋_GB2312" w:hAnsi="宋体" w:cs="Times New Roman"/>
          <w:color w:val="auto"/>
          <w:szCs w:val="32"/>
          <w:highlight w:val="none"/>
          <w:lang w:val="en-US" w:eastAsia="zh-CN"/>
        </w:rPr>
        <w:t>145.33</w:t>
      </w:r>
      <w:r>
        <w:rPr>
          <w:rFonts w:hint="eastAsia" w:ascii="仿宋_GB2312" w:hAnsi="宋体" w:eastAsia="仿宋_GB2312" w:cs="Times New Roman"/>
          <w:color w:val="auto"/>
          <w:szCs w:val="32"/>
          <w:highlight w:val="none"/>
          <w:lang w:eastAsia="zh-CN"/>
        </w:rPr>
        <w:t>万元，</w:t>
      </w:r>
      <w:r>
        <w:rPr>
          <w:rFonts w:hint="eastAsia" w:ascii="仿宋_GB2312" w:hAnsi="宋体" w:cs="Times New Roman"/>
          <w:color w:val="auto"/>
          <w:szCs w:val="32"/>
          <w:highlight w:val="none"/>
          <w:lang w:eastAsia="zh-CN"/>
        </w:rPr>
        <w:t>减少</w:t>
      </w:r>
      <w:r>
        <w:rPr>
          <w:rFonts w:hint="eastAsia" w:ascii="仿宋_GB2312" w:hAnsi="宋体" w:cs="Times New Roman"/>
          <w:color w:val="auto"/>
          <w:szCs w:val="32"/>
          <w:highlight w:val="none"/>
          <w:lang w:val="en-US" w:eastAsia="zh-CN"/>
        </w:rPr>
        <w:t>13.08</w:t>
      </w:r>
      <w:r>
        <w:rPr>
          <w:rFonts w:hint="eastAsia" w:ascii="仿宋_GB2312" w:hAnsi="宋体" w:eastAsia="仿宋_GB2312" w:cs="Times New Roman"/>
          <w:color w:val="auto"/>
          <w:szCs w:val="32"/>
          <w:highlight w:val="none"/>
          <w:lang w:val="en-US" w:eastAsia="zh-CN"/>
        </w:rPr>
        <w:t>%，主要原因是</w:t>
      </w:r>
      <w:r>
        <w:rPr>
          <w:rFonts w:hint="eastAsia" w:ascii="仿宋_GB2312" w:hAnsi="宋体" w:eastAsia="仿宋_GB2312" w:cs="Times New Roman"/>
          <w:color w:val="auto"/>
          <w:szCs w:val="32"/>
          <w:highlight w:val="none"/>
          <w:lang w:eastAsia="zh-CN"/>
        </w:rPr>
        <w:t>本年度</w:t>
      </w:r>
      <w:r>
        <w:rPr>
          <w:rFonts w:hint="eastAsia" w:ascii="仿宋_GB2312" w:hAnsi="宋体" w:cs="Times New Roman"/>
          <w:color w:val="auto"/>
          <w:szCs w:val="32"/>
          <w:highlight w:val="none"/>
          <w:lang w:val="en-US" w:eastAsia="zh-CN"/>
        </w:rPr>
        <w:t>人员经费和公用经费收入预算减少</w:t>
      </w:r>
      <w:r>
        <w:rPr>
          <w:rFonts w:hint="eastAsia" w:ascii="仿宋_GB2312" w:hAnsi="宋体" w:eastAsia="仿宋_GB2312" w:cs="Times New Roman"/>
          <w:color w:val="auto"/>
          <w:szCs w:val="32"/>
          <w:highlight w:val="none"/>
          <w:lang w:val="en-US" w:eastAsia="zh-CN"/>
        </w:rPr>
        <w:t>。总支出</w:t>
      </w:r>
      <w:r>
        <w:rPr>
          <w:rFonts w:hint="eastAsia" w:ascii="仿宋_GB2312" w:hAnsi="宋体" w:eastAsia="仿宋_GB2312" w:cs="Times New Roman"/>
          <w:color w:val="auto"/>
          <w:szCs w:val="32"/>
          <w:highlight w:val="none"/>
          <w:lang w:eastAsia="zh-CN"/>
        </w:rPr>
        <w:t>较上年</w:t>
      </w:r>
      <w:r>
        <w:rPr>
          <w:rFonts w:hint="eastAsia" w:ascii="仿宋_GB2312" w:hAnsi="宋体" w:cs="Times New Roman"/>
          <w:color w:val="auto"/>
          <w:szCs w:val="32"/>
          <w:highlight w:val="none"/>
          <w:lang w:eastAsia="zh-CN"/>
        </w:rPr>
        <w:t>下降</w:t>
      </w:r>
      <w:r>
        <w:rPr>
          <w:rFonts w:hint="eastAsia" w:ascii="仿宋_GB2312" w:hAnsi="宋体" w:cs="Times New Roman"/>
          <w:color w:val="auto"/>
          <w:szCs w:val="32"/>
          <w:highlight w:val="none"/>
          <w:lang w:val="en-US" w:eastAsia="zh-CN"/>
        </w:rPr>
        <w:t>13.08</w:t>
      </w:r>
      <w:r>
        <w:rPr>
          <w:rFonts w:hint="eastAsia" w:ascii="仿宋_GB2312" w:hAnsi="宋体" w:eastAsia="仿宋_GB2312" w:cs="Times New Roman"/>
          <w:color w:val="auto"/>
          <w:szCs w:val="32"/>
          <w:highlight w:val="none"/>
          <w:lang w:val="en-US" w:eastAsia="zh-CN"/>
        </w:rPr>
        <w:t>%，主要原因是</w:t>
      </w:r>
      <w:r>
        <w:rPr>
          <w:rFonts w:hint="eastAsia" w:ascii="仿宋_GB2312" w:hAnsi="宋体" w:cs="Times New Roman"/>
          <w:color w:val="auto"/>
          <w:szCs w:val="32"/>
          <w:highlight w:val="none"/>
          <w:lang w:val="en-US" w:eastAsia="zh-CN"/>
        </w:rPr>
        <w:t>本年度</w:t>
      </w:r>
      <w:r>
        <w:rPr>
          <w:rFonts w:hint="eastAsia" w:ascii="仿宋_GB2312" w:hAnsi="宋体" w:eastAsia="仿宋_GB2312" w:cs="Times New Roman"/>
          <w:color w:val="auto"/>
          <w:szCs w:val="32"/>
          <w:highlight w:val="none"/>
          <w:lang w:eastAsia="zh-CN"/>
        </w:rPr>
        <w:t>卫生健康支出</w:t>
      </w:r>
      <w:r>
        <w:rPr>
          <w:rFonts w:hint="eastAsia" w:ascii="仿宋_GB2312" w:hAnsi="宋体" w:cs="Times New Roman"/>
          <w:color w:val="auto"/>
          <w:szCs w:val="32"/>
          <w:highlight w:val="none"/>
          <w:lang w:val="en-US" w:eastAsia="zh-CN"/>
        </w:rPr>
        <w:t>人员经费和公用经费预算减少</w:t>
      </w:r>
      <w:r>
        <w:rPr>
          <w:rFonts w:hint="eastAsia" w:ascii="仿宋_GB2312" w:hAnsi="宋体" w:eastAsia="仿宋_GB2312" w:cs="Times New Roman"/>
          <w:color w:val="auto"/>
          <w:szCs w:val="32"/>
          <w:highlight w:val="none"/>
          <w:lang w:val="en-US" w:eastAsia="zh-CN"/>
        </w:rPr>
        <w:t>。</w:t>
      </w:r>
    </w:p>
    <w:p w14:paraId="74381189">
      <w:pPr>
        <w:keepNext w:val="0"/>
        <w:keepLines w:val="0"/>
        <w:pageBreakBefore w:val="0"/>
        <w:widowControl w:val="0"/>
        <w:tabs>
          <w:tab w:val="center" w:pos="4475"/>
        </w:tabs>
        <w:kinsoku/>
        <w:wordWrap/>
        <w:overflowPunct/>
        <w:topLinePunct w:val="0"/>
        <w:autoSpaceDE/>
        <w:autoSpaceDN/>
        <w:bidi w:val="0"/>
        <w:spacing w:line="600" w:lineRule="exact"/>
        <w:ind w:firstLine="645"/>
        <w:textAlignment w:val="auto"/>
        <w:rPr>
          <w:rFonts w:hint="eastAsia" w:ascii="黑体" w:eastAsia="黑体"/>
          <w:color w:val="auto"/>
          <w:szCs w:val="32"/>
        </w:rPr>
      </w:pPr>
      <w:r>
        <w:rPr>
          <w:rFonts w:hint="eastAsia" w:ascii="黑体" w:eastAsia="黑体"/>
          <w:color w:val="auto"/>
          <w:szCs w:val="32"/>
        </w:rPr>
        <w:t>二、单位</w:t>
      </w:r>
      <w:r>
        <w:rPr>
          <w:rFonts w:hint="eastAsia" w:ascii="黑体" w:eastAsia="黑体"/>
          <w:color w:val="auto"/>
          <w:szCs w:val="32"/>
          <w:lang w:eastAsia="zh-CN"/>
        </w:rPr>
        <w:t>预算</w:t>
      </w:r>
      <w:r>
        <w:rPr>
          <w:rFonts w:hint="eastAsia" w:ascii="黑体" w:eastAsia="黑体"/>
          <w:color w:val="auto"/>
          <w:szCs w:val="32"/>
        </w:rPr>
        <w:t>收入总体情况说明</w:t>
      </w:r>
    </w:p>
    <w:p w14:paraId="0F81B6C7">
      <w:pPr>
        <w:keepNext w:val="0"/>
        <w:keepLines w:val="0"/>
        <w:pageBreakBefore w:val="0"/>
        <w:widowControl w:val="0"/>
        <w:tabs>
          <w:tab w:val="center" w:pos="4475"/>
        </w:tabs>
        <w:kinsoku/>
        <w:wordWrap/>
        <w:overflowPunct/>
        <w:topLinePunct w:val="0"/>
        <w:autoSpaceDE/>
        <w:autoSpaceDN/>
        <w:bidi w:val="0"/>
        <w:spacing w:line="600" w:lineRule="exact"/>
        <w:ind w:firstLine="645"/>
        <w:textAlignment w:val="auto"/>
        <w:rPr>
          <w:rFonts w:hint="eastAsia" w:ascii="黑体" w:eastAsia="黑体"/>
          <w:color w:val="auto"/>
          <w:szCs w:val="32"/>
        </w:rPr>
      </w:pPr>
      <w:r>
        <w:rPr>
          <w:rFonts w:hint="eastAsia" w:ascii="仿宋_GB2312" w:hAnsi="宋体" w:eastAsia="仿宋_GB2312" w:cs="Times New Roman"/>
          <w:color w:val="auto"/>
          <w:szCs w:val="32"/>
          <w:highlight w:val="none"/>
          <w:lang w:eastAsia="zh-CN"/>
        </w:rPr>
        <w:t>我</w:t>
      </w:r>
      <w:r>
        <w:rPr>
          <w:rFonts w:hint="eastAsia" w:ascii="仿宋_GB2312" w:hAnsi="宋体" w:cs="Times New Roman"/>
          <w:color w:val="auto"/>
          <w:szCs w:val="32"/>
          <w:highlight w:val="none"/>
          <w:lang w:eastAsia="zh-CN"/>
        </w:rPr>
        <w:t>单位</w:t>
      </w:r>
      <w:r>
        <w:rPr>
          <w:rFonts w:hint="eastAsia" w:ascii="仿宋_GB2312" w:eastAsia="仿宋_GB2312"/>
          <w:color w:val="auto"/>
          <w:sz w:val="32"/>
          <w:szCs w:val="32"/>
          <w:highlight w:val="none"/>
        </w:rPr>
        <w:t>总收入</w:t>
      </w:r>
      <w:r>
        <w:rPr>
          <w:rFonts w:hint="eastAsia" w:ascii="仿宋_GB2312"/>
          <w:color w:val="auto"/>
          <w:sz w:val="32"/>
          <w:szCs w:val="32"/>
          <w:lang w:val="en-US" w:eastAsia="zh-CN"/>
        </w:rPr>
        <w:t>965.40</w:t>
      </w:r>
      <w:r>
        <w:rPr>
          <w:rFonts w:hint="eastAsia" w:ascii="仿宋_GB2312" w:eastAsia="仿宋_GB2312"/>
          <w:color w:val="auto"/>
          <w:sz w:val="32"/>
          <w:szCs w:val="32"/>
          <w:highlight w:val="none"/>
        </w:rPr>
        <w:t>万元</w:t>
      </w:r>
      <w:r>
        <w:rPr>
          <w:rFonts w:hint="eastAsia" w:ascii="仿宋_GB2312"/>
          <w:color w:val="auto"/>
          <w:sz w:val="32"/>
          <w:szCs w:val="32"/>
          <w:highlight w:val="none"/>
          <w:lang w:eastAsia="zh-CN"/>
        </w:rPr>
        <w:t>，较上年减少</w:t>
      </w:r>
      <w:r>
        <w:rPr>
          <w:rFonts w:hint="eastAsia" w:ascii="仿宋_GB2312"/>
          <w:color w:val="auto"/>
          <w:sz w:val="32"/>
          <w:szCs w:val="32"/>
          <w:highlight w:val="none"/>
          <w:lang w:val="en-US" w:eastAsia="zh-CN"/>
        </w:rPr>
        <w:t>145.33万元，</w:t>
      </w:r>
      <w:r>
        <w:rPr>
          <w:rFonts w:hint="eastAsia" w:ascii="仿宋_GB2312" w:hAnsi="宋体" w:cs="Times New Roman"/>
          <w:color w:val="auto"/>
          <w:szCs w:val="32"/>
          <w:highlight w:val="none"/>
          <w:lang w:eastAsia="zh-CN"/>
        </w:rPr>
        <w:t>减少</w:t>
      </w:r>
      <w:r>
        <w:rPr>
          <w:rFonts w:hint="eastAsia" w:ascii="仿宋_GB2312" w:hAnsi="宋体" w:cs="Times New Roman"/>
          <w:color w:val="auto"/>
          <w:szCs w:val="32"/>
          <w:highlight w:val="none"/>
          <w:lang w:val="en-US" w:eastAsia="zh-CN"/>
        </w:rPr>
        <w:t>13.08</w:t>
      </w:r>
      <w:r>
        <w:rPr>
          <w:rFonts w:hint="eastAsia" w:ascii="仿宋_GB2312" w:hAnsi="宋体" w:eastAsia="仿宋_GB2312" w:cs="Times New Roman"/>
          <w:color w:val="auto"/>
          <w:szCs w:val="32"/>
          <w:highlight w:val="none"/>
          <w:lang w:val="en-US" w:eastAsia="zh-CN"/>
        </w:rPr>
        <w:t>%</w:t>
      </w:r>
      <w:r>
        <w:rPr>
          <w:rFonts w:hint="eastAsia" w:ascii="仿宋_GB2312"/>
          <w:color w:val="auto"/>
          <w:sz w:val="32"/>
          <w:szCs w:val="32"/>
          <w:lang w:val="en-US" w:eastAsia="zh-CN"/>
        </w:rPr>
        <w:t>，</w:t>
      </w:r>
      <w:r>
        <w:rPr>
          <w:rFonts w:hint="eastAsia" w:ascii="仿宋_GB2312" w:hAnsi="宋体" w:eastAsia="仿宋_GB2312" w:cs="Times New Roman"/>
          <w:color w:val="auto"/>
          <w:szCs w:val="32"/>
          <w:highlight w:val="none"/>
          <w:lang w:val="en-US" w:eastAsia="zh-CN"/>
        </w:rPr>
        <w:t>主要原因是</w:t>
      </w:r>
      <w:r>
        <w:rPr>
          <w:rFonts w:hint="eastAsia" w:ascii="仿宋_GB2312" w:hAnsi="宋体" w:eastAsia="仿宋_GB2312" w:cs="Times New Roman"/>
          <w:color w:val="auto"/>
          <w:szCs w:val="32"/>
          <w:highlight w:val="none"/>
          <w:lang w:eastAsia="zh-CN"/>
        </w:rPr>
        <w:t>本年度</w:t>
      </w:r>
      <w:r>
        <w:rPr>
          <w:rFonts w:hint="eastAsia" w:ascii="仿宋_GB2312" w:hAnsi="宋体" w:cs="Times New Roman"/>
          <w:color w:val="auto"/>
          <w:szCs w:val="32"/>
          <w:highlight w:val="none"/>
          <w:lang w:val="en-US" w:eastAsia="zh-CN"/>
        </w:rPr>
        <w:t>人员经费和公用经费收入预算减少。主要包括：</w:t>
      </w:r>
      <w:r>
        <w:rPr>
          <w:rFonts w:hint="eastAsia" w:ascii="仿宋_GB2312"/>
          <w:color w:val="auto"/>
          <w:szCs w:val="32"/>
          <w:lang w:eastAsia="zh-CN"/>
        </w:rPr>
        <w:t>一般公共预算拨款</w:t>
      </w:r>
      <w:r>
        <w:rPr>
          <w:rFonts w:hint="eastAsia" w:ascii="仿宋_GB2312"/>
          <w:color w:val="auto"/>
          <w:szCs w:val="32"/>
          <w:lang w:val="en-US" w:eastAsia="zh-CN"/>
        </w:rPr>
        <w:t>225.30万元，</w:t>
      </w:r>
      <w:r>
        <w:rPr>
          <w:rFonts w:hint="eastAsia" w:ascii="仿宋_GB2312"/>
          <w:color w:val="auto"/>
          <w:sz w:val="32"/>
          <w:szCs w:val="32"/>
          <w:highlight w:val="none"/>
          <w:lang w:eastAsia="zh-CN"/>
        </w:rPr>
        <w:t>占收入总预算</w:t>
      </w:r>
      <w:r>
        <w:rPr>
          <w:rFonts w:hint="eastAsia" w:ascii="仿宋_GB2312"/>
          <w:color w:val="auto"/>
          <w:sz w:val="32"/>
          <w:szCs w:val="32"/>
          <w:highlight w:val="none"/>
          <w:lang w:val="en-US" w:eastAsia="zh-CN"/>
        </w:rPr>
        <w:t>23.34%</w:t>
      </w:r>
      <w:r>
        <w:rPr>
          <w:rFonts w:hint="eastAsia" w:ascii="仿宋_GB2312"/>
          <w:color w:val="auto"/>
          <w:sz w:val="32"/>
          <w:szCs w:val="32"/>
          <w:lang w:val="en-US" w:eastAsia="zh-CN"/>
        </w:rPr>
        <w:t>，事业收入预算拨款740万元，</w:t>
      </w:r>
      <w:r>
        <w:rPr>
          <w:rFonts w:hint="eastAsia" w:ascii="仿宋_GB2312"/>
          <w:color w:val="auto"/>
          <w:sz w:val="32"/>
          <w:szCs w:val="32"/>
          <w:highlight w:val="none"/>
          <w:lang w:eastAsia="zh-CN"/>
        </w:rPr>
        <w:t>占收入总预算</w:t>
      </w:r>
      <w:r>
        <w:rPr>
          <w:rFonts w:hint="eastAsia" w:ascii="仿宋_GB2312"/>
          <w:color w:val="auto"/>
          <w:sz w:val="32"/>
          <w:szCs w:val="32"/>
          <w:highlight w:val="none"/>
          <w:lang w:val="en-US" w:eastAsia="zh-CN"/>
        </w:rPr>
        <w:t>76.66%</w:t>
      </w:r>
      <w:r>
        <w:rPr>
          <w:rFonts w:hint="eastAsia" w:ascii="仿宋_GB2312"/>
          <w:color w:val="auto"/>
          <w:sz w:val="32"/>
          <w:szCs w:val="32"/>
          <w:lang w:val="en-US" w:eastAsia="zh-CN"/>
        </w:rPr>
        <w:t>。</w:t>
      </w:r>
    </w:p>
    <w:p w14:paraId="28E8C989">
      <w:pPr>
        <w:keepNext w:val="0"/>
        <w:keepLines w:val="0"/>
        <w:pageBreakBefore w:val="0"/>
        <w:widowControl w:val="0"/>
        <w:tabs>
          <w:tab w:val="center" w:pos="4475"/>
        </w:tabs>
        <w:kinsoku/>
        <w:wordWrap/>
        <w:overflowPunct/>
        <w:topLinePunct w:val="0"/>
        <w:autoSpaceDE/>
        <w:autoSpaceDN/>
        <w:bidi w:val="0"/>
        <w:spacing w:line="600" w:lineRule="exact"/>
        <w:ind w:firstLine="645"/>
        <w:textAlignment w:val="auto"/>
        <w:rPr>
          <w:rFonts w:hint="eastAsia" w:ascii="黑体" w:eastAsia="黑体"/>
          <w:color w:val="auto"/>
          <w:szCs w:val="32"/>
        </w:rPr>
      </w:pPr>
      <w:r>
        <w:rPr>
          <w:rFonts w:hint="eastAsia" w:ascii="黑体" w:eastAsia="黑体"/>
          <w:color w:val="auto"/>
          <w:szCs w:val="32"/>
        </w:rPr>
        <w:t>三、单位</w:t>
      </w:r>
      <w:r>
        <w:rPr>
          <w:rFonts w:hint="eastAsia" w:ascii="黑体" w:eastAsia="黑体"/>
          <w:color w:val="auto"/>
          <w:szCs w:val="32"/>
          <w:lang w:eastAsia="zh-CN"/>
        </w:rPr>
        <w:t>预算</w:t>
      </w:r>
      <w:r>
        <w:rPr>
          <w:rFonts w:hint="eastAsia" w:ascii="黑体" w:eastAsia="黑体"/>
          <w:color w:val="auto"/>
          <w:szCs w:val="32"/>
        </w:rPr>
        <w:t>支出总体情况说明</w:t>
      </w:r>
    </w:p>
    <w:p w14:paraId="4654468E">
      <w:pPr>
        <w:keepNext w:val="0"/>
        <w:keepLines w:val="0"/>
        <w:pageBreakBefore w:val="0"/>
        <w:widowControl w:val="0"/>
        <w:tabs>
          <w:tab w:val="center" w:pos="4475"/>
        </w:tabs>
        <w:kinsoku/>
        <w:wordWrap/>
        <w:overflowPunct/>
        <w:topLinePunct w:val="0"/>
        <w:autoSpaceDE/>
        <w:autoSpaceDN/>
        <w:bidi w:val="0"/>
        <w:spacing w:line="600" w:lineRule="exact"/>
        <w:ind w:firstLine="645"/>
        <w:textAlignment w:val="auto"/>
        <w:rPr>
          <w:rFonts w:hint="eastAsia" w:ascii="黑体" w:eastAsia="黑体"/>
          <w:color w:val="auto"/>
          <w:szCs w:val="32"/>
        </w:rPr>
      </w:pPr>
      <w:r>
        <w:rPr>
          <w:rFonts w:hint="eastAsia" w:ascii="仿宋_GB2312" w:hAnsi="宋体" w:eastAsia="仿宋_GB2312" w:cs="Times New Roman"/>
          <w:color w:val="auto"/>
          <w:szCs w:val="32"/>
          <w:highlight w:val="none"/>
          <w:lang w:eastAsia="zh-CN"/>
        </w:rPr>
        <w:t>我</w:t>
      </w:r>
      <w:r>
        <w:rPr>
          <w:rFonts w:hint="eastAsia" w:ascii="仿宋_GB2312" w:hAnsi="宋体" w:cs="Times New Roman"/>
          <w:color w:val="auto"/>
          <w:szCs w:val="32"/>
          <w:highlight w:val="none"/>
          <w:lang w:eastAsia="zh-CN"/>
        </w:rPr>
        <w:t>单位</w:t>
      </w:r>
      <w:r>
        <w:rPr>
          <w:rFonts w:hint="eastAsia" w:ascii="仿宋_GB2312" w:eastAsia="仿宋_GB2312"/>
          <w:color w:val="auto"/>
          <w:sz w:val="32"/>
          <w:szCs w:val="32"/>
        </w:rPr>
        <w:t>总</w:t>
      </w:r>
      <w:r>
        <w:rPr>
          <w:rFonts w:hint="eastAsia" w:ascii="仿宋_GB2312"/>
          <w:color w:val="auto"/>
          <w:sz w:val="32"/>
          <w:szCs w:val="32"/>
          <w:lang w:eastAsia="zh-CN"/>
        </w:rPr>
        <w:t>支出</w:t>
      </w:r>
      <w:r>
        <w:rPr>
          <w:rFonts w:hint="eastAsia" w:ascii="仿宋_GB2312"/>
          <w:color w:val="auto"/>
          <w:sz w:val="32"/>
          <w:szCs w:val="32"/>
          <w:lang w:val="en-US" w:eastAsia="zh-CN"/>
        </w:rPr>
        <w:t>965.40</w:t>
      </w:r>
      <w:r>
        <w:rPr>
          <w:rFonts w:hint="eastAsia" w:ascii="仿宋_GB2312" w:eastAsia="仿宋_GB2312"/>
          <w:color w:val="auto"/>
          <w:sz w:val="32"/>
          <w:szCs w:val="32"/>
        </w:rPr>
        <w:t>万元</w:t>
      </w:r>
      <w:r>
        <w:rPr>
          <w:rFonts w:hint="eastAsia" w:ascii="仿宋_GB2312"/>
          <w:color w:val="auto"/>
          <w:sz w:val="32"/>
          <w:szCs w:val="32"/>
          <w:lang w:eastAsia="zh-CN"/>
        </w:rPr>
        <w:t>，</w:t>
      </w:r>
      <w:r>
        <w:rPr>
          <w:rFonts w:hint="eastAsia" w:ascii="仿宋_GB2312"/>
          <w:color w:val="auto"/>
          <w:sz w:val="32"/>
          <w:szCs w:val="32"/>
          <w:highlight w:val="none"/>
          <w:lang w:eastAsia="zh-CN"/>
        </w:rPr>
        <w:t>较上年</w:t>
      </w:r>
      <w:r>
        <w:rPr>
          <w:rFonts w:hint="eastAsia" w:ascii="仿宋_GB2312" w:hAnsi="宋体" w:cs="Times New Roman"/>
          <w:color w:val="auto"/>
          <w:szCs w:val="32"/>
          <w:highlight w:val="none"/>
          <w:lang w:eastAsia="zh-CN"/>
        </w:rPr>
        <w:t>减少</w:t>
      </w:r>
      <w:r>
        <w:rPr>
          <w:rFonts w:hint="eastAsia" w:ascii="仿宋_GB2312" w:hAnsi="宋体" w:cs="Times New Roman"/>
          <w:color w:val="auto"/>
          <w:szCs w:val="32"/>
          <w:highlight w:val="none"/>
          <w:lang w:val="en-US" w:eastAsia="zh-CN"/>
        </w:rPr>
        <w:t>145.33万元，减少13.08</w:t>
      </w:r>
      <w:r>
        <w:rPr>
          <w:rFonts w:hint="eastAsia" w:ascii="仿宋_GB2312" w:hAnsi="宋体" w:eastAsia="仿宋_GB2312" w:cs="Times New Roman"/>
          <w:color w:val="auto"/>
          <w:szCs w:val="32"/>
          <w:highlight w:val="none"/>
          <w:lang w:val="en-US" w:eastAsia="zh-CN"/>
        </w:rPr>
        <w:t>%</w:t>
      </w:r>
      <w:r>
        <w:rPr>
          <w:rFonts w:hint="eastAsia" w:ascii="仿宋_GB2312"/>
          <w:color w:val="auto"/>
          <w:sz w:val="32"/>
          <w:szCs w:val="32"/>
          <w:lang w:val="en-US" w:eastAsia="zh-CN"/>
        </w:rPr>
        <w:t>，</w:t>
      </w:r>
      <w:r>
        <w:rPr>
          <w:rFonts w:hint="eastAsia" w:ascii="仿宋_GB2312" w:hAnsi="宋体" w:eastAsia="仿宋_GB2312" w:cs="Times New Roman"/>
          <w:color w:val="auto"/>
          <w:szCs w:val="32"/>
          <w:highlight w:val="none"/>
          <w:lang w:val="en-US" w:eastAsia="zh-CN"/>
        </w:rPr>
        <w:t>主要原因是</w:t>
      </w:r>
      <w:r>
        <w:rPr>
          <w:rFonts w:hint="eastAsia" w:ascii="仿宋_GB2312" w:hAnsi="宋体" w:cs="Times New Roman"/>
          <w:color w:val="auto"/>
          <w:szCs w:val="32"/>
          <w:highlight w:val="none"/>
          <w:lang w:val="en-US" w:eastAsia="zh-CN"/>
        </w:rPr>
        <w:t>本年度</w:t>
      </w:r>
      <w:r>
        <w:rPr>
          <w:rFonts w:hint="eastAsia" w:ascii="仿宋_GB2312" w:hAnsi="宋体" w:eastAsia="仿宋_GB2312" w:cs="Times New Roman"/>
          <w:color w:val="auto"/>
          <w:szCs w:val="32"/>
          <w:highlight w:val="none"/>
          <w:lang w:eastAsia="zh-CN"/>
        </w:rPr>
        <w:t>卫生健康支出</w:t>
      </w:r>
      <w:r>
        <w:rPr>
          <w:rFonts w:hint="eastAsia" w:ascii="仿宋_GB2312" w:hAnsi="宋体" w:cs="Times New Roman"/>
          <w:color w:val="auto"/>
          <w:szCs w:val="32"/>
          <w:highlight w:val="none"/>
          <w:lang w:val="en-US" w:eastAsia="zh-CN"/>
        </w:rPr>
        <w:t>人员经费和公用经费预算减少</w:t>
      </w:r>
      <w:r>
        <w:rPr>
          <w:rFonts w:hint="eastAsia" w:ascii="仿宋_GB2312"/>
          <w:color w:val="auto"/>
          <w:sz w:val="32"/>
          <w:szCs w:val="32"/>
          <w:lang w:val="en-US" w:eastAsia="zh-CN"/>
        </w:rPr>
        <w:t>。主要包括：</w:t>
      </w:r>
      <w:r>
        <w:rPr>
          <w:rFonts w:hint="eastAsia" w:ascii="仿宋_GB2312"/>
          <w:color w:val="auto"/>
          <w:szCs w:val="32"/>
          <w:lang w:eastAsia="zh-CN"/>
        </w:rPr>
        <w:t>社会保障和就业支出</w:t>
      </w:r>
      <w:r>
        <w:rPr>
          <w:rFonts w:hint="eastAsia" w:ascii="仿宋_GB2312"/>
          <w:color w:val="auto"/>
          <w:szCs w:val="32"/>
          <w:lang w:val="en-US" w:eastAsia="zh-CN"/>
        </w:rPr>
        <w:t>6.60万元，</w:t>
      </w:r>
      <w:r>
        <w:rPr>
          <w:rFonts w:hint="eastAsia" w:ascii="仿宋_GB2312" w:hAnsi="Times New Roman" w:eastAsia="仿宋_GB2312" w:cs="Times New Roman"/>
          <w:color w:val="auto"/>
          <w:kern w:val="2"/>
          <w:sz w:val="32"/>
          <w:szCs w:val="32"/>
          <w:highlight w:val="none"/>
        </w:rPr>
        <w:t>占支出总预算</w:t>
      </w:r>
      <w:r>
        <w:rPr>
          <w:rFonts w:hint="eastAsia" w:ascii="仿宋_GB2312" w:cs="Times New Roman"/>
          <w:color w:val="auto"/>
          <w:kern w:val="2"/>
          <w:sz w:val="32"/>
          <w:szCs w:val="32"/>
          <w:highlight w:val="none"/>
          <w:lang w:val="en-US" w:eastAsia="zh-CN"/>
        </w:rPr>
        <w:t>0.68%</w:t>
      </w:r>
      <w:r>
        <w:rPr>
          <w:rFonts w:hint="eastAsia" w:ascii="仿宋_GB2312" w:cs="Times New Roman"/>
          <w:color w:val="auto"/>
          <w:kern w:val="2"/>
          <w:sz w:val="32"/>
          <w:szCs w:val="32"/>
          <w:highlight w:val="none"/>
          <w:lang w:eastAsia="zh-CN"/>
        </w:rPr>
        <w:t>，</w:t>
      </w:r>
      <w:r>
        <w:rPr>
          <w:rFonts w:hint="eastAsia" w:ascii="仿宋_GB2312"/>
          <w:color w:val="auto"/>
          <w:sz w:val="32"/>
          <w:szCs w:val="32"/>
          <w:highlight w:val="none"/>
          <w:lang w:eastAsia="zh-CN"/>
        </w:rPr>
        <w:t>较上年持平</w:t>
      </w:r>
      <w:r>
        <w:rPr>
          <w:rFonts w:hint="eastAsia" w:ascii="仿宋_GB2312"/>
          <w:color w:val="auto"/>
          <w:sz w:val="32"/>
          <w:szCs w:val="32"/>
          <w:lang w:val="en-US" w:eastAsia="zh-CN"/>
        </w:rPr>
        <w:t>；卫生健康支出958.80万元，</w:t>
      </w:r>
      <w:r>
        <w:rPr>
          <w:rFonts w:hint="eastAsia" w:ascii="仿宋_GB2312" w:hAnsi="Times New Roman" w:eastAsia="仿宋_GB2312" w:cs="Times New Roman"/>
          <w:color w:val="auto"/>
          <w:kern w:val="2"/>
          <w:sz w:val="32"/>
          <w:szCs w:val="32"/>
          <w:highlight w:val="none"/>
        </w:rPr>
        <w:t>占支出总预算</w:t>
      </w:r>
      <w:r>
        <w:rPr>
          <w:rFonts w:hint="eastAsia" w:ascii="仿宋_GB2312" w:cs="Times New Roman"/>
          <w:color w:val="auto"/>
          <w:kern w:val="2"/>
          <w:sz w:val="32"/>
          <w:szCs w:val="32"/>
          <w:highlight w:val="none"/>
          <w:lang w:val="en-US" w:eastAsia="zh-CN"/>
        </w:rPr>
        <w:t>99.32%，</w:t>
      </w:r>
      <w:r>
        <w:rPr>
          <w:rFonts w:hint="eastAsia" w:ascii="仿宋_GB2312"/>
          <w:color w:val="auto"/>
          <w:sz w:val="32"/>
          <w:szCs w:val="32"/>
          <w:highlight w:val="none"/>
          <w:lang w:eastAsia="zh-CN"/>
        </w:rPr>
        <w:t>较上年减少</w:t>
      </w:r>
      <w:r>
        <w:rPr>
          <w:rFonts w:hint="eastAsia" w:ascii="仿宋_GB2312"/>
          <w:color w:val="auto"/>
          <w:sz w:val="32"/>
          <w:szCs w:val="32"/>
          <w:lang w:val="en-US" w:eastAsia="zh-CN"/>
        </w:rPr>
        <w:t>13.16%。</w:t>
      </w:r>
    </w:p>
    <w:p w14:paraId="6CB29924">
      <w:pPr>
        <w:keepNext w:val="0"/>
        <w:keepLines w:val="0"/>
        <w:pageBreakBefore w:val="0"/>
        <w:widowControl w:val="0"/>
        <w:tabs>
          <w:tab w:val="center" w:pos="4475"/>
        </w:tabs>
        <w:kinsoku/>
        <w:wordWrap/>
        <w:overflowPunct/>
        <w:topLinePunct w:val="0"/>
        <w:autoSpaceDE/>
        <w:autoSpaceDN/>
        <w:bidi w:val="0"/>
        <w:spacing w:line="600" w:lineRule="exact"/>
        <w:ind w:firstLine="645"/>
        <w:textAlignment w:val="auto"/>
        <w:rPr>
          <w:rFonts w:hint="eastAsia" w:ascii="黑体" w:eastAsia="黑体"/>
          <w:b w:val="0"/>
          <w:bCs w:val="0"/>
          <w:color w:val="auto"/>
          <w:szCs w:val="32"/>
        </w:rPr>
      </w:pPr>
      <w:r>
        <w:rPr>
          <w:rFonts w:hint="eastAsia" w:ascii="黑体" w:eastAsia="黑体"/>
          <w:b w:val="0"/>
          <w:bCs w:val="0"/>
          <w:color w:val="auto"/>
          <w:szCs w:val="32"/>
        </w:rPr>
        <w:t>四、政府性基金预算支出情况说明</w:t>
      </w:r>
    </w:p>
    <w:p w14:paraId="00AC5891">
      <w:pPr>
        <w:keepNext w:val="0"/>
        <w:keepLines w:val="0"/>
        <w:pageBreakBefore w:val="0"/>
        <w:widowControl w:val="0"/>
        <w:tabs>
          <w:tab w:val="center" w:pos="4475"/>
        </w:tabs>
        <w:kinsoku/>
        <w:wordWrap/>
        <w:overflowPunct/>
        <w:topLinePunct w:val="0"/>
        <w:autoSpaceDE/>
        <w:autoSpaceDN/>
        <w:bidi w:val="0"/>
        <w:spacing w:line="600" w:lineRule="exact"/>
        <w:ind w:firstLine="645"/>
        <w:textAlignment w:val="auto"/>
        <w:rPr>
          <w:rFonts w:hint="eastAsia" w:ascii="仿宋_GB2312" w:hAnsi="Times New Roman" w:eastAsia="仿宋_GB2312" w:cs="Times New Roman"/>
          <w:b w:val="0"/>
          <w:bCs w:val="0"/>
          <w:color w:val="auto"/>
          <w:sz w:val="32"/>
          <w:szCs w:val="32"/>
          <w:u w:val="none"/>
          <w:lang w:eastAsia="zh-CN"/>
        </w:rPr>
      </w:pPr>
      <w:r>
        <w:rPr>
          <w:rFonts w:hint="eastAsia" w:ascii="仿宋_GB2312" w:hAnsi="宋体"/>
          <w:b w:val="0"/>
          <w:bCs w:val="0"/>
          <w:color w:val="auto"/>
          <w:szCs w:val="32"/>
          <w:highlight w:val="none"/>
          <w:u w:val="none"/>
        </w:rPr>
        <w:t>我</w:t>
      </w:r>
      <w:r>
        <w:rPr>
          <w:rFonts w:hint="eastAsia" w:ascii="仿宋_GB2312" w:hAnsi="宋体"/>
          <w:b w:val="0"/>
          <w:bCs w:val="0"/>
          <w:color w:val="auto"/>
          <w:szCs w:val="32"/>
          <w:highlight w:val="none"/>
          <w:u w:val="none"/>
          <w:lang w:eastAsia="zh-CN"/>
        </w:rPr>
        <w:t>单位</w:t>
      </w:r>
      <w:r>
        <w:rPr>
          <w:rFonts w:hint="eastAsia" w:ascii="仿宋_GB2312" w:hAnsi="宋体"/>
          <w:b w:val="0"/>
          <w:bCs w:val="0"/>
          <w:color w:val="auto"/>
          <w:szCs w:val="32"/>
          <w:highlight w:val="none"/>
          <w:u w:val="none"/>
        </w:rPr>
        <w:t>202</w:t>
      </w:r>
      <w:r>
        <w:rPr>
          <w:rFonts w:hint="eastAsia" w:ascii="仿宋_GB2312" w:hAnsi="宋体"/>
          <w:b w:val="0"/>
          <w:bCs w:val="0"/>
          <w:color w:val="auto"/>
          <w:szCs w:val="32"/>
          <w:highlight w:val="none"/>
          <w:u w:val="none"/>
          <w:lang w:val="en-US" w:eastAsia="zh-CN"/>
        </w:rPr>
        <w:t>5</w:t>
      </w:r>
      <w:r>
        <w:rPr>
          <w:rFonts w:hint="eastAsia" w:ascii="仿宋_GB2312" w:hAnsi="宋体"/>
          <w:b w:val="0"/>
          <w:bCs w:val="0"/>
          <w:color w:val="auto"/>
          <w:szCs w:val="32"/>
          <w:highlight w:val="none"/>
          <w:u w:val="none"/>
        </w:rPr>
        <w:t>年无政府性基金预算</w:t>
      </w:r>
      <w:r>
        <w:rPr>
          <w:rFonts w:hint="eastAsia" w:ascii="仿宋_GB2312" w:hAnsi="宋体"/>
          <w:b w:val="0"/>
          <w:bCs w:val="0"/>
          <w:color w:val="auto"/>
          <w:szCs w:val="32"/>
          <w:highlight w:val="none"/>
          <w:u w:val="none"/>
          <w:lang w:eastAsia="zh-CN"/>
        </w:rPr>
        <w:t>。</w:t>
      </w:r>
    </w:p>
    <w:p w14:paraId="7F4A6AAB">
      <w:pPr>
        <w:keepNext w:val="0"/>
        <w:keepLines w:val="0"/>
        <w:pageBreakBefore w:val="0"/>
        <w:widowControl w:val="0"/>
        <w:numPr>
          <w:ilvl w:val="0"/>
          <w:numId w:val="3"/>
        </w:numPr>
        <w:tabs>
          <w:tab w:val="center" w:pos="4475"/>
        </w:tabs>
        <w:kinsoku/>
        <w:wordWrap/>
        <w:overflowPunct/>
        <w:topLinePunct w:val="0"/>
        <w:autoSpaceDE/>
        <w:autoSpaceDN/>
        <w:bidi w:val="0"/>
        <w:spacing w:line="600" w:lineRule="exact"/>
        <w:ind w:firstLine="645"/>
        <w:textAlignment w:val="auto"/>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国有资本经营预算支出情况说明</w:t>
      </w:r>
    </w:p>
    <w:p w14:paraId="6EAD1E0B">
      <w:pPr>
        <w:keepNext w:val="0"/>
        <w:keepLines w:val="0"/>
        <w:pageBreakBefore w:val="0"/>
        <w:widowControl w:val="0"/>
        <w:tabs>
          <w:tab w:val="center" w:pos="4475"/>
        </w:tabs>
        <w:kinsoku/>
        <w:wordWrap/>
        <w:overflowPunct/>
        <w:topLinePunct w:val="0"/>
        <w:autoSpaceDE/>
        <w:autoSpaceDN/>
        <w:bidi w:val="0"/>
        <w:spacing w:line="600" w:lineRule="exact"/>
        <w:ind w:firstLine="645"/>
        <w:textAlignment w:val="auto"/>
        <w:rPr>
          <w:rFonts w:hint="eastAsia" w:ascii="仿宋_GB2312" w:hAnsi="Times New Roman" w:eastAsia="仿宋_GB2312" w:cs="Times New Roman"/>
          <w:b w:val="0"/>
          <w:bCs w:val="0"/>
          <w:color w:val="auto"/>
          <w:sz w:val="32"/>
          <w:szCs w:val="32"/>
          <w:u w:val="none"/>
          <w:lang w:eastAsia="zh-CN"/>
        </w:rPr>
      </w:pPr>
      <w:r>
        <w:rPr>
          <w:rFonts w:hint="eastAsia" w:ascii="仿宋_GB2312" w:hAnsi="宋体"/>
          <w:b w:val="0"/>
          <w:bCs w:val="0"/>
          <w:color w:val="auto"/>
          <w:szCs w:val="32"/>
          <w:highlight w:val="none"/>
          <w:u w:val="none"/>
        </w:rPr>
        <w:t>我</w:t>
      </w:r>
      <w:r>
        <w:rPr>
          <w:rFonts w:hint="eastAsia" w:ascii="仿宋_GB2312" w:hAnsi="宋体"/>
          <w:b w:val="0"/>
          <w:bCs w:val="0"/>
          <w:color w:val="auto"/>
          <w:szCs w:val="32"/>
          <w:highlight w:val="none"/>
          <w:u w:val="none"/>
          <w:lang w:eastAsia="zh-CN"/>
        </w:rPr>
        <w:t>单位</w:t>
      </w:r>
      <w:r>
        <w:rPr>
          <w:rFonts w:hint="eastAsia" w:ascii="仿宋_GB2312" w:hAnsi="宋体"/>
          <w:b w:val="0"/>
          <w:bCs w:val="0"/>
          <w:color w:val="auto"/>
          <w:szCs w:val="32"/>
          <w:highlight w:val="none"/>
          <w:u w:val="none"/>
        </w:rPr>
        <w:t>202</w:t>
      </w:r>
      <w:r>
        <w:rPr>
          <w:rFonts w:hint="eastAsia" w:ascii="仿宋_GB2312" w:hAnsi="宋体"/>
          <w:b w:val="0"/>
          <w:bCs w:val="0"/>
          <w:color w:val="auto"/>
          <w:szCs w:val="32"/>
          <w:highlight w:val="none"/>
          <w:u w:val="none"/>
          <w:lang w:val="en-US" w:eastAsia="zh-CN"/>
        </w:rPr>
        <w:t>5</w:t>
      </w:r>
      <w:r>
        <w:rPr>
          <w:rFonts w:hint="eastAsia" w:ascii="仿宋_GB2312" w:hAnsi="宋体"/>
          <w:b w:val="0"/>
          <w:bCs w:val="0"/>
          <w:color w:val="auto"/>
          <w:szCs w:val="32"/>
          <w:highlight w:val="none"/>
          <w:u w:val="none"/>
        </w:rPr>
        <w:t>年无</w:t>
      </w:r>
      <w:r>
        <w:rPr>
          <w:rFonts w:hint="eastAsia" w:ascii="仿宋_GB2312" w:hAnsi="宋体"/>
          <w:b w:val="0"/>
          <w:bCs w:val="0"/>
          <w:color w:val="auto"/>
          <w:szCs w:val="32"/>
          <w:highlight w:val="none"/>
          <w:u w:val="none"/>
          <w:lang w:eastAsia="zh-CN"/>
        </w:rPr>
        <w:t>国有资本经营</w:t>
      </w:r>
      <w:r>
        <w:rPr>
          <w:rFonts w:hint="eastAsia" w:ascii="仿宋_GB2312" w:hAnsi="宋体"/>
          <w:b w:val="0"/>
          <w:bCs w:val="0"/>
          <w:color w:val="auto"/>
          <w:szCs w:val="32"/>
          <w:highlight w:val="none"/>
          <w:u w:val="none"/>
        </w:rPr>
        <w:t>预算</w:t>
      </w:r>
      <w:r>
        <w:rPr>
          <w:rFonts w:hint="eastAsia" w:ascii="仿宋_GB2312" w:hAnsi="宋体"/>
          <w:b w:val="0"/>
          <w:bCs w:val="0"/>
          <w:color w:val="auto"/>
          <w:szCs w:val="32"/>
          <w:highlight w:val="none"/>
          <w:u w:val="none"/>
          <w:lang w:eastAsia="zh-CN"/>
        </w:rPr>
        <w:t>。</w:t>
      </w:r>
    </w:p>
    <w:p w14:paraId="7C6113CC">
      <w:pPr>
        <w:keepNext w:val="0"/>
        <w:keepLines w:val="0"/>
        <w:pageBreakBefore w:val="0"/>
        <w:widowControl w:val="0"/>
        <w:tabs>
          <w:tab w:val="center" w:pos="4475"/>
        </w:tabs>
        <w:kinsoku/>
        <w:wordWrap/>
        <w:overflowPunct/>
        <w:topLinePunct w:val="0"/>
        <w:autoSpaceDE/>
        <w:autoSpaceDN/>
        <w:bidi w:val="0"/>
        <w:spacing w:line="600" w:lineRule="exact"/>
        <w:ind w:firstLine="645"/>
        <w:textAlignment w:val="auto"/>
        <w:rPr>
          <w:rFonts w:hint="eastAsia" w:ascii="仿宋_GB2312" w:hAnsi="宋体"/>
          <w:b/>
          <w:bCs/>
          <w:color w:val="auto"/>
          <w:szCs w:val="32"/>
          <w:highlight w:val="none"/>
          <w:u w:val="single"/>
        </w:rPr>
      </w:pPr>
      <w:r>
        <w:rPr>
          <w:rFonts w:hint="eastAsia" w:ascii="黑体" w:eastAsia="黑体"/>
          <w:b w:val="0"/>
          <w:bCs w:val="0"/>
          <w:color w:val="auto"/>
          <w:szCs w:val="32"/>
        </w:rPr>
        <w:t>六、一般公共预算“三公”经费支出情况说明</w:t>
      </w:r>
    </w:p>
    <w:p w14:paraId="2BBAC414">
      <w:pPr>
        <w:keepNext w:val="0"/>
        <w:keepLines w:val="0"/>
        <w:pageBreakBefore w:val="0"/>
        <w:widowControl w:val="0"/>
        <w:tabs>
          <w:tab w:val="center" w:pos="4475"/>
        </w:tabs>
        <w:kinsoku/>
        <w:wordWrap/>
        <w:overflowPunct/>
        <w:topLinePunct w:val="0"/>
        <w:autoSpaceDE/>
        <w:autoSpaceDN/>
        <w:bidi w:val="0"/>
        <w:spacing w:line="600" w:lineRule="exact"/>
        <w:ind w:firstLine="645"/>
        <w:textAlignment w:val="auto"/>
        <w:rPr>
          <w:rFonts w:hint="eastAsia" w:ascii="仿宋_GB2312" w:hAnsi="Times New Roman" w:cs="Times New Roman"/>
          <w:color w:val="auto"/>
          <w:sz w:val="32"/>
          <w:szCs w:val="32"/>
          <w:lang w:eastAsia="zh-CN"/>
        </w:rPr>
      </w:pPr>
      <w:r>
        <w:rPr>
          <w:rFonts w:hint="eastAsia" w:ascii="仿宋_GB2312" w:hAnsi="Times New Roman" w:cs="Times New Roman"/>
          <w:color w:val="auto"/>
          <w:sz w:val="32"/>
          <w:szCs w:val="32"/>
          <w:lang w:eastAsia="zh-CN"/>
        </w:rPr>
        <w:t>我单位202</w:t>
      </w:r>
      <w:r>
        <w:rPr>
          <w:rFonts w:hint="eastAsia" w:ascii="仿宋_GB2312" w:cs="Times New Roman"/>
          <w:color w:val="auto"/>
          <w:sz w:val="32"/>
          <w:szCs w:val="32"/>
          <w:lang w:val="en-US" w:eastAsia="zh-CN"/>
        </w:rPr>
        <w:t>5</w:t>
      </w:r>
      <w:r>
        <w:rPr>
          <w:rFonts w:hint="eastAsia" w:ascii="仿宋_GB2312" w:hAnsi="Times New Roman" w:cs="Times New Roman"/>
          <w:color w:val="auto"/>
          <w:sz w:val="32"/>
          <w:szCs w:val="32"/>
          <w:lang w:eastAsia="zh-CN"/>
        </w:rPr>
        <w:t>年一般公共预算安排的“三公”经费支出预算</w:t>
      </w:r>
      <w:r>
        <w:rPr>
          <w:rFonts w:hint="eastAsia" w:ascii="仿宋_GB2312" w:hAnsi="Times New Roman" w:cs="Times New Roman"/>
          <w:color w:val="auto"/>
          <w:sz w:val="32"/>
          <w:szCs w:val="32"/>
          <w:lang w:val="en-US" w:eastAsia="zh-CN"/>
        </w:rPr>
        <w:t>0</w:t>
      </w:r>
      <w:r>
        <w:rPr>
          <w:rFonts w:hint="eastAsia" w:ascii="仿宋_GB2312" w:hAnsi="Times New Roman" w:cs="Times New Roman"/>
          <w:color w:val="auto"/>
          <w:sz w:val="32"/>
          <w:szCs w:val="32"/>
          <w:lang w:eastAsia="zh-CN"/>
        </w:rPr>
        <w:t>万元，同口径比</w:t>
      </w:r>
      <w:r>
        <w:rPr>
          <w:rFonts w:hint="eastAsia" w:ascii="仿宋_GB2312" w:cs="Times New Roman"/>
          <w:color w:val="auto"/>
          <w:sz w:val="32"/>
          <w:szCs w:val="32"/>
          <w:lang w:eastAsia="zh-CN"/>
        </w:rPr>
        <w:t>202</w:t>
      </w:r>
      <w:r>
        <w:rPr>
          <w:rFonts w:hint="eastAsia" w:ascii="仿宋_GB2312" w:cs="Times New Roman"/>
          <w:color w:val="auto"/>
          <w:sz w:val="32"/>
          <w:szCs w:val="32"/>
          <w:lang w:val="en-US" w:eastAsia="zh-CN"/>
        </w:rPr>
        <w:t>4</w:t>
      </w:r>
      <w:r>
        <w:rPr>
          <w:rFonts w:hint="eastAsia" w:ascii="仿宋_GB2312" w:cs="Times New Roman"/>
          <w:color w:val="auto"/>
          <w:sz w:val="32"/>
          <w:szCs w:val="32"/>
          <w:lang w:eastAsia="zh-CN"/>
        </w:rPr>
        <w:t>年</w:t>
      </w:r>
      <w:r>
        <w:rPr>
          <w:rFonts w:hint="eastAsia" w:ascii="仿宋_GB2312" w:hAnsi="Times New Roman" w:cs="Times New Roman"/>
          <w:color w:val="auto"/>
          <w:sz w:val="32"/>
          <w:szCs w:val="32"/>
          <w:lang w:eastAsia="zh-CN"/>
        </w:rPr>
        <w:t>无变化，具体如下：</w:t>
      </w:r>
    </w:p>
    <w:p w14:paraId="42B70094">
      <w:pPr>
        <w:keepNext w:val="0"/>
        <w:keepLines w:val="0"/>
        <w:pageBreakBefore w:val="0"/>
        <w:widowControl w:val="0"/>
        <w:tabs>
          <w:tab w:val="center" w:pos="4475"/>
        </w:tabs>
        <w:kinsoku/>
        <w:wordWrap/>
        <w:overflowPunct/>
        <w:topLinePunct w:val="0"/>
        <w:autoSpaceDE/>
        <w:autoSpaceDN/>
        <w:bidi w:val="0"/>
        <w:spacing w:line="600" w:lineRule="exact"/>
        <w:ind w:firstLine="645"/>
        <w:textAlignment w:val="auto"/>
        <w:rPr>
          <w:rFonts w:hint="eastAsia" w:ascii="仿宋_GB2312" w:hAnsi="Times New Roman" w:cs="Times New Roman"/>
          <w:color w:val="auto"/>
          <w:sz w:val="32"/>
          <w:szCs w:val="32"/>
          <w:lang w:eastAsia="zh-CN"/>
        </w:rPr>
      </w:pPr>
      <w:r>
        <w:rPr>
          <w:rFonts w:hint="eastAsia" w:ascii="仿宋_GB2312"/>
          <w:color w:val="auto"/>
          <w:lang w:eastAsia="zh-CN"/>
        </w:rPr>
        <w:t>（一）</w:t>
      </w:r>
      <w:r>
        <w:rPr>
          <w:rFonts w:hint="eastAsia" w:ascii="仿宋_GB2312" w:hAnsi="Times New Roman" w:cs="Times New Roman"/>
          <w:color w:val="auto"/>
          <w:sz w:val="32"/>
          <w:szCs w:val="32"/>
          <w:lang w:eastAsia="zh-CN"/>
        </w:rPr>
        <w:t>因公出国（境）费</w:t>
      </w:r>
      <w:r>
        <w:rPr>
          <w:rFonts w:hint="eastAsia" w:ascii="仿宋_GB2312" w:cs="Times New Roman"/>
          <w:color w:val="auto"/>
          <w:sz w:val="32"/>
          <w:szCs w:val="32"/>
          <w:lang w:eastAsia="zh-CN"/>
        </w:rPr>
        <w:t>2025年</w:t>
      </w:r>
      <w:r>
        <w:rPr>
          <w:rFonts w:hint="eastAsia" w:ascii="仿宋_GB2312" w:hAnsi="Times New Roman" w:cs="Times New Roman"/>
          <w:color w:val="auto"/>
          <w:sz w:val="32"/>
          <w:szCs w:val="32"/>
          <w:lang w:eastAsia="zh-CN"/>
        </w:rPr>
        <w:t>预算安排</w:t>
      </w:r>
      <w:r>
        <w:rPr>
          <w:rFonts w:hint="eastAsia" w:ascii="仿宋_GB2312" w:hAnsi="Times New Roman" w:cs="Times New Roman"/>
          <w:color w:val="auto"/>
          <w:sz w:val="32"/>
          <w:szCs w:val="32"/>
          <w:lang w:val="en-US" w:eastAsia="zh-CN"/>
        </w:rPr>
        <w:t>0</w:t>
      </w:r>
      <w:r>
        <w:rPr>
          <w:rFonts w:hint="eastAsia" w:ascii="仿宋_GB2312" w:hAnsi="Times New Roman" w:cs="Times New Roman"/>
          <w:color w:val="auto"/>
          <w:sz w:val="32"/>
          <w:szCs w:val="32"/>
          <w:lang w:eastAsia="zh-CN"/>
        </w:rPr>
        <w:t>万元，与上年持平。</w:t>
      </w:r>
    </w:p>
    <w:p w14:paraId="3D5B33EA">
      <w:pPr>
        <w:keepNext w:val="0"/>
        <w:keepLines w:val="0"/>
        <w:pageBreakBefore w:val="0"/>
        <w:widowControl w:val="0"/>
        <w:tabs>
          <w:tab w:val="center" w:pos="4475"/>
        </w:tabs>
        <w:kinsoku/>
        <w:wordWrap/>
        <w:overflowPunct/>
        <w:topLinePunct w:val="0"/>
        <w:autoSpaceDE/>
        <w:autoSpaceDN/>
        <w:bidi w:val="0"/>
        <w:spacing w:line="600" w:lineRule="exact"/>
        <w:ind w:firstLine="645"/>
        <w:textAlignment w:val="auto"/>
        <w:rPr>
          <w:rFonts w:hint="eastAsia" w:ascii="仿宋_GB2312" w:hAnsi="Times New Roman" w:cs="Times New Roman"/>
          <w:color w:val="auto"/>
          <w:sz w:val="32"/>
          <w:szCs w:val="32"/>
          <w:lang w:eastAsia="zh-CN"/>
        </w:rPr>
      </w:pPr>
      <w:r>
        <w:rPr>
          <w:rFonts w:hint="eastAsia" w:ascii="仿宋_GB2312"/>
          <w:color w:val="auto"/>
          <w:lang w:eastAsia="zh-CN"/>
        </w:rPr>
        <w:t>（二）</w:t>
      </w:r>
      <w:r>
        <w:rPr>
          <w:rFonts w:hint="eastAsia" w:ascii="仿宋_GB2312" w:hAnsi="Times New Roman" w:cs="Times New Roman"/>
          <w:color w:val="auto"/>
          <w:sz w:val="32"/>
          <w:szCs w:val="32"/>
          <w:lang w:eastAsia="zh-CN"/>
        </w:rPr>
        <w:t>公务用车购置及运行费</w:t>
      </w:r>
      <w:r>
        <w:rPr>
          <w:rFonts w:hint="eastAsia" w:ascii="仿宋_GB2312" w:cs="Times New Roman"/>
          <w:color w:val="auto"/>
          <w:sz w:val="32"/>
          <w:szCs w:val="32"/>
          <w:lang w:eastAsia="zh-CN"/>
        </w:rPr>
        <w:t>2025年</w:t>
      </w:r>
      <w:r>
        <w:rPr>
          <w:rFonts w:hint="eastAsia" w:ascii="仿宋_GB2312" w:hAnsi="Times New Roman" w:cs="Times New Roman"/>
          <w:color w:val="auto"/>
          <w:sz w:val="32"/>
          <w:szCs w:val="32"/>
          <w:lang w:eastAsia="zh-CN"/>
        </w:rPr>
        <w:t>预算安排</w:t>
      </w:r>
      <w:r>
        <w:rPr>
          <w:rFonts w:hint="eastAsia" w:ascii="仿宋_GB2312" w:hAnsi="Times New Roman" w:cs="Times New Roman"/>
          <w:color w:val="auto"/>
          <w:sz w:val="32"/>
          <w:szCs w:val="32"/>
          <w:lang w:val="en-US" w:eastAsia="zh-CN"/>
        </w:rPr>
        <w:t>0</w:t>
      </w:r>
      <w:r>
        <w:rPr>
          <w:rFonts w:hint="eastAsia" w:ascii="仿宋_GB2312" w:hAnsi="Times New Roman" w:cs="Times New Roman"/>
          <w:color w:val="auto"/>
          <w:sz w:val="32"/>
          <w:szCs w:val="32"/>
          <w:lang w:eastAsia="zh-CN"/>
        </w:rPr>
        <w:t>万元，与上年持平：</w:t>
      </w:r>
    </w:p>
    <w:p w14:paraId="3BB9F839">
      <w:pPr>
        <w:keepNext w:val="0"/>
        <w:keepLines w:val="0"/>
        <w:pageBreakBefore w:val="0"/>
        <w:widowControl w:val="0"/>
        <w:tabs>
          <w:tab w:val="center" w:pos="4475"/>
        </w:tabs>
        <w:kinsoku/>
        <w:wordWrap/>
        <w:overflowPunct/>
        <w:topLinePunct w:val="0"/>
        <w:autoSpaceDE/>
        <w:autoSpaceDN/>
        <w:bidi w:val="0"/>
        <w:spacing w:line="600" w:lineRule="exact"/>
        <w:ind w:firstLine="645"/>
        <w:textAlignment w:val="auto"/>
        <w:rPr>
          <w:rFonts w:hint="eastAsia" w:ascii="仿宋_GB2312" w:hAnsi="Times New Roman" w:cs="Times New Roman"/>
          <w:color w:val="auto"/>
          <w:sz w:val="32"/>
          <w:szCs w:val="32"/>
          <w:lang w:eastAsia="zh-CN"/>
        </w:rPr>
      </w:pPr>
      <w:r>
        <w:rPr>
          <w:rFonts w:hint="eastAsia" w:ascii="仿宋_GB2312"/>
          <w:color w:val="auto"/>
          <w:lang w:eastAsia="zh-CN"/>
        </w:rPr>
        <w:t>（三）</w:t>
      </w:r>
      <w:r>
        <w:rPr>
          <w:rFonts w:hint="eastAsia" w:ascii="仿宋_GB2312" w:hAnsi="Times New Roman" w:cs="Times New Roman"/>
          <w:color w:val="auto"/>
          <w:sz w:val="32"/>
          <w:szCs w:val="32"/>
          <w:lang w:eastAsia="zh-CN"/>
        </w:rPr>
        <w:t>公务接待费</w:t>
      </w:r>
      <w:r>
        <w:rPr>
          <w:rFonts w:hint="eastAsia" w:ascii="仿宋_GB2312" w:cs="Times New Roman"/>
          <w:color w:val="auto"/>
          <w:sz w:val="32"/>
          <w:szCs w:val="32"/>
          <w:lang w:eastAsia="zh-CN"/>
        </w:rPr>
        <w:t>2025年</w:t>
      </w:r>
      <w:r>
        <w:rPr>
          <w:rFonts w:hint="eastAsia" w:ascii="仿宋_GB2312" w:hAnsi="Times New Roman" w:cs="Times New Roman"/>
          <w:color w:val="auto"/>
          <w:sz w:val="32"/>
          <w:szCs w:val="32"/>
          <w:lang w:eastAsia="zh-CN"/>
        </w:rPr>
        <w:t>预算安排</w:t>
      </w:r>
      <w:r>
        <w:rPr>
          <w:rFonts w:hint="eastAsia" w:ascii="仿宋_GB2312" w:hAnsi="Times New Roman" w:cs="Times New Roman"/>
          <w:color w:val="auto"/>
          <w:sz w:val="32"/>
          <w:szCs w:val="32"/>
          <w:lang w:val="en-US" w:eastAsia="zh-CN"/>
        </w:rPr>
        <w:t>0</w:t>
      </w:r>
      <w:r>
        <w:rPr>
          <w:rFonts w:hint="eastAsia" w:ascii="仿宋_GB2312" w:hAnsi="Times New Roman" w:cs="Times New Roman"/>
          <w:color w:val="auto"/>
          <w:sz w:val="32"/>
          <w:szCs w:val="32"/>
          <w:lang w:eastAsia="zh-CN"/>
        </w:rPr>
        <w:t>万元，与上年持平。</w:t>
      </w:r>
    </w:p>
    <w:p w14:paraId="30FB2B4E">
      <w:pPr>
        <w:keepNext w:val="0"/>
        <w:keepLines w:val="0"/>
        <w:pageBreakBefore w:val="0"/>
        <w:widowControl w:val="0"/>
        <w:tabs>
          <w:tab w:val="center" w:pos="4475"/>
        </w:tabs>
        <w:kinsoku/>
        <w:wordWrap/>
        <w:overflowPunct/>
        <w:topLinePunct w:val="0"/>
        <w:autoSpaceDE/>
        <w:autoSpaceDN/>
        <w:bidi w:val="0"/>
        <w:spacing w:line="600" w:lineRule="exact"/>
        <w:ind w:firstLine="645"/>
        <w:textAlignment w:val="auto"/>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Cs w:val="32"/>
        </w:rPr>
        <w:t>七、</w:t>
      </w:r>
      <w:r>
        <w:rPr>
          <w:rFonts w:hint="eastAsia" w:ascii="黑体" w:hAnsi="黑体" w:eastAsia="黑体" w:cs="黑体"/>
          <w:b w:val="0"/>
          <w:bCs w:val="0"/>
          <w:color w:val="auto"/>
          <w:sz w:val="32"/>
          <w:szCs w:val="32"/>
          <w:highlight w:val="none"/>
          <w:lang w:eastAsia="zh-CN"/>
        </w:rPr>
        <w:t>事业单位相关运行经费安排情况说明</w:t>
      </w:r>
    </w:p>
    <w:p w14:paraId="2A856E88">
      <w:pPr>
        <w:keepNext w:val="0"/>
        <w:keepLines w:val="0"/>
        <w:pageBreakBefore w:val="0"/>
        <w:widowControl w:val="0"/>
        <w:tabs>
          <w:tab w:val="center" w:pos="4475"/>
        </w:tabs>
        <w:kinsoku/>
        <w:wordWrap/>
        <w:overflowPunct/>
        <w:topLinePunct w:val="0"/>
        <w:autoSpaceDE/>
        <w:autoSpaceDN/>
        <w:bidi w:val="0"/>
        <w:spacing w:line="600" w:lineRule="exact"/>
        <w:ind w:firstLine="645"/>
        <w:textAlignment w:val="auto"/>
        <w:rPr>
          <w:rFonts w:hint="eastAsia" w:ascii="仿宋_GB2312" w:hAnsi="宋体"/>
          <w:b/>
          <w:bCs/>
          <w:color w:val="auto"/>
          <w:szCs w:val="32"/>
          <w:highlight w:val="none"/>
          <w:u w:val="single"/>
        </w:rPr>
      </w:pPr>
      <w:r>
        <w:rPr>
          <w:rFonts w:hint="eastAsia" w:ascii="仿宋_GB2312" w:hAnsi="宋体" w:cs="Times New Roman"/>
          <w:color w:val="auto"/>
          <w:szCs w:val="32"/>
          <w:highlight w:val="none"/>
          <w:lang w:eastAsia="zh-CN"/>
        </w:rPr>
        <w:t>我单位事业单位运行经费主要包括</w:t>
      </w:r>
      <w:r>
        <w:rPr>
          <w:rFonts w:hint="eastAsia" w:ascii="仿宋_GB2312" w:hAnsi="宋体" w:cs="Times New Roman"/>
          <w:color w:val="auto"/>
          <w:szCs w:val="32"/>
          <w:highlight w:val="none"/>
          <w:lang w:val="en-US" w:eastAsia="zh-CN"/>
        </w:rPr>
        <w:t>其他商品和服务支出。</w:t>
      </w:r>
      <w:r>
        <w:rPr>
          <w:rFonts w:hint="eastAsia" w:ascii="仿宋_GB2312" w:hAnsi="宋体" w:cs="Times New Roman"/>
          <w:color w:val="auto"/>
          <w:szCs w:val="32"/>
          <w:highlight w:val="none"/>
          <w:lang w:eastAsia="zh-CN"/>
        </w:rPr>
        <w:t>我单位</w:t>
      </w:r>
      <w:r>
        <w:rPr>
          <w:rFonts w:hint="eastAsia" w:ascii="仿宋_GB2312" w:hAnsi="宋体" w:cs="Times New Roman"/>
          <w:color w:val="auto"/>
          <w:szCs w:val="32"/>
          <w:highlight w:val="none"/>
          <w:lang w:val="en-US" w:eastAsia="zh-CN"/>
        </w:rPr>
        <w:t>2025年</w:t>
      </w:r>
      <w:r>
        <w:rPr>
          <w:rFonts w:hint="eastAsia" w:ascii="仿宋_GB2312" w:hAnsi="宋体" w:cs="Times New Roman"/>
          <w:color w:val="auto"/>
          <w:szCs w:val="32"/>
          <w:highlight w:val="none"/>
          <w:lang w:eastAsia="zh-CN"/>
        </w:rPr>
        <w:t>事业单位</w:t>
      </w:r>
      <w:r>
        <w:rPr>
          <w:rFonts w:hint="eastAsia" w:ascii="仿宋_GB2312" w:hAnsi="宋体" w:cs="Times New Roman"/>
          <w:color w:val="auto"/>
          <w:szCs w:val="32"/>
          <w:highlight w:val="none"/>
          <w:lang w:val="en-US" w:eastAsia="zh-CN"/>
        </w:rPr>
        <w:t>运行经费预算0.2万元，与上年持平。</w:t>
      </w:r>
    </w:p>
    <w:p w14:paraId="2E0FB690">
      <w:pPr>
        <w:keepNext w:val="0"/>
        <w:keepLines w:val="0"/>
        <w:pageBreakBefore w:val="0"/>
        <w:widowControl w:val="0"/>
        <w:tabs>
          <w:tab w:val="center" w:pos="4475"/>
        </w:tabs>
        <w:kinsoku/>
        <w:wordWrap/>
        <w:overflowPunct/>
        <w:topLinePunct w:val="0"/>
        <w:autoSpaceDE/>
        <w:autoSpaceDN/>
        <w:bidi w:val="0"/>
        <w:spacing w:line="600" w:lineRule="exact"/>
        <w:ind w:firstLine="645"/>
        <w:textAlignment w:val="auto"/>
        <w:rPr>
          <w:rFonts w:hint="eastAsia" w:ascii="黑体" w:eastAsia="黑体"/>
          <w:b w:val="0"/>
          <w:bCs w:val="0"/>
          <w:szCs w:val="32"/>
        </w:rPr>
      </w:pPr>
      <w:r>
        <w:rPr>
          <w:rFonts w:hint="eastAsia" w:ascii="仿宋_GB2312" w:hAnsi="Times New Roman" w:cs="Times New Roman"/>
          <w:sz w:val="32"/>
          <w:szCs w:val="32"/>
          <w:lang w:eastAsia="zh-CN"/>
        </w:rPr>
        <w:t xml:space="preserve"> </w:t>
      </w:r>
      <w:r>
        <w:rPr>
          <w:rFonts w:hint="eastAsia" w:ascii="黑体" w:eastAsia="黑体"/>
          <w:b w:val="0"/>
          <w:bCs w:val="0"/>
          <w:szCs w:val="32"/>
        </w:rPr>
        <w:t>八、政府采购预算安排情况说明</w:t>
      </w:r>
    </w:p>
    <w:p w14:paraId="09B3BB40">
      <w:pPr>
        <w:keepNext w:val="0"/>
        <w:keepLines w:val="0"/>
        <w:pageBreakBefore w:val="0"/>
        <w:widowControl w:val="0"/>
        <w:tabs>
          <w:tab w:val="center" w:pos="4475"/>
        </w:tabs>
        <w:kinsoku/>
        <w:wordWrap/>
        <w:overflowPunct/>
        <w:topLinePunct w:val="0"/>
        <w:autoSpaceDE/>
        <w:autoSpaceDN/>
        <w:bidi w:val="0"/>
        <w:spacing w:line="600" w:lineRule="exact"/>
        <w:ind w:firstLine="645"/>
        <w:textAlignment w:val="auto"/>
        <w:rPr>
          <w:rFonts w:hint="eastAsia"/>
          <w:b/>
          <w:bCs/>
          <w:color w:val="auto"/>
          <w:sz w:val="32"/>
          <w:szCs w:val="32"/>
          <w:lang w:eastAsia="zh-CN"/>
        </w:rPr>
      </w:pPr>
      <w:r>
        <w:rPr>
          <w:rFonts w:hint="eastAsia" w:ascii="仿宋_GB2312" w:hAnsi="Times New Roman" w:cs="Times New Roman"/>
          <w:color w:val="auto"/>
          <w:sz w:val="32"/>
          <w:szCs w:val="32"/>
          <w:lang w:eastAsia="zh-CN"/>
        </w:rPr>
        <w:t>我单位2025年政府采购预算总金额361.48万元。其中：货物类采购</w:t>
      </w:r>
      <w:r>
        <w:rPr>
          <w:rFonts w:hint="eastAsia" w:ascii="仿宋_GB2312" w:cs="Times New Roman"/>
          <w:color w:val="auto"/>
          <w:sz w:val="32"/>
          <w:szCs w:val="32"/>
          <w:lang w:val="en-US" w:eastAsia="zh-CN"/>
        </w:rPr>
        <w:t>29</w:t>
      </w:r>
      <w:r>
        <w:rPr>
          <w:rFonts w:hint="eastAsia" w:ascii="仿宋_GB2312" w:hAnsi="Times New Roman" w:cs="Times New Roman"/>
          <w:color w:val="auto"/>
          <w:sz w:val="32"/>
          <w:szCs w:val="32"/>
          <w:lang w:eastAsia="zh-CN"/>
        </w:rPr>
        <w:t>5.48万元、工程类采购51.00万元、服务类采购</w:t>
      </w:r>
      <w:r>
        <w:rPr>
          <w:rFonts w:hint="eastAsia" w:ascii="仿宋_GB2312" w:cs="Times New Roman"/>
          <w:color w:val="auto"/>
          <w:sz w:val="32"/>
          <w:szCs w:val="32"/>
          <w:lang w:val="en-US" w:eastAsia="zh-CN"/>
        </w:rPr>
        <w:t>1</w:t>
      </w:r>
      <w:r>
        <w:rPr>
          <w:rFonts w:hint="eastAsia" w:ascii="仿宋_GB2312" w:hAnsi="Times New Roman" w:cs="Times New Roman"/>
          <w:color w:val="auto"/>
          <w:sz w:val="32"/>
          <w:szCs w:val="32"/>
          <w:lang w:eastAsia="zh-CN"/>
        </w:rPr>
        <w:t>5.00万元。</w:t>
      </w:r>
    </w:p>
    <w:p w14:paraId="1C361D2E">
      <w:pPr>
        <w:keepNext w:val="0"/>
        <w:keepLines w:val="0"/>
        <w:pageBreakBefore w:val="0"/>
        <w:widowControl w:val="0"/>
        <w:tabs>
          <w:tab w:val="center" w:pos="4475"/>
        </w:tabs>
        <w:kinsoku/>
        <w:wordWrap/>
        <w:overflowPunct/>
        <w:topLinePunct w:val="0"/>
        <w:autoSpaceDE/>
        <w:autoSpaceDN/>
        <w:bidi w:val="0"/>
        <w:spacing w:line="600" w:lineRule="exact"/>
        <w:ind w:firstLine="645"/>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九、国有资产占用情况说明</w:t>
      </w:r>
    </w:p>
    <w:p w14:paraId="75FAB264">
      <w:pPr>
        <w:keepNext w:val="0"/>
        <w:keepLines w:val="0"/>
        <w:pageBreakBefore w:val="0"/>
        <w:widowControl w:val="0"/>
        <w:numPr>
          <w:ilvl w:val="0"/>
          <w:numId w:val="0"/>
        </w:numPr>
        <w:tabs>
          <w:tab w:val="center" w:pos="4475"/>
        </w:tabs>
        <w:kinsoku/>
        <w:wordWrap/>
        <w:overflowPunct/>
        <w:topLinePunct w:val="0"/>
        <w:autoSpaceDE/>
        <w:autoSpaceDN/>
        <w:bidi w:val="0"/>
        <w:spacing w:line="600" w:lineRule="exact"/>
        <w:ind w:firstLine="640" w:firstLineChars="200"/>
        <w:textAlignment w:val="auto"/>
        <w:rPr>
          <w:rFonts w:hint="eastAsia" w:ascii="仿宋_GB2312" w:hAnsi="Times New Roman" w:cs="Times New Roman"/>
          <w:sz w:val="32"/>
          <w:szCs w:val="32"/>
          <w:lang w:eastAsia="zh-CN"/>
        </w:rPr>
      </w:pPr>
      <w:r>
        <w:rPr>
          <w:rFonts w:hint="eastAsia" w:ascii="仿宋_GB2312" w:hAnsi="Times New Roman" w:cs="Times New Roman"/>
          <w:sz w:val="32"/>
          <w:szCs w:val="32"/>
          <w:lang w:eastAsia="zh-CN"/>
        </w:rPr>
        <w:t>截至202</w:t>
      </w:r>
      <w:r>
        <w:rPr>
          <w:rFonts w:hint="eastAsia" w:ascii="仿宋_GB2312" w:cs="Times New Roman"/>
          <w:sz w:val="32"/>
          <w:szCs w:val="32"/>
          <w:lang w:val="en-US" w:eastAsia="zh-CN"/>
        </w:rPr>
        <w:t>4</w:t>
      </w:r>
      <w:r>
        <w:rPr>
          <w:rFonts w:hint="eastAsia" w:ascii="仿宋_GB2312" w:hAnsi="Times New Roman" w:cs="Times New Roman"/>
          <w:sz w:val="32"/>
          <w:szCs w:val="32"/>
          <w:lang w:eastAsia="zh-CN"/>
        </w:rPr>
        <w:t>年底，本单位共有车辆3辆，其中：应急保障用车0辆、特种专业技术用车3辆、其他用车0辆，其；单价100万元（含）以上设备0台（套）。202</w:t>
      </w:r>
      <w:r>
        <w:rPr>
          <w:rFonts w:hint="eastAsia" w:ascii="仿宋_GB2312" w:cs="Times New Roman"/>
          <w:sz w:val="32"/>
          <w:szCs w:val="32"/>
          <w:lang w:val="en-US" w:eastAsia="zh-CN"/>
        </w:rPr>
        <w:t>5</w:t>
      </w:r>
      <w:r>
        <w:rPr>
          <w:rFonts w:hint="eastAsia" w:ascii="仿宋_GB2312" w:hAnsi="Times New Roman" w:cs="Times New Roman"/>
          <w:sz w:val="32"/>
          <w:szCs w:val="32"/>
          <w:lang w:eastAsia="zh-CN"/>
        </w:rPr>
        <w:t>单位预算：安排购置车辆0台；安排购置单位价值100万元以上的专用设备0台（套）。</w:t>
      </w:r>
    </w:p>
    <w:p w14:paraId="1569CF09">
      <w:pPr>
        <w:keepNext w:val="0"/>
        <w:keepLines w:val="0"/>
        <w:pageBreakBefore w:val="0"/>
        <w:widowControl w:val="0"/>
        <w:numPr>
          <w:ilvl w:val="0"/>
          <w:numId w:val="0"/>
        </w:numPr>
        <w:tabs>
          <w:tab w:val="center" w:pos="4475"/>
        </w:tabs>
        <w:kinsoku/>
        <w:wordWrap/>
        <w:overflowPunct/>
        <w:topLinePunct w:val="0"/>
        <w:autoSpaceDE/>
        <w:autoSpaceDN/>
        <w:bidi w:val="0"/>
        <w:spacing w:line="600" w:lineRule="exact"/>
        <w:ind w:firstLine="643" w:firstLineChars="200"/>
        <w:textAlignment w:val="auto"/>
        <w:rPr>
          <w:rFonts w:hint="eastAsia" w:ascii="黑体" w:hAnsi="黑体" w:eastAsia="黑体" w:cs="黑体"/>
          <w:b w:val="0"/>
          <w:bCs w:val="0"/>
          <w:szCs w:val="32"/>
        </w:rPr>
      </w:pPr>
      <w:r>
        <w:rPr>
          <w:rFonts w:hint="eastAsia" w:ascii="黑体" w:hAnsi="黑体" w:eastAsia="黑体" w:cs="黑体"/>
          <w:b/>
          <w:bCs/>
          <w:sz w:val="32"/>
          <w:szCs w:val="32"/>
          <w:lang w:eastAsia="zh-CN"/>
        </w:rPr>
        <w:t>十、</w:t>
      </w:r>
      <w:r>
        <w:rPr>
          <w:rFonts w:hint="eastAsia" w:ascii="黑体" w:hAnsi="黑体" w:eastAsia="黑体" w:cs="黑体"/>
          <w:b w:val="0"/>
          <w:bCs w:val="0"/>
          <w:szCs w:val="32"/>
        </w:rPr>
        <w:t>预算绩效目标情况说明</w:t>
      </w:r>
    </w:p>
    <w:p w14:paraId="611F9264">
      <w:pPr>
        <w:keepNext w:val="0"/>
        <w:keepLines w:val="0"/>
        <w:pageBreakBefore w:val="0"/>
        <w:widowControl w:val="0"/>
        <w:numPr>
          <w:ilvl w:val="0"/>
          <w:numId w:val="4"/>
        </w:numPr>
        <w:tabs>
          <w:tab w:val="center" w:pos="4475"/>
        </w:tabs>
        <w:kinsoku/>
        <w:wordWrap/>
        <w:overflowPunct/>
        <w:topLinePunct w:val="0"/>
        <w:autoSpaceDE/>
        <w:autoSpaceDN/>
        <w:bidi w:val="0"/>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sz w:val="32"/>
          <w:szCs w:val="32"/>
          <w:lang w:val="en-US" w:eastAsia="zh-CN"/>
        </w:rPr>
        <w:t>我单位2025年</w:t>
      </w:r>
      <w:r>
        <w:rPr>
          <w:rFonts w:hint="eastAsia" w:ascii="仿宋_GB2312" w:eastAsia="仿宋_GB2312"/>
          <w:sz w:val="32"/>
          <w:szCs w:val="32"/>
          <w:lang w:val="en-US" w:eastAsia="zh-CN"/>
        </w:rPr>
        <w:t>所有项目支出全面实施绩效目标管理，涉及本级项目</w:t>
      </w:r>
      <w:r>
        <w:rPr>
          <w:rFonts w:hint="eastAsia" w:ascii="仿宋_GB2312"/>
          <w:sz w:val="32"/>
          <w:szCs w:val="32"/>
          <w:lang w:val="en-US" w:eastAsia="zh-CN"/>
        </w:rPr>
        <w:t>3</w:t>
      </w:r>
      <w:r>
        <w:rPr>
          <w:rFonts w:hint="eastAsia" w:ascii="仿宋_GB2312" w:eastAsia="仿宋_GB2312"/>
          <w:sz w:val="32"/>
          <w:szCs w:val="32"/>
          <w:lang w:val="en-US" w:eastAsia="zh-CN"/>
        </w:rPr>
        <w:t>个，预算资金</w:t>
      </w:r>
      <w:r>
        <w:rPr>
          <w:rFonts w:hint="eastAsia" w:ascii="仿宋_GB2312"/>
          <w:sz w:val="32"/>
          <w:szCs w:val="32"/>
          <w:lang w:val="en-US" w:eastAsia="zh-CN"/>
        </w:rPr>
        <w:t>805.58</w:t>
      </w:r>
      <w:r>
        <w:rPr>
          <w:rFonts w:hint="eastAsia" w:ascii="仿宋_GB2312" w:eastAsia="仿宋_GB2312"/>
          <w:sz w:val="32"/>
          <w:szCs w:val="32"/>
          <w:lang w:val="en-US" w:eastAsia="zh-CN"/>
        </w:rPr>
        <w:t>万元。绩效目标情况详见报表</w:t>
      </w:r>
      <w:bookmarkStart w:id="0" w:name="_GoBack"/>
      <w:bookmarkEnd w:id="0"/>
      <w:r>
        <w:rPr>
          <w:rFonts w:hint="eastAsia" w:ascii="仿宋_GB2312" w:eastAsia="仿宋_GB2312"/>
          <w:sz w:val="32"/>
          <w:szCs w:val="32"/>
          <w:lang w:val="en-US" w:eastAsia="zh-CN"/>
        </w:rPr>
        <w:t>。</w:t>
      </w:r>
    </w:p>
    <w:p w14:paraId="5E247A8C">
      <w:pPr>
        <w:keepNext w:val="0"/>
        <w:keepLines w:val="0"/>
        <w:pageBreakBefore w:val="0"/>
        <w:widowControl w:val="0"/>
        <w:numPr>
          <w:ilvl w:val="0"/>
          <w:numId w:val="4"/>
        </w:numPr>
        <w:tabs>
          <w:tab w:val="center" w:pos="4475"/>
        </w:tabs>
        <w:kinsoku/>
        <w:wordWrap/>
        <w:overflowPunct/>
        <w:topLinePunct w:val="0"/>
        <w:autoSpaceDE/>
        <w:autoSpaceDN/>
        <w:bidi w:val="0"/>
        <w:spacing w:line="600" w:lineRule="exact"/>
        <w:ind w:firstLine="640" w:firstLineChars="200"/>
        <w:textAlignment w:val="auto"/>
        <w:rPr>
          <w:rFonts w:hint="default"/>
          <w:sz w:val="32"/>
          <w:szCs w:val="32"/>
          <w:lang w:val="en-US" w:eastAsia="zh-CN"/>
        </w:rPr>
      </w:pPr>
      <w:r>
        <w:rPr>
          <w:rFonts w:hint="eastAsia" w:ascii="仿宋_GB2312"/>
          <w:sz w:val="32"/>
          <w:szCs w:val="32"/>
          <w:lang w:val="en-US" w:eastAsia="zh-CN"/>
        </w:rPr>
        <w:t>重点项目预算绩效目标说明。</w:t>
      </w:r>
    </w:p>
    <w:p w14:paraId="60FE08AC">
      <w:pPr>
        <w:keepNext w:val="0"/>
        <w:keepLines w:val="0"/>
        <w:pageBreakBefore w:val="0"/>
        <w:widowControl w:val="0"/>
        <w:tabs>
          <w:tab w:val="center" w:pos="4475"/>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Cs w:val="32"/>
          <w:lang w:eastAsia="zh-CN"/>
        </w:rPr>
      </w:pPr>
      <w:r>
        <w:rPr>
          <w:rFonts w:hint="eastAsia" w:ascii="仿宋_GB2312" w:hAnsi="仿宋_GB2312" w:eastAsia="仿宋_GB2312" w:cs="仿宋_GB2312"/>
          <w:b w:val="0"/>
          <w:bCs w:val="0"/>
          <w:szCs w:val="32"/>
        </w:rPr>
        <w:t>重点项目：项目名称预防接种服务费，预算资金5.</w:t>
      </w:r>
      <w:r>
        <w:rPr>
          <w:rFonts w:hint="eastAsia" w:ascii="仿宋_GB2312" w:hAnsi="仿宋_GB2312" w:cs="仿宋_GB2312"/>
          <w:b w:val="0"/>
          <w:bCs w:val="0"/>
          <w:szCs w:val="32"/>
          <w:lang w:val="en-US" w:eastAsia="zh-CN"/>
        </w:rPr>
        <w:t>48</w:t>
      </w:r>
      <w:r>
        <w:rPr>
          <w:rFonts w:hint="eastAsia" w:ascii="仿宋_GB2312" w:hAnsi="仿宋_GB2312" w:eastAsia="仿宋_GB2312" w:cs="仿宋_GB2312"/>
          <w:b w:val="0"/>
          <w:bCs w:val="0"/>
          <w:szCs w:val="32"/>
        </w:rPr>
        <w:t>万元，202</w:t>
      </w:r>
      <w:r>
        <w:rPr>
          <w:rFonts w:hint="eastAsia" w:ascii="仿宋_GB2312" w:hAnsi="仿宋_GB2312" w:cs="仿宋_GB2312"/>
          <w:b w:val="0"/>
          <w:bCs w:val="0"/>
          <w:szCs w:val="32"/>
          <w:lang w:val="en-US" w:eastAsia="zh-CN"/>
        </w:rPr>
        <w:t>5</w:t>
      </w:r>
      <w:r>
        <w:rPr>
          <w:rFonts w:hint="eastAsia" w:ascii="仿宋_GB2312" w:hAnsi="仿宋_GB2312" w:eastAsia="仿宋_GB2312" w:cs="仿宋_GB2312"/>
          <w:b w:val="0"/>
          <w:bCs w:val="0"/>
          <w:szCs w:val="32"/>
        </w:rPr>
        <w:t>年度绩效目标为根据上级文件精神的要求做好本辖区适龄儿童疫苗接种工作，确保第一类疫苗接种率的同时，第二疫苗要做到应种尽种，有效阻断疫苗相关传染病的发生，提高全镇儿童免疫屏障，对全镇儿童健康促进作用，保障儿童健康成长</w:t>
      </w:r>
      <w:r>
        <w:rPr>
          <w:rFonts w:hint="eastAsia" w:ascii="仿宋_GB2312" w:hAnsi="仿宋_GB2312" w:cs="仿宋_GB2312"/>
          <w:b w:val="0"/>
          <w:bCs w:val="0"/>
          <w:szCs w:val="32"/>
          <w:lang w:eastAsia="zh-CN"/>
        </w:rPr>
        <w:t>。</w:t>
      </w:r>
      <w:r>
        <w:rPr>
          <w:rFonts w:hint="eastAsia" w:ascii="仿宋_GB2312" w:hAnsi="仿宋_GB2312" w:eastAsia="仿宋_GB2312" w:cs="仿宋_GB2312"/>
          <w:b w:val="0"/>
          <w:bCs w:val="0"/>
          <w:szCs w:val="32"/>
        </w:rPr>
        <w:t>设1条数量指标：年度接种总针≥3000针次；设1条质量指标：免疫规划疫苗接种率≥90%；设1条时效指标：项目完成时限2025年</w:t>
      </w:r>
      <w:r>
        <w:rPr>
          <w:rFonts w:hint="eastAsia" w:ascii="仿宋_GB2312" w:hAnsi="仿宋_GB2312" w:cs="仿宋_GB2312"/>
          <w:b w:val="0"/>
          <w:bCs w:val="0"/>
          <w:szCs w:val="32"/>
          <w:lang w:val="en-US" w:eastAsia="zh-CN"/>
        </w:rPr>
        <w:t>12月31日前</w:t>
      </w:r>
      <w:r>
        <w:rPr>
          <w:rFonts w:hint="eastAsia" w:ascii="仿宋_GB2312" w:hAnsi="仿宋_GB2312" w:eastAsia="仿宋_GB2312" w:cs="仿宋_GB2312"/>
          <w:b w:val="0"/>
          <w:bCs w:val="0"/>
          <w:szCs w:val="32"/>
        </w:rPr>
        <w:t>；设1条成本指标：项目完成成本以收定支；设</w:t>
      </w:r>
      <w:r>
        <w:rPr>
          <w:rFonts w:hint="eastAsia" w:ascii="仿宋_GB2312" w:hAnsi="仿宋_GB2312" w:cs="仿宋_GB2312"/>
          <w:b w:val="0"/>
          <w:bCs w:val="0"/>
          <w:szCs w:val="32"/>
          <w:lang w:val="en-US" w:eastAsia="zh-CN"/>
        </w:rPr>
        <w:t>1</w:t>
      </w:r>
      <w:r>
        <w:rPr>
          <w:rFonts w:hint="eastAsia" w:ascii="仿宋_GB2312" w:hAnsi="仿宋_GB2312" w:eastAsia="仿宋_GB2312" w:cs="仿宋_GB2312"/>
          <w:b w:val="0"/>
          <w:bCs w:val="0"/>
          <w:szCs w:val="32"/>
        </w:rPr>
        <w:t>条社会效益指标：疫苗相关传染病发生率较上年降低；设1条满意度指标：到本接种点接种人员满意度≥90%。</w:t>
      </w:r>
    </w:p>
    <w:p w14:paraId="0186B310">
      <w:pPr>
        <w:keepNext w:val="0"/>
        <w:keepLines w:val="0"/>
        <w:pageBreakBefore w:val="0"/>
        <w:widowControl w:val="0"/>
        <w:tabs>
          <w:tab w:val="center" w:pos="4475"/>
        </w:tabs>
        <w:kinsoku/>
        <w:wordWrap/>
        <w:overflowPunct/>
        <w:topLinePunct w:val="0"/>
        <w:autoSpaceDE/>
        <w:autoSpaceDN/>
        <w:bidi w:val="0"/>
        <w:spacing w:line="600" w:lineRule="exact"/>
        <w:ind w:firstLine="645"/>
        <w:textAlignment w:val="auto"/>
        <w:rPr>
          <w:rFonts w:hint="eastAsia" w:ascii="黑体" w:eastAsia="黑体"/>
          <w:szCs w:val="32"/>
        </w:rPr>
      </w:pPr>
    </w:p>
    <w:p w14:paraId="0297C208">
      <w:pPr>
        <w:keepNext w:val="0"/>
        <w:keepLines w:val="0"/>
        <w:pageBreakBefore w:val="0"/>
        <w:widowControl w:val="0"/>
        <w:tabs>
          <w:tab w:val="center" w:pos="4475"/>
        </w:tabs>
        <w:kinsoku/>
        <w:wordWrap/>
        <w:overflowPunct/>
        <w:topLinePunct w:val="0"/>
        <w:autoSpaceDE/>
        <w:autoSpaceDN/>
        <w:bidi w:val="0"/>
        <w:spacing w:line="600" w:lineRule="exact"/>
        <w:ind w:firstLine="645"/>
        <w:textAlignment w:val="auto"/>
        <w:rPr>
          <w:rFonts w:hint="eastAsia" w:ascii="黑体" w:eastAsia="黑体"/>
          <w:szCs w:val="32"/>
        </w:rPr>
      </w:pPr>
      <w:r>
        <w:rPr>
          <w:rFonts w:hint="eastAsia" w:ascii="黑体" w:eastAsia="黑体"/>
          <w:szCs w:val="32"/>
        </w:rPr>
        <w:t>第三部分：名词解释</w:t>
      </w:r>
    </w:p>
    <w:p w14:paraId="658CED03">
      <w:pPr>
        <w:keepNext w:val="0"/>
        <w:keepLines w:val="0"/>
        <w:pageBreakBefore w:val="0"/>
        <w:widowControl w:val="0"/>
        <w:kinsoku/>
        <w:wordWrap/>
        <w:overflowPunct/>
        <w:topLinePunct w:val="0"/>
        <w:autoSpaceDE/>
        <w:autoSpaceDN/>
        <w:bidi w:val="0"/>
        <w:spacing w:line="600" w:lineRule="exact"/>
        <w:ind w:firstLine="640"/>
        <w:textAlignment w:val="auto"/>
        <w:rPr>
          <w:rFonts w:ascii="黑体" w:eastAsia="黑体"/>
          <w:sz w:val="32"/>
          <w:szCs w:val="32"/>
          <w:highlight w:val="none"/>
        </w:rPr>
      </w:pPr>
      <w:r>
        <w:rPr>
          <w:rFonts w:hint="eastAsia" w:ascii="黑体" w:eastAsia="黑体"/>
          <w:sz w:val="32"/>
          <w:szCs w:val="32"/>
          <w:highlight w:val="none"/>
        </w:rPr>
        <w:t>一、一般公共预算：</w:t>
      </w:r>
      <w:r>
        <w:rPr>
          <w:rFonts w:hint="eastAsia" w:ascii="仿宋_GB2312" w:eastAsia="仿宋_GB2312"/>
          <w:sz w:val="32"/>
          <w:szCs w:val="32"/>
          <w:highlight w:val="none"/>
        </w:rPr>
        <w:t>一般公共预算是对以税收为主体的财政收入，安排用于保障和改善民生、推动经济社会发展、维护国家安全、维持国家机构正常运转等方面的收支预算。</w:t>
      </w:r>
    </w:p>
    <w:p w14:paraId="6FF63AC6">
      <w:pPr>
        <w:keepNext w:val="0"/>
        <w:keepLines w:val="0"/>
        <w:pageBreakBefore w:val="0"/>
        <w:widowControl w:val="0"/>
        <w:kinsoku/>
        <w:wordWrap/>
        <w:overflowPunct/>
        <w:topLinePunct w:val="0"/>
        <w:autoSpaceDE/>
        <w:autoSpaceDN/>
        <w:bidi w:val="0"/>
        <w:spacing w:line="600" w:lineRule="exact"/>
        <w:ind w:firstLine="640"/>
        <w:textAlignment w:val="auto"/>
        <w:rPr>
          <w:rFonts w:ascii="仿宋_GB2312" w:eastAsia="仿宋_GB2312"/>
          <w:sz w:val="32"/>
          <w:szCs w:val="32"/>
          <w:highlight w:val="none"/>
        </w:rPr>
      </w:pPr>
      <w:r>
        <w:rPr>
          <w:rFonts w:hint="eastAsia" w:ascii="黑体" w:eastAsia="黑体"/>
          <w:sz w:val="32"/>
          <w:szCs w:val="32"/>
          <w:highlight w:val="none"/>
        </w:rPr>
        <w:t>二、政府性基金预算：</w:t>
      </w:r>
      <w:r>
        <w:rPr>
          <w:rFonts w:hint="eastAsia" w:ascii="仿宋_GB2312" w:eastAsia="仿宋_GB2312"/>
          <w:sz w:val="32"/>
          <w:szCs w:val="32"/>
          <w:highlight w:val="none"/>
        </w:rPr>
        <w:t>政府性基金预算是对依照法律、行政法规的规定在一定期限内向特定对象征收、收取或者以其他方式筹集的资金，专项用于特定公共事业发展的收支预算。</w:t>
      </w:r>
    </w:p>
    <w:p w14:paraId="5347ECAD">
      <w:pPr>
        <w:keepNext w:val="0"/>
        <w:keepLines w:val="0"/>
        <w:pageBreakBefore w:val="0"/>
        <w:widowControl w:val="0"/>
        <w:kinsoku/>
        <w:wordWrap/>
        <w:overflowPunct/>
        <w:topLinePunct w:val="0"/>
        <w:autoSpaceDE/>
        <w:autoSpaceDN/>
        <w:bidi w:val="0"/>
        <w:spacing w:line="600" w:lineRule="exact"/>
        <w:ind w:firstLine="640"/>
        <w:textAlignment w:val="auto"/>
        <w:rPr>
          <w:rFonts w:ascii="仿宋_GB2312" w:eastAsia="仿宋_GB2312"/>
          <w:sz w:val="32"/>
          <w:szCs w:val="32"/>
          <w:highlight w:val="none"/>
        </w:rPr>
      </w:pPr>
      <w:r>
        <w:rPr>
          <w:rFonts w:hint="eastAsia" w:ascii="黑体" w:eastAsia="黑体"/>
          <w:sz w:val="32"/>
          <w:szCs w:val="32"/>
          <w:highlight w:val="none"/>
        </w:rPr>
        <w:t>三、国有资本经营预算</w:t>
      </w:r>
      <w:r>
        <w:rPr>
          <w:rFonts w:hint="eastAsia" w:ascii="仿宋_GB2312" w:eastAsia="仿宋_GB2312"/>
          <w:sz w:val="32"/>
          <w:szCs w:val="32"/>
          <w:highlight w:val="none"/>
        </w:rPr>
        <w:t>：国有资本经营预算是对国有资本收益做出支出安排的收支预算。</w:t>
      </w:r>
    </w:p>
    <w:p w14:paraId="3C682878">
      <w:pPr>
        <w:keepNext w:val="0"/>
        <w:keepLines w:val="0"/>
        <w:pageBreakBefore w:val="0"/>
        <w:widowControl w:val="0"/>
        <w:kinsoku/>
        <w:wordWrap/>
        <w:overflowPunct/>
        <w:topLinePunct w:val="0"/>
        <w:autoSpaceDE/>
        <w:autoSpaceDN/>
        <w:bidi w:val="0"/>
        <w:spacing w:line="600" w:lineRule="exact"/>
        <w:ind w:firstLine="640"/>
        <w:textAlignment w:val="auto"/>
        <w:rPr>
          <w:rFonts w:ascii="仿宋_GB2312" w:eastAsia="仿宋_GB2312"/>
          <w:sz w:val="32"/>
          <w:szCs w:val="32"/>
          <w:highlight w:val="none"/>
        </w:rPr>
      </w:pPr>
      <w:r>
        <w:rPr>
          <w:rFonts w:hint="eastAsia" w:ascii="黑体" w:eastAsia="黑体"/>
          <w:sz w:val="32"/>
          <w:szCs w:val="32"/>
          <w:highlight w:val="none"/>
        </w:rPr>
        <w:t>四、财政拨款收入：</w:t>
      </w:r>
      <w:r>
        <w:rPr>
          <w:rFonts w:hint="eastAsia" w:ascii="仿宋_GB2312" w:eastAsia="仿宋_GB2312"/>
          <w:sz w:val="32"/>
          <w:szCs w:val="32"/>
          <w:highlight w:val="none"/>
        </w:rPr>
        <w:t>指财政</w:t>
      </w:r>
      <w:r>
        <w:rPr>
          <w:rFonts w:hint="eastAsia" w:ascii="仿宋_GB2312"/>
          <w:sz w:val="32"/>
          <w:szCs w:val="32"/>
          <w:highlight w:val="none"/>
          <w:lang w:eastAsia="zh-CN"/>
        </w:rPr>
        <w:t>单位</w:t>
      </w:r>
      <w:r>
        <w:rPr>
          <w:rFonts w:hint="eastAsia" w:ascii="仿宋_GB2312" w:eastAsia="仿宋_GB2312"/>
          <w:sz w:val="32"/>
          <w:szCs w:val="32"/>
          <w:highlight w:val="none"/>
        </w:rPr>
        <w:t xml:space="preserve">当年拨付的资金。 </w:t>
      </w:r>
    </w:p>
    <w:p w14:paraId="6DB532C4">
      <w:pPr>
        <w:keepNext w:val="0"/>
        <w:keepLines w:val="0"/>
        <w:pageBreakBefore w:val="0"/>
        <w:widowControl w:val="0"/>
        <w:kinsoku/>
        <w:wordWrap/>
        <w:overflowPunct/>
        <w:topLinePunct w:val="0"/>
        <w:autoSpaceDE/>
        <w:autoSpaceDN/>
        <w:bidi w:val="0"/>
        <w:spacing w:line="600" w:lineRule="exact"/>
        <w:ind w:firstLine="640"/>
        <w:textAlignment w:val="auto"/>
        <w:rPr>
          <w:rFonts w:hint="eastAsia" w:ascii="仿宋_GB2312" w:eastAsia="仿宋_GB2312"/>
          <w:sz w:val="32"/>
          <w:szCs w:val="32"/>
          <w:highlight w:val="none"/>
          <w:lang w:eastAsia="zh-CN"/>
        </w:rPr>
      </w:pPr>
      <w:r>
        <w:rPr>
          <w:rFonts w:hint="eastAsia" w:ascii="黑体" w:eastAsia="黑体"/>
          <w:sz w:val="32"/>
          <w:szCs w:val="32"/>
          <w:highlight w:val="none"/>
        </w:rPr>
        <w:t>五、非税收入：</w:t>
      </w:r>
      <w:r>
        <w:rPr>
          <w:rFonts w:hint="eastAsia" w:ascii="仿宋_GB2312" w:eastAsia="仿宋_GB2312"/>
          <w:sz w:val="32"/>
          <w:szCs w:val="32"/>
          <w:highlight w:val="none"/>
        </w:rPr>
        <w:t>指除税收以外，由各级政府、国家机关、事业单位、代行政府职能的社会团体及其他组织依法利用政府权力、政府信誉、国家资源、国有资产或提供特定公共服务、准公共服务取得并用于满足社会公共需要或准公共需要的财政资金。主要包括：政府性基金收入、专项收入、行政事业性收费收入、罚没收入、国有资本经营收入、国有资源（资产）有偿使用收入、捐赠收入、政府住房基金收入、其他收入</w:t>
      </w:r>
      <w:r>
        <w:rPr>
          <w:rFonts w:hint="eastAsia" w:ascii="仿宋_GB2312"/>
          <w:sz w:val="32"/>
          <w:szCs w:val="32"/>
          <w:highlight w:val="none"/>
          <w:lang w:eastAsia="zh-CN"/>
        </w:rPr>
        <w:t>。</w:t>
      </w:r>
    </w:p>
    <w:p w14:paraId="567AB5C0">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rPr>
        <w:t>六、事业收入：</w:t>
      </w:r>
      <w:r>
        <w:rPr>
          <w:rFonts w:hint="eastAsia" w:ascii="仿宋_GB2312" w:eastAsia="仿宋_GB2312"/>
          <w:sz w:val="32"/>
          <w:szCs w:val="32"/>
          <w:highlight w:val="none"/>
        </w:rPr>
        <w:t>指事业单位开展专业业务活动及辅助活动所取得的收入。</w:t>
      </w:r>
    </w:p>
    <w:p w14:paraId="4A20CF3F">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rPr>
        <w:t>七、经营收入：</w:t>
      </w:r>
      <w:r>
        <w:rPr>
          <w:rFonts w:hint="eastAsia" w:ascii="仿宋_GB2312" w:eastAsia="仿宋_GB2312"/>
          <w:sz w:val="32"/>
          <w:szCs w:val="32"/>
          <w:highlight w:val="none"/>
        </w:rPr>
        <w:t>指事业单位在专业业务活动及其辅助活动之外开展非独立核算经营活动取得的收入。</w:t>
      </w:r>
    </w:p>
    <w:p w14:paraId="031FA8F5">
      <w:pPr>
        <w:keepNext w:val="0"/>
        <w:keepLines w:val="0"/>
        <w:pageBreakBefore w:val="0"/>
        <w:widowControl w:val="0"/>
        <w:kinsoku/>
        <w:wordWrap/>
        <w:overflowPunct/>
        <w:topLinePunct w:val="0"/>
        <w:autoSpaceDE/>
        <w:autoSpaceDN/>
        <w:bidi w:val="0"/>
        <w:spacing w:line="600" w:lineRule="exact"/>
        <w:ind w:firstLine="640"/>
        <w:textAlignment w:val="auto"/>
        <w:rPr>
          <w:rFonts w:ascii="仿宋_GB2312" w:eastAsia="仿宋_GB2312"/>
          <w:sz w:val="32"/>
          <w:szCs w:val="32"/>
          <w:highlight w:val="none"/>
        </w:rPr>
      </w:pPr>
      <w:r>
        <w:rPr>
          <w:rFonts w:hint="eastAsia" w:ascii="黑体" w:eastAsia="黑体"/>
          <w:sz w:val="32"/>
          <w:szCs w:val="32"/>
          <w:highlight w:val="none"/>
        </w:rPr>
        <w:t>八、其他收入：</w:t>
      </w:r>
      <w:r>
        <w:rPr>
          <w:rFonts w:hint="eastAsia" w:ascii="仿宋_GB2312" w:eastAsia="仿宋_GB2312"/>
          <w:sz w:val="32"/>
          <w:szCs w:val="32"/>
          <w:highlight w:val="none"/>
        </w:rPr>
        <w:t>指除上述“财政拨款收入</w:t>
      </w:r>
      <w:r>
        <w:rPr>
          <w:rFonts w:hint="eastAsia" w:ascii="仿宋_GB2312"/>
          <w:sz w:val="32"/>
          <w:szCs w:val="32"/>
          <w:highlight w:val="none"/>
          <w:lang w:eastAsia="zh-CN"/>
        </w:rPr>
        <w:t>”“</w:t>
      </w:r>
      <w:r>
        <w:rPr>
          <w:rFonts w:hint="eastAsia" w:ascii="仿宋_GB2312" w:eastAsia="仿宋_GB2312"/>
          <w:sz w:val="32"/>
          <w:szCs w:val="32"/>
          <w:highlight w:val="none"/>
        </w:rPr>
        <w:t>事业收入</w:t>
      </w:r>
      <w:r>
        <w:rPr>
          <w:rFonts w:hint="eastAsia" w:ascii="仿宋_GB2312"/>
          <w:sz w:val="32"/>
          <w:szCs w:val="32"/>
          <w:highlight w:val="none"/>
          <w:lang w:eastAsia="zh-CN"/>
        </w:rPr>
        <w:t>”“</w:t>
      </w:r>
      <w:r>
        <w:rPr>
          <w:rFonts w:hint="eastAsia" w:ascii="仿宋_GB2312" w:eastAsia="仿宋_GB2312"/>
          <w:sz w:val="32"/>
          <w:szCs w:val="32"/>
          <w:highlight w:val="none"/>
        </w:rPr>
        <w:t>经营收入”等以外的收入。</w:t>
      </w:r>
    </w:p>
    <w:p w14:paraId="57F867AE">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rPr>
        <w:t>九、上年结转和结余：</w:t>
      </w:r>
      <w:r>
        <w:rPr>
          <w:rFonts w:hint="eastAsia" w:ascii="仿宋_GB2312" w:eastAsia="仿宋_GB2312"/>
          <w:sz w:val="32"/>
          <w:szCs w:val="32"/>
          <w:highlight w:val="none"/>
        </w:rPr>
        <w:t>指以前年度尚未完成、结转到本年按有关规定继续使用的资金。</w:t>
      </w:r>
    </w:p>
    <w:p w14:paraId="7908B601">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仿宋_GB2312" w:eastAsia="仿宋_GB2312"/>
          <w:sz w:val="32"/>
          <w:szCs w:val="32"/>
          <w:highlight w:val="none"/>
        </w:rPr>
      </w:pPr>
      <w:r>
        <w:rPr>
          <w:rFonts w:hint="eastAsia" w:ascii="黑体" w:eastAsia="黑体"/>
          <w:b/>
          <w:bCs/>
          <w:sz w:val="32"/>
          <w:szCs w:val="32"/>
          <w:highlight w:val="none"/>
        </w:rPr>
        <w:t>十、</w:t>
      </w:r>
      <w:r>
        <w:rPr>
          <w:rFonts w:hint="eastAsia" w:ascii="黑体" w:eastAsia="黑体"/>
          <w:sz w:val="32"/>
          <w:szCs w:val="32"/>
          <w:highlight w:val="none"/>
        </w:rPr>
        <w:t>基本支出：</w:t>
      </w:r>
      <w:r>
        <w:rPr>
          <w:rFonts w:hint="eastAsia" w:ascii="仿宋_GB2312" w:eastAsia="仿宋_GB2312"/>
          <w:sz w:val="32"/>
          <w:szCs w:val="32"/>
          <w:highlight w:val="none"/>
        </w:rPr>
        <w:t>指为保障机构正常运转、完成日常工作任务而发生的人员支出和公用支出。</w:t>
      </w:r>
    </w:p>
    <w:p w14:paraId="5B4753B0">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仿宋_GB2312" w:eastAsia="仿宋_GB2312"/>
          <w:sz w:val="32"/>
          <w:szCs w:val="32"/>
          <w:highlight w:val="none"/>
        </w:rPr>
      </w:pPr>
      <w:r>
        <w:rPr>
          <w:rFonts w:hint="eastAsia" w:ascii="黑体" w:eastAsia="黑体"/>
          <w:b/>
          <w:bCs/>
          <w:sz w:val="32"/>
          <w:szCs w:val="32"/>
          <w:highlight w:val="none"/>
        </w:rPr>
        <w:t>十一、</w:t>
      </w:r>
      <w:r>
        <w:rPr>
          <w:rFonts w:hint="eastAsia" w:ascii="黑体" w:eastAsia="黑体"/>
          <w:sz w:val="32"/>
          <w:szCs w:val="32"/>
          <w:highlight w:val="none"/>
        </w:rPr>
        <w:t>项目支出：</w:t>
      </w:r>
      <w:r>
        <w:rPr>
          <w:rFonts w:hint="eastAsia" w:ascii="仿宋_GB2312" w:eastAsia="仿宋_GB2312"/>
          <w:sz w:val="32"/>
          <w:szCs w:val="32"/>
          <w:highlight w:val="none"/>
        </w:rPr>
        <w:t xml:space="preserve">指在基本支出之外为完成特定行政任务和事业发展目标所发生的支出。  </w:t>
      </w:r>
    </w:p>
    <w:p w14:paraId="238D0A57">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仿宋_GB2312" w:eastAsia="仿宋_GB2312"/>
          <w:sz w:val="32"/>
          <w:szCs w:val="32"/>
          <w:highlight w:val="none"/>
        </w:rPr>
      </w:pPr>
      <w:r>
        <w:rPr>
          <w:rFonts w:hint="eastAsia" w:ascii="黑体" w:eastAsia="黑体"/>
          <w:b/>
          <w:bCs/>
          <w:sz w:val="32"/>
          <w:szCs w:val="32"/>
          <w:highlight w:val="none"/>
        </w:rPr>
        <w:t>十二</w:t>
      </w:r>
      <w:r>
        <w:rPr>
          <w:rFonts w:hint="eastAsia" w:ascii="黑体" w:eastAsia="黑体"/>
          <w:sz w:val="32"/>
          <w:szCs w:val="32"/>
          <w:highlight w:val="none"/>
        </w:rPr>
        <w:t>、经营支出：</w:t>
      </w:r>
      <w:r>
        <w:rPr>
          <w:rFonts w:hint="eastAsia" w:ascii="仿宋_GB2312" w:eastAsia="仿宋_GB2312"/>
          <w:sz w:val="32"/>
          <w:szCs w:val="32"/>
          <w:highlight w:val="none"/>
        </w:rPr>
        <w:t>指事业单位在专业业务活动及其辅助活动之外开展非独立核算经营活动发生的支出。</w:t>
      </w:r>
    </w:p>
    <w:p w14:paraId="31537944">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仿宋_GB2312" w:eastAsia="仿宋_GB2312"/>
          <w:sz w:val="32"/>
          <w:szCs w:val="32"/>
          <w:highlight w:val="none"/>
        </w:rPr>
      </w:pPr>
      <w:r>
        <w:rPr>
          <w:rFonts w:hint="eastAsia" w:ascii="黑体" w:eastAsia="黑体"/>
          <w:b/>
          <w:bCs/>
          <w:sz w:val="32"/>
          <w:szCs w:val="32"/>
          <w:highlight w:val="none"/>
        </w:rPr>
        <w:t>十三</w:t>
      </w:r>
      <w:r>
        <w:rPr>
          <w:rFonts w:hint="eastAsia" w:ascii="黑体" w:eastAsia="黑体"/>
          <w:sz w:val="32"/>
          <w:szCs w:val="32"/>
          <w:highlight w:val="none"/>
        </w:rPr>
        <w:t>、“三公”经费：</w:t>
      </w:r>
      <w:r>
        <w:rPr>
          <w:rFonts w:hint="eastAsia" w:ascii="仿宋_GB2312" w:eastAsia="仿宋_GB2312"/>
          <w:sz w:val="32"/>
          <w:szCs w:val="32"/>
          <w:highlight w:val="none"/>
        </w:rPr>
        <w:t>指各</w:t>
      </w:r>
      <w:r>
        <w:rPr>
          <w:rFonts w:hint="eastAsia" w:ascii="仿宋_GB2312"/>
          <w:sz w:val="32"/>
          <w:szCs w:val="32"/>
          <w:highlight w:val="none"/>
          <w:lang w:eastAsia="zh-CN"/>
        </w:rPr>
        <w:t>单位</w:t>
      </w:r>
      <w:r>
        <w:rPr>
          <w:rFonts w:hint="eastAsia" w:ascii="仿宋_GB2312" w:eastAsia="仿宋_GB2312"/>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66BBE5E0">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仿宋_GB2312" w:eastAsia="仿宋_GB2312"/>
          <w:sz w:val="32"/>
          <w:szCs w:val="32"/>
          <w:highlight w:val="none"/>
        </w:rPr>
      </w:pPr>
      <w:r>
        <w:rPr>
          <w:rFonts w:hint="eastAsia" w:ascii="黑体" w:eastAsia="黑体"/>
          <w:b/>
          <w:bCs/>
          <w:sz w:val="32"/>
          <w:szCs w:val="32"/>
          <w:highlight w:val="none"/>
        </w:rPr>
        <w:t>十四</w:t>
      </w:r>
      <w:r>
        <w:rPr>
          <w:rFonts w:hint="eastAsia" w:ascii="黑体" w:eastAsia="黑体"/>
          <w:sz w:val="32"/>
          <w:szCs w:val="32"/>
          <w:highlight w:val="none"/>
        </w:rPr>
        <w:t>、运行经费：</w:t>
      </w:r>
      <w:r>
        <w:rPr>
          <w:rFonts w:hint="eastAsia" w:ascii="仿宋_GB2312" w:eastAsia="仿宋_GB2312"/>
          <w:sz w:val="32"/>
          <w:szCs w:val="32"/>
          <w:highlight w:val="none"/>
        </w:rPr>
        <w:t>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1A7B81A">
      <w:pPr>
        <w:keepNext w:val="0"/>
        <w:keepLines w:val="0"/>
        <w:pageBreakBefore w:val="0"/>
        <w:widowControl w:val="0"/>
        <w:kinsoku/>
        <w:wordWrap/>
        <w:overflowPunct/>
        <w:topLinePunct w:val="0"/>
        <w:autoSpaceDE/>
        <w:autoSpaceDN/>
        <w:bidi w:val="0"/>
        <w:spacing w:line="600" w:lineRule="exact"/>
        <w:ind w:firstLine="645"/>
        <w:textAlignment w:val="auto"/>
        <w:rPr>
          <w:rFonts w:ascii="黑体" w:eastAsia="黑体"/>
          <w:sz w:val="32"/>
          <w:szCs w:val="32"/>
          <w:highlight w:val="none"/>
        </w:rPr>
      </w:pPr>
      <w:r>
        <w:rPr>
          <w:rFonts w:hint="eastAsia" w:ascii="黑体" w:eastAsia="黑体"/>
          <w:b/>
          <w:bCs/>
          <w:sz w:val="32"/>
          <w:szCs w:val="32"/>
          <w:highlight w:val="none"/>
        </w:rPr>
        <w:t>十五</w:t>
      </w:r>
      <w:r>
        <w:rPr>
          <w:rFonts w:hint="eastAsia" w:ascii="黑体" w:eastAsia="黑体"/>
          <w:sz w:val="32"/>
          <w:szCs w:val="32"/>
          <w:highlight w:val="none"/>
        </w:rPr>
        <w:t>、支出类常用科目的说明</w:t>
      </w:r>
    </w:p>
    <w:p w14:paraId="2B902B03">
      <w:pPr>
        <w:keepNext w:val="0"/>
        <w:keepLines w:val="0"/>
        <w:pageBreakBefore w:val="0"/>
        <w:widowControl w:val="0"/>
        <w:kinsoku/>
        <w:wordWrap/>
        <w:overflowPunct/>
        <w:topLinePunct w:val="0"/>
        <w:autoSpaceDE/>
        <w:autoSpaceDN/>
        <w:bidi w:val="0"/>
        <w:spacing w:line="600" w:lineRule="exact"/>
        <w:ind w:firstLine="645"/>
        <w:textAlignment w:val="auto"/>
        <w:rPr>
          <w:rFonts w:hint="eastAsia" w:ascii="仿宋_GB2312" w:eastAsia="仿宋_GB2312"/>
          <w:sz w:val="32"/>
          <w:szCs w:val="32"/>
          <w:highlight w:val="none"/>
        </w:rPr>
      </w:pPr>
      <w:r>
        <w:rPr>
          <w:rFonts w:hint="eastAsia" w:ascii="黑体" w:eastAsia="黑体"/>
          <w:sz w:val="32"/>
          <w:szCs w:val="32"/>
          <w:highlight w:val="none"/>
          <w:lang w:val="en-US" w:eastAsia="zh-CN"/>
        </w:rPr>
        <w:t>1</w:t>
      </w:r>
      <w:r>
        <w:rPr>
          <w:rFonts w:hint="eastAsia" w:ascii="黑体" w:eastAsia="黑体"/>
          <w:sz w:val="32"/>
          <w:szCs w:val="32"/>
          <w:highlight w:val="none"/>
        </w:rPr>
        <w:t xml:space="preserve">．社会保障和就业  </w:t>
      </w:r>
      <w:r>
        <w:rPr>
          <w:rFonts w:hint="eastAsia" w:ascii="仿宋_GB2312" w:eastAsia="仿宋_GB2312"/>
          <w:sz w:val="32"/>
          <w:szCs w:val="32"/>
          <w:highlight w:val="none"/>
        </w:rPr>
        <w:t>反映政府在社会保障与就业方面的支出。主要包括：人力资源和社会保障管理事务、民政管理事务、补充全国社会保障基金、行政事业单位离退休、企业改革补助、就业补助、抚恤、退役安置、社会福利、残疾人事业、自然灾害生活救助、红十字事业、最低生活保障、临时救助、特困人员供养等。</w:t>
      </w:r>
    </w:p>
    <w:p w14:paraId="08B2C31F">
      <w:pPr>
        <w:keepNext w:val="0"/>
        <w:keepLines w:val="0"/>
        <w:pageBreakBefore w:val="0"/>
        <w:widowControl w:val="0"/>
        <w:kinsoku/>
        <w:wordWrap/>
        <w:overflowPunct/>
        <w:topLinePunct w:val="0"/>
        <w:autoSpaceDE/>
        <w:autoSpaceDN/>
        <w:bidi w:val="0"/>
        <w:spacing w:line="600" w:lineRule="exact"/>
        <w:ind w:firstLine="645"/>
        <w:textAlignment w:val="auto"/>
        <w:rPr>
          <w:rFonts w:hint="eastAsia" w:ascii="黑体" w:hAnsi="宋体" w:eastAsia="黑体"/>
          <w:szCs w:val="32"/>
          <w:lang w:eastAsia="zh-CN"/>
        </w:rPr>
      </w:pPr>
      <w:r>
        <w:rPr>
          <w:rFonts w:hint="eastAsia" w:ascii="黑体" w:eastAsia="黑体"/>
          <w:sz w:val="32"/>
          <w:szCs w:val="32"/>
          <w:highlight w:val="none"/>
          <w:lang w:val="en-US" w:eastAsia="zh-CN"/>
        </w:rPr>
        <w:t>2</w:t>
      </w:r>
      <w:r>
        <w:rPr>
          <w:rFonts w:hint="eastAsia" w:ascii="黑体" w:eastAsia="黑体"/>
          <w:sz w:val="32"/>
          <w:szCs w:val="32"/>
          <w:highlight w:val="none"/>
        </w:rPr>
        <w:t>．卫生</w:t>
      </w:r>
      <w:r>
        <w:rPr>
          <w:rFonts w:hint="eastAsia" w:ascii="黑体" w:eastAsia="黑体"/>
          <w:sz w:val="32"/>
          <w:szCs w:val="32"/>
          <w:highlight w:val="none"/>
          <w:lang w:eastAsia="zh-CN"/>
        </w:rPr>
        <w:t>健康</w:t>
      </w:r>
      <w:r>
        <w:rPr>
          <w:rFonts w:hint="eastAsia" w:ascii="黑体" w:eastAsia="黑体"/>
          <w:sz w:val="32"/>
          <w:szCs w:val="32"/>
          <w:highlight w:val="none"/>
        </w:rPr>
        <w:t xml:space="preserve"> </w:t>
      </w:r>
      <w:r>
        <w:rPr>
          <w:rFonts w:hint="eastAsia" w:ascii="仿宋_GB2312" w:eastAsia="仿宋_GB2312"/>
          <w:sz w:val="32"/>
          <w:szCs w:val="32"/>
          <w:highlight w:val="none"/>
        </w:rPr>
        <w:t xml:space="preserve"> 反映政府</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管理事务、公立医院、基层医疗卫生机构、公共卫生、中医药、计划生育事务等。</w:t>
      </w:r>
    </w:p>
    <w:p w14:paraId="2E8464C4">
      <w:pPr>
        <w:adjustRightInd w:val="0"/>
        <w:snapToGrid w:val="0"/>
        <w:spacing w:line="560" w:lineRule="exact"/>
        <w:ind w:right="-333" w:rightChars="-104"/>
        <w:rPr>
          <w:rFonts w:hint="eastAsia" w:ascii="黑体" w:hAnsi="宋体" w:eastAsia="黑体"/>
          <w:szCs w:val="32"/>
          <w:lang w:eastAsia="zh-CN"/>
        </w:rPr>
      </w:pPr>
    </w:p>
    <w:p w14:paraId="1DB6AFFA">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szCs w:val="32"/>
          <w:lang w:eastAsia="zh-CN"/>
        </w:rPr>
        <w:t>第四部分：</w:t>
      </w:r>
      <w:r>
        <w:rPr>
          <w:rFonts w:hint="eastAsia" w:ascii="黑体" w:eastAsia="黑体"/>
          <w:color w:val="auto"/>
          <w:szCs w:val="32"/>
          <w:lang w:val="en-US" w:eastAsia="zh-CN"/>
        </w:rPr>
        <w:t>柳州市柳江区里高镇卫生院</w:t>
      </w:r>
      <w:r>
        <w:rPr>
          <w:rFonts w:hint="eastAsia" w:ascii="黑体" w:hAnsi="宋体" w:eastAsia="黑体"/>
          <w:szCs w:val="32"/>
          <w:lang w:eastAsia="zh-CN"/>
        </w:rPr>
        <w:t>2025年</w:t>
      </w:r>
      <w:r>
        <w:rPr>
          <w:rFonts w:hint="eastAsia" w:ascii="黑体" w:eastAsia="黑体"/>
          <w:szCs w:val="32"/>
          <w:lang w:eastAsia="zh-CN"/>
        </w:rPr>
        <w:t>单位</w:t>
      </w:r>
      <w:r>
        <w:rPr>
          <w:rFonts w:hint="eastAsia" w:ascii="黑体" w:eastAsia="黑体"/>
          <w:szCs w:val="32"/>
        </w:rPr>
        <w:t>预算报表</w:t>
      </w:r>
    </w:p>
    <w:p w14:paraId="5E584997">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rPr>
        <w:t>表1：</w:t>
      </w:r>
      <w:r>
        <w:rPr>
          <w:rFonts w:hint="eastAsia" w:ascii="仿宋_GB2312"/>
          <w:bCs/>
          <w:sz w:val="32"/>
          <w:szCs w:val="32"/>
          <w:highlight w:val="none"/>
          <w:lang w:eastAsia="zh-CN"/>
        </w:rPr>
        <w:t>单位</w:t>
      </w:r>
      <w:r>
        <w:rPr>
          <w:rFonts w:hint="eastAsia" w:ascii="仿宋_GB2312" w:eastAsia="仿宋_GB2312"/>
          <w:bCs/>
          <w:sz w:val="32"/>
          <w:szCs w:val="32"/>
          <w:highlight w:val="none"/>
          <w:lang w:eastAsia="zh-CN"/>
        </w:rPr>
        <w:t>收支总体情况表</w:t>
      </w:r>
    </w:p>
    <w:p w14:paraId="1831D970">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表2：</w:t>
      </w:r>
      <w:r>
        <w:rPr>
          <w:rFonts w:hint="eastAsia" w:ascii="仿宋_GB2312"/>
          <w:bCs/>
          <w:sz w:val="32"/>
          <w:szCs w:val="32"/>
          <w:highlight w:val="none"/>
          <w:lang w:eastAsia="zh-CN"/>
        </w:rPr>
        <w:t>单位</w:t>
      </w:r>
      <w:r>
        <w:rPr>
          <w:rFonts w:hint="eastAsia" w:ascii="仿宋_GB2312" w:eastAsia="仿宋_GB2312"/>
          <w:bCs/>
          <w:sz w:val="32"/>
          <w:szCs w:val="32"/>
          <w:highlight w:val="none"/>
        </w:rPr>
        <w:t>收入总体情况表</w:t>
      </w:r>
    </w:p>
    <w:p w14:paraId="5E1D521A">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表3：</w:t>
      </w:r>
      <w:r>
        <w:rPr>
          <w:rFonts w:hint="eastAsia" w:ascii="仿宋_GB2312"/>
          <w:bCs/>
          <w:sz w:val="32"/>
          <w:szCs w:val="32"/>
          <w:highlight w:val="none"/>
          <w:lang w:eastAsia="zh-CN"/>
        </w:rPr>
        <w:t>单位</w:t>
      </w:r>
      <w:r>
        <w:rPr>
          <w:rFonts w:hint="eastAsia" w:ascii="仿宋_GB2312" w:eastAsia="仿宋_GB2312"/>
          <w:bCs/>
          <w:sz w:val="32"/>
          <w:szCs w:val="32"/>
          <w:highlight w:val="none"/>
        </w:rPr>
        <w:t>支出总体情况表</w:t>
      </w:r>
    </w:p>
    <w:p w14:paraId="5B4C78BD">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表4：财政拨款收支总体情况表</w:t>
      </w:r>
    </w:p>
    <w:p w14:paraId="5ABC6AA6">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表5：一般公共预算支出情况表</w:t>
      </w:r>
    </w:p>
    <w:p w14:paraId="72D71CEA">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表6：一般公共预算基本支出情况表</w:t>
      </w:r>
    </w:p>
    <w:p w14:paraId="25789CC7">
      <w:pPr>
        <w:spacing w:before="312" w:beforeLines="100" w:after="312" w:afterLines="100" w:line="360" w:lineRule="exact"/>
        <w:ind w:left="1600" w:leftChars="200" w:hanging="960" w:hangingChars="300"/>
        <w:rPr>
          <w:rFonts w:hint="eastAsia" w:ascii="仿宋_GB2312" w:eastAsia="仿宋_GB2312"/>
          <w:bCs/>
          <w:sz w:val="32"/>
          <w:szCs w:val="32"/>
          <w:highlight w:val="none"/>
        </w:rPr>
      </w:pPr>
      <w:r>
        <w:rPr>
          <w:rFonts w:hint="eastAsia" w:ascii="仿宋_GB2312" w:eastAsia="仿宋_GB2312"/>
          <w:bCs/>
          <w:sz w:val="32"/>
          <w:szCs w:val="32"/>
          <w:highlight w:val="none"/>
        </w:rPr>
        <w:t>表7：财政拨款“三公”经费、会议费和培训费支出情况表</w:t>
      </w:r>
    </w:p>
    <w:p w14:paraId="37FC150C">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表8：政府性基金预算支出情况表</w:t>
      </w:r>
    </w:p>
    <w:p w14:paraId="1BFFD1C1">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表9：国有资本经营预算支出情况表</w:t>
      </w:r>
    </w:p>
    <w:p w14:paraId="5178C5EC">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0</w:t>
      </w:r>
      <w:r>
        <w:rPr>
          <w:rFonts w:hint="eastAsia" w:ascii="仿宋_GB2312" w:eastAsia="仿宋_GB2312"/>
          <w:bCs/>
          <w:sz w:val="32"/>
          <w:szCs w:val="32"/>
          <w:highlight w:val="none"/>
        </w:rPr>
        <w:t>：政府采购预算表</w:t>
      </w:r>
    </w:p>
    <w:p w14:paraId="6D540D95">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1</w:t>
      </w:r>
      <w:r>
        <w:rPr>
          <w:rFonts w:hint="eastAsia" w:ascii="仿宋_GB2312" w:eastAsia="仿宋_GB2312"/>
          <w:bCs/>
          <w:sz w:val="32"/>
          <w:szCs w:val="32"/>
          <w:highlight w:val="none"/>
        </w:rPr>
        <w:t>：政府购买服务预算表</w:t>
      </w:r>
    </w:p>
    <w:p w14:paraId="0443EB7B">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bCs/>
          <w:sz w:val="32"/>
          <w:szCs w:val="32"/>
          <w:highlight w:val="none"/>
          <w:lang w:eastAsia="zh-CN"/>
        </w:rPr>
        <w:t>表</w:t>
      </w:r>
      <w:r>
        <w:rPr>
          <w:rFonts w:hint="eastAsia" w:ascii="仿宋_GB2312"/>
          <w:bCs/>
          <w:sz w:val="32"/>
          <w:szCs w:val="32"/>
          <w:highlight w:val="none"/>
          <w:lang w:val="en-US" w:eastAsia="zh-CN"/>
        </w:rPr>
        <w:t>12：</w:t>
      </w:r>
      <w:r>
        <w:rPr>
          <w:rFonts w:hint="eastAsia" w:ascii="仿宋_GB2312" w:eastAsia="仿宋_GB2312"/>
          <w:bCs/>
          <w:sz w:val="32"/>
          <w:szCs w:val="32"/>
          <w:highlight w:val="none"/>
          <w:lang w:eastAsia="zh-CN"/>
        </w:rPr>
        <w:t>项目绩效目标公开表</w:t>
      </w:r>
    </w:p>
    <w:p w14:paraId="5D053F45">
      <w:pPr>
        <w:spacing w:before="312" w:beforeLines="100" w:after="312" w:afterLines="100" w:line="360" w:lineRule="exact"/>
        <w:ind w:firstLine="640" w:firstLineChars="200"/>
      </w:pPr>
      <w:r>
        <w:rPr>
          <w:rFonts w:hint="eastAsia" w:ascii="仿宋_GB2312" w:eastAsia="仿宋_GB2312"/>
          <w:bCs/>
          <w:sz w:val="32"/>
          <w:szCs w:val="32"/>
          <w:highlight w:val="none"/>
          <w:lang w:eastAsia="zh-CN"/>
        </w:rPr>
        <w:t>（详见附表）</w:t>
      </w: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3DA1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456CE6">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34456CE6">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D5CB62"/>
    <w:multiLevelType w:val="singleLevel"/>
    <w:tmpl w:val="88D5CB62"/>
    <w:lvl w:ilvl="0" w:tentative="0">
      <w:start w:val="1"/>
      <w:numFmt w:val="chineseCounting"/>
      <w:suff w:val="nothing"/>
      <w:lvlText w:val="%1、"/>
      <w:lvlJc w:val="left"/>
      <w:rPr>
        <w:rFonts w:hint="eastAsia"/>
      </w:rPr>
    </w:lvl>
  </w:abstractNum>
  <w:abstractNum w:abstractNumId="1">
    <w:nsid w:val="BC3822D4"/>
    <w:multiLevelType w:val="singleLevel"/>
    <w:tmpl w:val="BC3822D4"/>
    <w:lvl w:ilvl="0" w:tentative="0">
      <w:start w:val="1"/>
      <w:numFmt w:val="chineseCounting"/>
      <w:suff w:val="nothing"/>
      <w:lvlText w:val="%1、"/>
      <w:lvlJc w:val="left"/>
      <w:rPr>
        <w:rFonts w:hint="eastAsia"/>
      </w:rPr>
    </w:lvl>
  </w:abstractNum>
  <w:abstractNum w:abstractNumId="2">
    <w:nsid w:val="E7304F7D"/>
    <w:multiLevelType w:val="singleLevel"/>
    <w:tmpl w:val="E7304F7D"/>
    <w:lvl w:ilvl="0" w:tentative="0">
      <w:start w:val="1"/>
      <w:numFmt w:val="chineseCounting"/>
      <w:suff w:val="nothing"/>
      <w:lvlText w:val="（%1）"/>
      <w:lvlJc w:val="left"/>
      <w:rPr>
        <w:rFonts w:hint="eastAsia"/>
      </w:rPr>
    </w:lvl>
  </w:abstractNum>
  <w:abstractNum w:abstractNumId="3">
    <w:nsid w:val="17F4B607"/>
    <w:multiLevelType w:val="singleLevel"/>
    <w:tmpl w:val="17F4B607"/>
    <w:lvl w:ilvl="0" w:tentative="0">
      <w:start w:val="5"/>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mZmIzN2M0NzM5MDIwNGZlMzVlNDM2NDEyMDlhMjcifQ=="/>
    <w:docVar w:name="KSO_WPS_MARK_KEY" w:val="39de1af1-7cde-4f89-8387-58e198f6af94"/>
  </w:docVars>
  <w:rsids>
    <w:rsidRoot w:val="00000000"/>
    <w:rsid w:val="00757B9E"/>
    <w:rsid w:val="011038D8"/>
    <w:rsid w:val="03B4023E"/>
    <w:rsid w:val="040C25C7"/>
    <w:rsid w:val="06286147"/>
    <w:rsid w:val="06785937"/>
    <w:rsid w:val="075449B1"/>
    <w:rsid w:val="092D144C"/>
    <w:rsid w:val="094D2344"/>
    <w:rsid w:val="0A333E37"/>
    <w:rsid w:val="0A5E78F5"/>
    <w:rsid w:val="0AE02795"/>
    <w:rsid w:val="0B5D7BAD"/>
    <w:rsid w:val="0B646AD9"/>
    <w:rsid w:val="0D551424"/>
    <w:rsid w:val="0E196FC7"/>
    <w:rsid w:val="13386F35"/>
    <w:rsid w:val="15C42D02"/>
    <w:rsid w:val="15DD7808"/>
    <w:rsid w:val="15ED6EB7"/>
    <w:rsid w:val="1D711B9A"/>
    <w:rsid w:val="1D8D60CF"/>
    <w:rsid w:val="1E0519A9"/>
    <w:rsid w:val="1F847BEC"/>
    <w:rsid w:val="21690C6D"/>
    <w:rsid w:val="232E2103"/>
    <w:rsid w:val="236E0751"/>
    <w:rsid w:val="23CD36CA"/>
    <w:rsid w:val="26853262"/>
    <w:rsid w:val="26F014C7"/>
    <w:rsid w:val="27BF5A1F"/>
    <w:rsid w:val="27D00104"/>
    <w:rsid w:val="27F9738F"/>
    <w:rsid w:val="28EA427E"/>
    <w:rsid w:val="29303A19"/>
    <w:rsid w:val="2A9D0851"/>
    <w:rsid w:val="2BF10171"/>
    <w:rsid w:val="2C923702"/>
    <w:rsid w:val="2D4A18E7"/>
    <w:rsid w:val="2DB142C8"/>
    <w:rsid w:val="2F0E7201"/>
    <w:rsid w:val="2FC82F97"/>
    <w:rsid w:val="30182170"/>
    <w:rsid w:val="30905EC5"/>
    <w:rsid w:val="34FF745B"/>
    <w:rsid w:val="35524BD7"/>
    <w:rsid w:val="36190BE4"/>
    <w:rsid w:val="36E763F9"/>
    <w:rsid w:val="37464EFF"/>
    <w:rsid w:val="37923FC4"/>
    <w:rsid w:val="387168C2"/>
    <w:rsid w:val="39216B01"/>
    <w:rsid w:val="39F7616E"/>
    <w:rsid w:val="3AED7D56"/>
    <w:rsid w:val="3B626996"/>
    <w:rsid w:val="3C074E47"/>
    <w:rsid w:val="3CD50BC1"/>
    <w:rsid w:val="3CE820FA"/>
    <w:rsid w:val="3D006466"/>
    <w:rsid w:val="3D8A5D30"/>
    <w:rsid w:val="3DDE47A0"/>
    <w:rsid w:val="3E5A3954"/>
    <w:rsid w:val="3E9E1F10"/>
    <w:rsid w:val="3F9B4224"/>
    <w:rsid w:val="40E56385"/>
    <w:rsid w:val="40F405DB"/>
    <w:rsid w:val="42750914"/>
    <w:rsid w:val="429C5A77"/>
    <w:rsid w:val="440518E8"/>
    <w:rsid w:val="46EE732F"/>
    <w:rsid w:val="47A55251"/>
    <w:rsid w:val="48FB5D34"/>
    <w:rsid w:val="498B355B"/>
    <w:rsid w:val="4A512B39"/>
    <w:rsid w:val="4A604F50"/>
    <w:rsid w:val="4AF903B4"/>
    <w:rsid w:val="4C1A4723"/>
    <w:rsid w:val="4E3B534E"/>
    <w:rsid w:val="4EE96D5A"/>
    <w:rsid w:val="4F6344CA"/>
    <w:rsid w:val="539C673B"/>
    <w:rsid w:val="54054F1F"/>
    <w:rsid w:val="54554E92"/>
    <w:rsid w:val="55265DAD"/>
    <w:rsid w:val="56694C24"/>
    <w:rsid w:val="56C500AD"/>
    <w:rsid w:val="57B95737"/>
    <w:rsid w:val="581E3114"/>
    <w:rsid w:val="58FE733D"/>
    <w:rsid w:val="5991071A"/>
    <w:rsid w:val="5B8D6F6A"/>
    <w:rsid w:val="5C633E69"/>
    <w:rsid w:val="5ED87808"/>
    <w:rsid w:val="5F441874"/>
    <w:rsid w:val="5FC1757F"/>
    <w:rsid w:val="628F5CEB"/>
    <w:rsid w:val="63376B6D"/>
    <w:rsid w:val="63FC2C34"/>
    <w:rsid w:val="64BD6867"/>
    <w:rsid w:val="65253217"/>
    <w:rsid w:val="68064081"/>
    <w:rsid w:val="69192872"/>
    <w:rsid w:val="69313380"/>
    <w:rsid w:val="6A022F6E"/>
    <w:rsid w:val="6A3E1DEA"/>
    <w:rsid w:val="6B4B61A1"/>
    <w:rsid w:val="6BC404DB"/>
    <w:rsid w:val="6C3C2879"/>
    <w:rsid w:val="6C553829"/>
    <w:rsid w:val="6C8D4D71"/>
    <w:rsid w:val="6DAE2E3A"/>
    <w:rsid w:val="6E754B3F"/>
    <w:rsid w:val="6E7F2DDF"/>
    <w:rsid w:val="6EBE0C13"/>
    <w:rsid w:val="6F467459"/>
    <w:rsid w:val="7058106C"/>
    <w:rsid w:val="718F2302"/>
    <w:rsid w:val="719B695B"/>
    <w:rsid w:val="7352461E"/>
    <w:rsid w:val="741907D1"/>
    <w:rsid w:val="76101C11"/>
    <w:rsid w:val="790068CB"/>
    <w:rsid w:val="79871403"/>
    <w:rsid w:val="7BF22E42"/>
    <w:rsid w:val="7C9767F9"/>
    <w:rsid w:val="7CA06E50"/>
    <w:rsid w:val="7E7F473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9">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next w:val="1"/>
    <w:qFormat/>
    <w:uiPriority w:val="0"/>
    <w:pPr>
      <w:ind w:firstLine="440" w:firstLineChars="100"/>
    </w:pPr>
    <w:rPr>
      <w:rFonts w:ascii="宋体" w:hAnsi="华文中宋"/>
      <w:color w:val="000000"/>
      <w:sz w:val="44"/>
      <w:szCs w:val="44"/>
      <w:lang w:val="zh-CN"/>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6">
    <w:name w:val="Title"/>
    <w:basedOn w:val="1"/>
    <w:next w:val="2"/>
    <w:qFormat/>
    <w:uiPriority w:val="10"/>
    <w:pPr>
      <w:spacing w:before="300" w:after="200"/>
      <w:contextualSpacing/>
    </w:pPr>
    <w:rPr>
      <w:rFonts w:ascii="Times New Roman" w:hAnsi="Times New Roman" w:eastAsia="宋体" w:cs="Times New Roman"/>
      <w:sz w:val="48"/>
      <w:szCs w:val="48"/>
      <w:lang w:val="en-US" w:eastAsia="zh-CN" w:bidi="ar-SA"/>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3907</Words>
  <Characters>4128</Characters>
  <Lines>0</Lines>
  <Paragraphs>0</Paragraphs>
  <TotalTime>2</TotalTime>
  <ScaleCrop>false</ScaleCrop>
  <LinksUpToDate>false</LinksUpToDate>
  <CharactersWithSpaces>4138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2024-01-29T08:27:00Z</dcterms:created>
  <dc:creator>Administrator</dc:creator>
  <cp:lastModifiedBy>智吉</cp:lastModifiedBy>
  <cp:lastPrinted>2024-02-21T00:58:00Z</cp:lastPrinted>
  <dcterms:modified xsi:type="dcterms:W3CDTF">2025-02-14T12:13:55Z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3C056BA17F724165AC673B50A5AFC924_13</vt:lpwstr>
  </property>
  <property fmtid="{D5CDD505-2E9C-101B-9397-08002B2CF9AE}" pid="4" name="KSOTemplateDocerSaveRecord">
    <vt:lpwstr>eyJoZGlkIjoiZDFkNjY5NDdmNDBmN2I2NTRlODY1YWFhMWNhZDc3NWUiLCJ1c2VySWQiOiI4NTQzMTc5NzkifQ==</vt:lpwstr>
  </property>
</Properties>
</file>