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1AF08">
      <w:pPr>
        <w:jc w:val="center"/>
        <w:rPr>
          <w:rFonts w:hint="eastAsia" w:ascii="黑体" w:hAnsi="宋体" w:eastAsia="黑体"/>
          <w:bCs/>
          <w:sz w:val="44"/>
          <w:szCs w:val="44"/>
          <w:lang w:eastAsia="zh-CN"/>
        </w:rPr>
      </w:pPr>
      <w:bookmarkStart w:id="10" w:name="_GoBack"/>
      <w:bookmarkEnd w:id="10"/>
    </w:p>
    <w:p w14:paraId="0FBB8E01">
      <w:pPr>
        <w:jc w:val="center"/>
        <w:rPr>
          <w:rFonts w:hint="eastAsia" w:ascii="黑体" w:hAnsi="宋体" w:eastAsia="黑体"/>
          <w:bCs/>
          <w:sz w:val="44"/>
          <w:szCs w:val="44"/>
        </w:rPr>
      </w:pPr>
      <w:r>
        <w:rPr>
          <w:rFonts w:hint="eastAsia" w:ascii="黑体" w:hAnsi="宋体" w:eastAsia="黑体"/>
          <w:bCs/>
          <w:sz w:val="44"/>
          <w:szCs w:val="44"/>
        </w:rPr>
        <w:t>柳州市柳江区动物疫病预防控制中心</w:t>
      </w:r>
    </w:p>
    <w:p w14:paraId="7615E8E1">
      <w:pPr>
        <w:jc w:val="center"/>
        <w:rPr>
          <w:rFonts w:ascii="黑体" w:hAnsi="宋体" w:eastAsia="黑体"/>
          <w:bCs/>
          <w:szCs w:val="32"/>
        </w:rPr>
      </w:pPr>
      <w:r>
        <w:rPr>
          <w:rFonts w:hint="eastAsia" w:ascii="黑体" w:hAnsi="宋体" w:eastAsia="黑体"/>
          <w:bCs/>
          <w:sz w:val="44"/>
          <w:szCs w:val="44"/>
        </w:rPr>
        <w:t>2025年单位预算及“三公”经费预算公开说明</w:t>
      </w:r>
    </w:p>
    <w:p w14:paraId="2AF0CF02">
      <w:pPr>
        <w:adjustRightInd w:val="0"/>
        <w:snapToGrid w:val="0"/>
        <w:spacing w:line="560" w:lineRule="exact"/>
        <w:ind w:right="-333" w:rightChars="-104" w:firstLine="640" w:firstLineChars="200"/>
        <w:rPr>
          <w:rFonts w:hint="eastAsia" w:ascii="黑体" w:hAnsi="宋体" w:eastAsia="黑体"/>
          <w:bCs/>
          <w:szCs w:val="32"/>
        </w:rPr>
      </w:pPr>
    </w:p>
    <w:p w14:paraId="22C6B4DB">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2209B9D2">
      <w:pPr>
        <w:spacing w:line="460" w:lineRule="exact"/>
        <w:ind w:firstLine="640" w:firstLineChars="200"/>
        <w:rPr>
          <w:rFonts w:ascii="宋体" w:hAnsi="宋体" w:eastAsia="宋体" w:cs="宋体"/>
          <w:szCs w:val="32"/>
        </w:rPr>
      </w:pPr>
      <w:r>
        <w:rPr>
          <w:rFonts w:hint="eastAsia" w:ascii="宋体" w:hAnsi="宋体" w:eastAsia="宋体" w:cs="宋体"/>
          <w:szCs w:val="32"/>
        </w:rPr>
        <w:t>一、主要职责</w:t>
      </w:r>
    </w:p>
    <w:p w14:paraId="0F246F23">
      <w:pPr>
        <w:spacing w:line="460" w:lineRule="exact"/>
        <w:ind w:firstLine="640" w:firstLineChars="200"/>
        <w:rPr>
          <w:rFonts w:ascii="黑体" w:hAnsi="宋体" w:eastAsia="黑体"/>
          <w:bCs/>
          <w:szCs w:val="32"/>
        </w:rPr>
      </w:pPr>
      <w:r>
        <w:rPr>
          <w:rFonts w:hint="eastAsia" w:ascii="宋体" w:hAnsi="宋体" w:eastAsia="宋体" w:cs="宋体"/>
          <w:szCs w:val="32"/>
        </w:rPr>
        <w:t>二、机构设置</w:t>
      </w:r>
    </w:p>
    <w:p w14:paraId="6758E6AE">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柳州市柳江区动物疫病预防控制中心2025年</w:t>
      </w:r>
      <w:r>
        <w:rPr>
          <w:rFonts w:hint="eastAsia" w:ascii="黑体" w:eastAsia="黑体"/>
          <w:szCs w:val="32"/>
        </w:rPr>
        <w:t>单位预算情况说明</w:t>
      </w:r>
    </w:p>
    <w:p w14:paraId="7BA26BDE">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一、单位预算收支增减变化情况说明</w:t>
      </w:r>
    </w:p>
    <w:p w14:paraId="7E1AFCFE">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二、单位预算收入总体情况说明</w:t>
      </w:r>
    </w:p>
    <w:p w14:paraId="5EDCD6A4">
      <w:pPr>
        <w:spacing w:line="460" w:lineRule="exact"/>
        <w:ind w:firstLine="640" w:firstLineChars="200"/>
        <w:rPr>
          <w:rFonts w:ascii="宋体" w:hAnsi="宋体" w:eastAsia="宋体" w:cs="宋体"/>
          <w:szCs w:val="32"/>
        </w:rPr>
      </w:pPr>
      <w:r>
        <w:rPr>
          <w:rFonts w:hint="eastAsia" w:ascii="宋体" w:hAnsi="宋体" w:eastAsia="宋体" w:cs="宋体"/>
          <w:szCs w:val="32"/>
        </w:rPr>
        <w:t>三、单位预算支出总体情况说明</w:t>
      </w:r>
    </w:p>
    <w:p w14:paraId="57A5DFEA">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四、政府性基金预算支出情况说明</w:t>
      </w:r>
    </w:p>
    <w:p w14:paraId="78393918">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五、国有资本经营预算支出情况说明</w:t>
      </w:r>
    </w:p>
    <w:p w14:paraId="4472089D">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六、一般公共预算“三公”经费支出情况说明</w:t>
      </w:r>
    </w:p>
    <w:p w14:paraId="3F3820AC">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七、机关运行经费安排情况说明</w:t>
      </w:r>
    </w:p>
    <w:p w14:paraId="58B85907">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八、政府采购预算安排情况说明</w:t>
      </w:r>
    </w:p>
    <w:p w14:paraId="62FB3FB9">
      <w:pPr>
        <w:tabs>
          <w:tab w:val="center" w:pos="4475"/>
        </w:tabs>
        <w:spacing w:line="560" w:lineRule="exact"/>
        <w:ind w:firstLine="645"/>
        <w:rPr>
          <w:rFonts w:ascii="宋体" w:hAnsi="宋体" w:eastAsia="宋体" w:cs="宋体"/>
          <w:szCs w:val="32"/>
          <w:highlight w:val="yellow"/>
        </w:rPr>
      </w:pPr>
      <w:r>
        <w:rPr>
          <w:rFonts w:hint="eastAsia" w:ascii="宋体" w:hAnsi="宋体" w:eastAsia="宋体" w:cs="宋体"/>
          <w:szCs w:val="32"/>
        </w:rPr>
        <w:t>九、国有资产占用情况说明</w:t>
      </w:r>
    </w:p>
    <w:p w14:paraId="1A07EEAE">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十、预算绩效目标情况说明</w:t>
      </w:r>
    </w:p>
    <w:p w14:paraId="2475FA55">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14:paraId="45E6E28E">
      <w:pPr>
        <w:adjustRightInd w:val="0"/>
        <w:snapToGrid w:val="0"/>
        <w:spacing w:line="560" w:lineRule="exact"/>
        <w:ind w:right="-333" w:rightChars="-104" w:firstLine="640" w:firstLineChars="200"/>
        <w:rPr>
          <w:rFonts w:ascii="黑体" w:eastAsia="黑体"/>
          <w:szCs w:val="32"/>
        </w:rPr>
      </w:pPr>
      <w:r>
        <w:rPr>
          <w:rFonts w:hint="eastAsia" w:ascii="黑体" w:hAnsi="宋体" w:eastAsia="黑体"/>
          <w:bCs/>
          <w:szCs w:val="32"/>
        </w:rPr>
        <w:t>第四部分：</w:t>
      </w:r>
      <w:r>
        <w:rPr>
          <w:rFonts w:hint="eastAsia" w:ascii="黑体" w:hAnsi="宋体" w:eastAsia="黑体"/>
          <w:szCs w:val="32"/>
        </w:rPr>
        <w:t>柳州市柳江区动物疫病预防控制中心2025年</w:t>
      </w:r>
      <w:r>
        <w:rPr>
          <w:rFonts w:hint="eastAsia" w:ascii="黑体" w:eastAsia="黑体"/>
          <w:szCs w:val="32"/>
        </w:rPr>
        <w:t>单位预算报表</w:t>
      </w:r>
    </w:p>
    <w:p w14:paraId="22914FEF">
      <w:pPr>
        <w:widowControl/>
        <w:jc w:val="left"/>
        <w:rPr>
          <w:rFonts w:ascii="黑体" w:eastAsia="黑体"/>
          <w:szCs w:val="32"/>
        </w:rPr>
      </w:pPr>
      <w:r>
        <w:rPr>
          <w:rFonts w:ascii="黑体" w:eastAsia="黑体"/>
          <w:szCs w:val="32"/>
        </w:rPr>
        <w:br w:type="page"/>
      </w:r>
    </w:p>
    <w:p w14:paraId="48440379">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1FC35442">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0CCA52AC">
      <w:pPr>
        <w:spacing w:line="560" w:lineRule="exact"/>
        <w:ind w:firstLine="640" w:firstLineChars="200"/>
        <w:rPr>
          <w:rFonts w:ascii="仿宋_GB2312" w:hAnsi="宋体"/>
          <w:szCs w:val="32"/>
        </w:rPr>
      </w:pPr>
      <w:r>
        <w:rPr>
          <w:rFonts w:hint="eastAsia" w:ascii="仿宋_GB2312" w:hAnsi="宋体"/>
          <w:szCs w:val="32"/>
        </w:rPr>
        <w:t>（一）负责拟定动物疫病预防控制规划、计划、应急预案；</w:t>
      </w:r>
    </w:p>
    <w:p w14:paraId="6ECBDA35">
      <w:pPr>
        <w:spacing w:line="560" w:lineRule="exact"/>
        <w:ind w:firstLine="640" w:firstLineChars="200"/>
        <w:rPr>
          <w:rFonts w:ascii="仿宋_GB2312" w:hAnsi="宋体"/>
          <w:szCs w:val="32"/>
        </w:rPr>
      </w:pPr>
      <w:r>
        <w:rPr>
          <w:rFonts w:hint="eastAsia" w:ascii="仿宋_GB2312" w:hAnsi="宋体"/>
          <w:szCs w:val="32"/>
        </w:rPr>
        <w:t>（二）提出重大动物疫病防控技术方案；</w:t>
      </w:r>
    </w:p>
    <w:p w14:paraId="142D5DA9">
      <w:pPr>
        <w:spacing w:line="560" w:lineRule="exact"/>
        <w:ind w:firstLine="640" w:firstLineChars="200"/>
        <w:rPr>
          <w:rFonts w:ascii="仿宋_GB2312" w:hAnsi="宋体"/>
          <w:szCs w:val="32"/>
        </w:rPr>
      </w:pPr>
      <w:r>
        <w:rPr>
          <w:rFonts w:hint="eastAsia" w:ascii="仿宋_GB2312" w:hAnsi="宋体"/>
          <w:szCs w:val="32"/>
        </w:rPr>
        <w:t>（三）组织实施辖区动物疫病的强制免疫，动物疫病的预防控制；</w:t>
      </w:r>
    </w:p>
    <w:p w14:paraId="0025BC82">
      <w:pPr>
        <w:spacing w:line="560" w:lineRule="exact"/>
        <w:ind w:firstLine="640" w:firstLineChars="200"/>
        <w:rPr>
          <w:rFonts w:ascii="仿宋_GB2312" w:hAnsi="宋体"/>
          <w:szCs w:val="32"/>
        </w:rPr>
      </w:pPr>
      <w:r>
        <w:rPr>
          <w:rFonts w:hint="eastAsia" w:ascii="仿宋_GB2312" w:hAnsi="宋体"/>
          <w:szCs w:val="32"/>
        </w:rPr>
        <w:t>（四）参与免疫接种异常反应事故的调查处理；</w:t>
      </w:r>
    </w:p>
    <w:p w14:paraId="2C436A12">
      <w:pPr>
        <w:spacing w:line="560" w:lineRule="exact"/>
        <w:ind w:firstLine="640" w:firstLineChars="200"/>
        <w:rPr>
          <w:rFonts w:ascii="仿宋_GB2312" w:hAnsi="宋体"/>
          <w:szCs w:val="32"/>
        </w:rPr>
      </w:pPr>
      <w:r>
        <w:rPr>
          <w:rFonts w:hint="eastAsia" w:ascii="仿宋_GB2312" w:hAnsi="宋体"/>
          <w:szCs w:val="32"/>
        </w:rPr>
        <w:t>（五）负责全县动物疫病的诊断，动物疫情的调查、分析、遇警预报，动物疫情的收集、汇总、上报；</w:t>
      </w:r>
    </w:p>
    <w:p w14:paraId="2020B4A2">
      <w:pPr>
        <w:spacing w:line="560" w:lineRule="exact"/>
        <w:ind w:firstLine="640" w:firstLineChars="200"/>
        <w:rPr>
          <w:rFonts w:ascii="仿宋_GB2312" w:hAnsi="宋体"/>
          <w:szCs w:val="32"/>
        </w:rPr>
      </w:pPr>
      <w:r>
        <w:rPr>
          <w:rFonts w:hint="eastAsia" w:ascii="仿宋_GB2312" w:hAnsi="宋体"/>
          <w:szCs w:val="32"/>
        </w:rPr>
        <w:t>（六）负责动物疫病的实验室检验检测，诊断、定性，动物产品质量安全检测以及技术仲裁；</w:t>
      </w:r>
    </w:p>
    <w:p w14:paraId="781AC60E">
      <w:pPr>
        <w:spacing w:line="560" w:lineRule="exact"/>
        <w:ind w:firstLine="640" w:firstLineChars="200"/>
        <w:rPr>
          <w:rFonts w:ascii="仿宋_GB2312" w:hAnsi="宋体"/>
          <w:szCs w:val="32"/>
        </w:rPr>
      </w:pPr>
      <w:r>
        <w:rPr>
          <w:rFonts w:hint="eastAsia" w:ascii="仿宋_GB2312" w:hAnsi="宋体"/>
          <w:szCs w:val="32"/>
        </w:rPr>
        <w:t>（七）负责全县动物预防用生物制品，防疫器械、畜禽标识、免疫档案等动物疫病预防控制工作；</w:t>
      </w:r>
    </w:p>
    <w:p w14:paraId="0D8325A5">
      <w:pPr>
        <w:spacing w:line="560" w:lineRule="exact"/>
        <w:ind w:firstLine="640" w:firstLineChars="200"/>
        <w:rPr>
          <w:rFonts w:ascii="仿宋_GB2312" w:hAnsi="宋体"/>
          <w:szCs w:val="32"/>
        </w:rPr>
      </w:pPr>
      <w:r>
        <w:rPr>
          <w:rFonts w:hint="eastAsia" w:ascii="仿宋_GB2312" w:hAnsi="宋体"/>
          <w:szCs w:val="32"/>
        </w:rPr>
        <w:t>（八）承担主管部门和上一级动物疫病预防控制中心指定或交办的其他任务。</w:t>
      </w:r>
    </w:p>
    <w:p w14:paraId="22A69B04">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14:paraId="3D222930">
      <w:pPr>
        <w:spacing w:line="560" w:lineRule="exact"/>
        <w:ind w:firstLine="640" w:firstLineChars="200"/>
        <w:rPr>
          <w:rFonts w:ascii="仿宋_GB2312" w:hAnsi="宋体"/>
          <w:szCs w:val="32"/>
        </w:rPr>
      </w:pPr>
      <w:r>
        <w:rPr>
          <w:rFonts w:hint="eastAsia" w:ascii="仿宋_GB2312" w:hAnsi="宋体"/>
          <w:szCs w:val="32"/>
        </w:rPr>
        <w:t>（一）机构情况：柳州市柳江区动物疫病预防控制中心属于财政全额拨款的事业单位，隶属于柳江区农业农村局。</w:t>
      </w:r>
    </w:p>
    <w:p w14:paraId="2832344C">
      <w:pPr>
        <w:spacing w:line="560" w:lineRule="exact"/>
        <w:ind w:firstLine="640" w:firstLineChars="200"/>
        <w:rPr>
          <w:rFonts w:ascii="仿宋_GB2312" w:hAnsi="宋体"/>
          <w:szCs w:val="32"/>
        </w:rPr>
      </w:pPr>
      <w:r>
        <w:rPr>
          <w:rFonts w:hint="eastAsia" w:ascii="仿宋_GB2312" w:hAnsi="宋体"/>
          <w:szCs w:val="32"/>
        </w:rPr>
        <w:t>（二）人员情况：2025年柳州市柳江区动物疾病预防控制中心在职人数15人，与上年相比减少2人。</w:t>
      </w:r>
    </w:p>
    <w:p w14:paraId="40FE64B3">
      <w:pPr>
        <w:spacing w:line="560" w:lineRule="exact"/>
        <w:ind w:firstLine="640" w:firstLineChars="200"/>
        <w:rPr>
          <w:rFonts w:ascii="黑体" w:eastAsia="黑体"/>
          <w:szCs w:val="32"/>
        </w:rPr>
      </w:pPr>
    </w:p>
    <w:p w14:paraId="3734161B">
      <w:pPr>
        <w:tabs>
          <w:tab w:val="center" w:pos="4475"/>
        </w:tabs>
        <w:spacing w:line="560" w:lineRule="exact"/>
        <w:ind w:firstLine="645"/>
        <w:rPr>
          <w:rFonts w:ascii="仿宋_GB2312" w:hAnsi="仿宋_GB2312" w:cs="仿宋_GB2312"/>
          <w:szCs w:val="32"/>
        </w:rPr>
      </w:pPr>
      <w:r>
        <w:rPr>
          <w:rFonts w:hint="eastAsia" w:ascii="黑体" w:eastAsia="黑体"/>
          <w:szCs w:val="32"/>
        </w:rPr>
        <w:t>第二部分：</w:t>
      </w:r>
      <w:r>
        <w:rPr>
          <w:rFonts w:hint="eastAsia" w:ascii="黑体" w:hAnsi="宋体" w:eastAsia="黑体"/>
          <w:szCs w:val="32"/>
        </w:rPr>
        <w:t>柳州市柳江区动物疫病预防控制中心2025年</w:t>
      </w:r>
      <w:r>
        <w:rPr>
          <w:rFonts w:hint="eastAsia" w:ascii="黑体" w:eastAsia="黑体"/>
          <w:szCs w:val="32"/>
        </w:rPr>
        <w:t>单位预算情况说明</w:t>
      </w:r>
    </w:p>
    <w:p w14:paraId="44BF1706">
      <w:pPr>
        <w:tabs>
          <w:tab w:val="center" w:pos="4475"/>
        </w:tabs>
        <w:spacing w:line="560" w:lineRule="exact"/>
        <w:ind w:firstLine="645"/>
        <w:rPr>
          <w:rFonts w:ascii="黑体" w:eastAsia="黑体"/>
          <w:szCs w:val="32"/>
        </w:rPr>
      </w:pPr>
      <w:r>
        <w:rPr>
          <w:rFonts w:hint="eastAsia" w:ascii="黑体" w:eastAsia="黑体"/>
          <w:szCs w:val="32"/>
        </w:rPr>
        <w:t>一、单位预算收支增减变化情况说明</w:t>
      </w:r>
    </w:p>
    <w:p w14:paraId="6A0C294C">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w:t>
      </w:r>
      <w:bookmarkStart w:id="0" w:name="OLE_LINK4"/>
      <w:bookmarkStart w:id="1" w:name="OLE_LINK3"/>
      <w:r>
        <w:rPr>
          <w:rFonts w:hint="eastAsia" w:ascii="仿宋_GB2312"/>
          <w:szCs w:val="32"/>
        </w:rPr>
        <w:t>253.39</w:t>
      </w:r>
      <w:bookmarkEnd w:id="0"/>
      <w:bookmarkEnd w:id="1"/>
      <w:r>
        <w:rPr>
          <w:rFonts w:hint="eastAsia" w:ascii="仿宋_GB2312"/>
          <w:szCs w:val="32"/>
        </w:rPr>
        <w:t>万元，总支出253.39万元（不含财政拨款上年未列支结转收支数）。总收入较上年减少</w:t>
      </w:r>
      <w:bookmarkStart w:id="2" w:name="OLE_LINK8"/>
      <w:bookmarkStart w:id="3" w:name="OLE_LINK7"/>
      <w:r>
        <w:rPr>
          <w:rFonts w:hint="eastAsia" w:ascii="仿宋_GB2312"/>
          <w:szCs w:val="32"/>
        </w:rPr>
        <w:t>32.3</w:t>
      </w:r>
      <w:bookmarkEnd w:id="2"/>
      <w:bookmarkEnd w:id="3"/>
      <w:r>
        <w:rPr>
          <w:rFonts w:hint="eastAsia" w:ascii="仿宋_GB2312"/>
          <w:szCs w:val="32"/>
        </w:rPr>
        <w:t>万元，减少11.31%，主要原因一是本年度单位在职人数减少2人，财政拨款收入减少；二是根据落实进一步过紧日子相关文件要求及柳州市2025年部门预算基本支出定额标准，压减部分公用经费安排。总支出较上年减少32.3万元，减少11.31%，主要原因一是本年度单位在职人数减少2人，人员经费与公用经费支出减少；二是根据落实进一步过紧日子相关文件要求及柳州市2025年部门预算基本支出定额标准，压减</w:t>
      </w:r>
      <w:bookmarkStart w:id="4" w:name="OLE_LINK5"/>
      <w:bookmarkStart w:id="5" w:name="OLE_LINK6"/>
      <w:r>
        <w:rPr>
          <w:rFonts w:hint="eastAsia" w:ascii="仿宋_GB2312"/>
          <w:szCs w:val="32"/>
        </w:rPr>
        <w:t>“三公经费”等</w:t>
      </w:r>
      <w:bookmarkEnd w:id="4"/>
      <w:bookmarkEnd w:id="5"/>
      <w:r>
        <w:rPr>
          <w:rFonts w:hint="eastAsia" w:ascii="仿宋_GB2312"/>
          <w:szCs w:val="32"/>
        </w:rPr>
        <w:t>公用经费支出。</w:t>
      </w:r>
    </w:p>
    <w:p w14:paraId="1B47E50F">
      <w:pPr>
        <w:tabs>
          <w:tab w:val="center" w:pos="4475"/>
        </w:tabs>
        <w:spacing w:line="560" w:lineRule="exact"/>
        <w:ind w:firstLine="645"/>
        <w:rPr>
          <w:rFonts w:ascii="黑体" w:eastAsia="黑体"/>
          <w:szCs w:val="32"/>
        </w:rPr>
      </w:pPr>
      <w:r>
        <w:rPr>
          <w:rFonts w:hint="eastAsia" w:ascii="黑体" w:eastAsia="黑体"/>
          <w:szCs w:val="32"/>
        </w:rPr>
        <w:t>二、单位预算收入总体情况说明</w:t>
      </w:r>
    </w:p>
    <w:p w14:paraId="4E824BF8">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253.39万元，较上年减少32.3万元，减少11.31%，主要原因一是本年度单位在职人数减少2人，财政拨款收入减少；二是根据落实进一步过紧日子相关文件要求及柳州市2025年部门预算基本支出定额标准，压减部分公用经费安排。单位收入主要包括：</w:t>
      </w:r>
      <w:r>
        <w:rPr>
          <w:rFonts w:hint="eastAsia" w:ascii="仿宋_GB2312" w:hAnsi="宋体"/>
          <w:szCs w:val="32"/>
        </w:rPr>
        <w:t>一般公共预算拨款收入万元，占单位预算收入100%。</w:t>
      </w:r>
    </w:p>
    <w:p w14:paraId="2CC33B76">
      <w:pPr>
        <w:tabs>
          <w:tab w:val="center" w:pos="4475"/>
        </w:tabs>
        <w:spacing w:line="560" w:lineRule="exact"/>
        <w:ind w:firstLine="645"/>
        <w:rPr>
          <w:rFonts w:ascii="黑体" w:eastAsia="黑体"/>
          <w:szCs w:val="32"/>
        </w:rPr>
      </w:pPr>
      <w:r>
        <w:rPr>
          <w:rFonts w:hint="eastAsia" w:ascii="黑体" w:eastAsia="黑体"/>
          <w:szCs w:val="32"/>
        </w:rPr>
        <w:t>三、单位预算支出总体情况说明</w:t>
      </w:r>
    </w:p>
    <w:p w14:paraId="661D8FA2">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szCs w:val="32"/>
        </w:rPr>
        <w:t>总支出253.39万元，较上年减少32.3万元，减少11.31%，主要原因一是本年度单位在职人数减少2人，人员经费与公用经费支出减少；二是根据落实进一步过紧日子相关文件要求及柳州市2025年部门预算基本支出定额标准，压减“三公经费”等公用经费支出。单位支出主要包括：</w:t>
      </w:r>
      <w:r>
        <w:rPr>
          <w:rFonts w:hint="eastAsia" w:ascii="仿宋_GB2312" w:hAnsi="宋体"/>
          <w:szCs w:val="32"/>
        </w:rPr>
        <w:t>一般公共预算拨款收入万元，占单位预算收入100%。</w:t>
      </w:r>
    </w:p>
    <w:p w14:paraId="6184C91D">
      <w:pPr>
        <w:tabs>
          <w:tab w:val="center" w:pos="4475"/>
        </w:tabs>
        <w:spacing w:line="560" w:lineRule="exact"/>
        <w:ind w:firstLine="645"/>
        <w:rPr>
          <w:rFonts w:ascii="黑体" w:eastAsia="黑体"/>
          <w:szCs w:val="32"/>
        </w:rPr>
      </w:pPr>
      <w:r>
        <w:rPr>
          <w:rFonts w:hint="eastAsia" w:ascii="黑体" w:eastAsia="黑体"/>
          <w:szCs w:val="32"/>
        </w:rPr>
        <w:t>四、政府性基金预算支出情况说明</w:t>
      </w:r>
    </w:p>
    <w:p w14:paraId="67383E50">
      <w:pPr>
        <w:tabs>
          <w:tab w:val="center" w:pos="4475"/>
        </w:tabs>
        <w:spacing w:line="560" w:lineRule="exact"/>
        <w:ind w:firstLine="645"/>
        <w:rPr>
          <w:rFonts w:ascii="仿宋_GB2312" w:hAnsi="宋体"/>
          <w:szCs w:val="32"/>
        </w:rPr>
      </w:pPr>
      <w:r>
        <w:rPr>
          <w:rFonts w:hint="eastAsia" w:ascii="仿宋_GB2312" w:hAnsi="宋体"/>
          <w:szCs w:val="32"/>
        </w:rPr>
        <w:t>我单位2025年无政府性基金预算</w:t>
      </w:r>
      <w:r>
        <w:rPr>
          <w:rFonts w:ascii="仿宋_GB2312" w:hAnsi="宋体"/>
          <w:szCs w:val="32"/>
        </w:rPr>
        <w:t xml:space="preserve"> </w:t>
      </w:r>
    </w:p>
    <w:p w14:paraId="3FF0B325">
      <w:pPr>
        <w:tabs>
          <w:tab w:val="center" w:pos="4475"/>
        </w:tabs>
        <w:spacing w:line="560" w:lineRule="exact"/>
        <w:ind w:firstLine="645"/>
        <w:rPr>
          <w:rFonts w:ascii="黑体" w:eastAsia="黑体"/>
          <w:szCs w:val="32"/>
          <w:highlight w:val="yellow"/>
        </w:rPr>
      </w:pPr>
      <w:r>
        <w:rPr>
          <w:rFonts w:hint="eastAsia" w:ascii="黑体" w:eastAsia="黑体"/>
          <w:szCs w:val="32"/>
        </w:rPr>
        <w:t>五、国有资本经营预算支出情况说明</w:t>
      </w:r>
    </w:p>
    <w:p w14:paraId="2BF2818B">
      <w:pPr>
        <w:tabs>
          <w:tab w:val="center" w:pos="4475"/>
        </w:tabs>
        <w:spacing w:line="560" w:lineRule="exact"/>
        <w:ind w:firstLine="645"/>
        <w:rPr>
          <w:rFonts w:ascii="仿宋_GB2312" w:hAnsi="宋体"/>
          <w:szCs w:val="32"/>
        </w:rPr>
      </w:pPr>
      <w:r>
        <w:rPr>
          <w:rFonts w:hint="eastAsia" w:ascii="仿宋_GB2312" w:hAnsi="宋体"/>
          <w:szCs w:val="32"/>
        </w:rPr>
        <w:t>我单位2025年无国有资本经营预算</w:t>
      </w:r>
    </w:p>
    <w:p w14:paraId="229EFDC0">
      <w:pPr>
        <w:tabs>
          <w:tab w:val="center" w:pos="4475"/>
        </w:tabs>
        <w:spacing w:line="560" w:lineRule="exact"/>
        <w:ind w:firstLine="645"/>
        <w:rPr>
          <w:rFonts w:ascii="黑体" w:eastAsia="黑体"/>
          <w:szCs w:val="32"/>
        </w:rPr>
      </w:pPr>
      <w:r>
        <w:rPr>
          <w:rFonts w:hint="eastAsia" w:ascii="黑体" w:eastAsia="黑体"/>
          <w:szCs w:val="32"/>
        </w:rPr>
        <w:t>六、一般公共预算“三公”经费支出情况说明</w:t>
      </w:r>
    </w:p>
    <w:p w14:paraId="2704830F">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rPr>
        <w:t>2025年一般公共预算</w:t>
      </w:r>
      <w:r>
        <w:rPr>
          <w:rFonts w:hint="eastAsia" w:ascii="仿宋_GB2312"/>
          <w:bCs/>
        </w:rPr>
        <w:t>安排的“三公”经费支出预算3.24万元，同口径比2024年减少0.87万元，下降21.17%，具体如下：</w:t>
      </w:r>
    </w:p>
    <w:p w14:paraId="757F6012">
      <w:pPr>
        <w:tabs>
          <w:tab w:val="center" w:pos="4475"/>
        </w:tabs>
        <w:spacing w:line="560" w:lineRule="exact"/>
        <w:ind w:firstLine="645"/>
        <w:rPr>
          <w:rFonts w:ascii="仿宋_GB2312"/>
        </w:rPr>
      </w:pPr>
      <w:r>
        <w:rPr>
          <w:rFonts w:hint="eastAsia" w:ascii="仿宋_GB2312"/>
        </w:rPr>
        <w:t>（一）因公出国（境）费2025年预算安排0万元，与上年持平。</w:t>
      </w:r>
    </w:p>
    <w:p w14:paraId="36FB93D9">
      <w:pPr>
        <w:tabs>
          <w:tab w:val="center" w:pos="4475"/>
        </w:tabs>
        <w:spacing w:line="560" w:lineRule="exact"/>
        <w:ind w:firstLine="645"/>
        <w:rPr>
          <w:rFonts w:ascii="仿宋_GB2312" w:hAnsi="宋体"/>
          <w:szCs w:val="32"/>
        </w:rPr>
      </w:pPr>
      <w:r>
        <w:rPr>
          <w:rFonts w:hint="eastAsia" w:ascii="仿宋_GB2312"/>
        </w:rPr>
        <w:t>（二）公务用车购置及运行费</w:t>
      </w:r>
      <w:r>
        <w:rPr>
          <w:rFonts w:hint="eastAsia" w:ascii="仿宋_GB2312" w:hAnsi="宋体"/>
          <w:szCs w:val="32"/>
        </w:rPr>
        <w:t>2025年预算安排2.88万元，比上年减少0.72万元，下降20%，其中：</w:t>
      </w:r>
    </w:p>
    <w:p w14:paraId="48B006B0">
      <w:pPr>
        <w:tabs>
          <w:tab w:val="center" w:pos="4475"/>
        </w:tabs>
        <w:spacing w:line="560" w:lineRule="exact"/>
        <w:ind w:firstLine="645"/>
        <w:rPr>
          <w:rFonts w:ascii="仿宋_GB2312" w:hAnsi="宋体"/>
          <w:szCs w:val="32"/>
        </w:rPr>
      </w:pPr>
      <w:r>
        <w:rPr>
          <w:rFonts w:hint="eastAsia" w:ascii="仿宋_GB2312" w:hAnsi="宋体"/>
          <w:szCs w:val="32"/>
        </w:rPr>
        <w:t>公务用车购置费2025年预算安排0万元，与上年持平。</w:t>
      </w:r>
    </w:p>
    <w:p w14:paraId="2C8D4DDE">
      <w:pPr>
        <w:tabs>
          <w:tab w:val="center" w:pos="4475"/>
        </w:tabs>
        <w:spacing w:line="560" w:lineRule="exact"/>
        <w:ind w:firstLine="645"/>
        <w:rPr>
          <w:rFonts w:ascii="黑体" w:eastAsia="黑体"/>
          <w:szCs w:val="32"/>
        </w:rPr>
      </w:pPr>
      <w:bookmarkStart w:id="6" w:name="OLE_LINK10"/>
      <w:bookmarkStart w:id="7" w:name="OLE_LINK9"/>
      <w:r>
        <w:rPr>
          <w:rFonts w:hint="eastAsia" w:ascii="仿宋_GB2312" w:hAnsi="宋体"/>
          <w:szCs w:val="32"/>
        </w:rPr>
        <w:t>公务用车运行维护费</w:t>
      </w:r>
      <w:bookmarkEnd w:id="6"/>
      <w:bookmarkEnd w:id="7"/>
      <w:r>
        <w:rPr>
          <w:rFonts w:hint="eastAsia" w:ascii="仿宋_GB2312" w:hAnsi="宋体"/>
          <w:szCs w:val="32"/>
        </w:rPr>
        <w:t>2025年预算安排2.88万元，比上年减少0.72万元，下降20%，</w:t>
      </w:r>
      <w:r>
        <w:rPr>
          <w:rFonts w:hint="eastAsia" w:ascii="仿宋_GB2312" w:hAnsi="Arial" w:cs="Arial"/>
          <w:kern w:val="0"/>
        </w:rPr>
        <w:t>减少的主要原因一是本年度单位在职人数减少2人，公务用车运行维护支出减少；二是根据落实进一步过紧日子相关文件要求及柳州市2025年部门预算基本支出定额标准，压减公务用车运行维护支出。</w:t>
      </w:r>
    </w:p>
    <w:p w14:paraId="500B7B8F">
      <w:pPr>
        <w:tabs>
          <w:tab w:val="center" w:pos="4475"/>
        </w:tabs>
        <w:spacing w:line="560" w:lineRule="exact"/>
        <w:ind w:firstLine="645"/>
        <w:rPr>
          <w:rFonts w:ascii="仿宋_GB2312" w:hAnsi="Arial" w:cs="Arial"/>
          <w:kern w:val="0"/>
        </w:rPr>
      </w:pPr>
      <w:r>
        <w:rPr>
          <w:rFonts w:hint="eastAsia" w:ascii="仿宋_GB2312"/>
        </w:rPr>
        <w:t>（三）公务接待费</w:t>
      </w:r>
      <w:r>
        <w:rPr>
          <w:rFonts w:hint="eastAsia" w:ascii="仿宋_GB2312" w:hAnsi="宋体"/>
          <w:szCs w:val="32"/>
        </w:rPr>
        <w:t>2025年预算安排0.36万元，比上年减少0.15万元，下降29.41%，</w:t>
      </w:r>
      <w:r>
        <w:rPr>
          <w:rFonts w:hint="eastAsia" w:ascii="仿宋_GB2312" w:hAnsi="Arial" w:cs="Arial"/>
          <w:kern w:val="0"/>
        </w:rPr>
        <w:t>减少的主要原因是根据落实进一步过紧日子相关文件要求及柳州市2025年部门预算基本支出定额标准，压减公务接待费支出。</w:t>
      </w:r>
    </w:p>
    <w:p w14:paraId="4A0EBD28">
      <w:pPr>
        <w:tabs>
          <w:tab w:val="center" w:pos="4475"/>
        </w:tabs>
        <w:spacing w:line="560" w:lineRule="exact"/>
        <w:ind w:firstLine="645"/>
        <w:rPr>
          <w:rFonts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事业单位相关运行经费安排情况说明</w:t>
      </w:r>
    </w:p>
    <w:p w14:paraId="371E076E">
      <w:pPr>
        <w:tabs>
          <w:tab w:val="center" w:pos="4475"/>
        </w:tabs>
        <w:spacing w:line="560" w:lineRule="exact"/>
        <w:ind w:firstLine="645"/>
        <w:rPr>
          <w:rFonts w:ascii="仿宋_GB2312" w:hAnsi="宋体"/>
          <w:b/>
          <w:bCs/>
          <w:szCs w:val="32"/>
          <w:u w:val="single"/>
        </w:rPr>
      </w:pPr>
      <w:r>
        <w:rPr>
          <w:rFonts w:hint="eastAsia" w:ascii="仿宋_GB2312" w:hAnsi="宋体"/>
          <w:szCs w:val="32"/>
        </w:rPr>
        <w:t>我单位相关运行经费主要包括办公费</w:t>
      </w:r>
      <w:bookmarkStart w:id="8" w:name="OLE_LINK2"/>
      <w:bookmarkStart w:id="9" w:name="OLE_LINK1"/>
      <w:r>
        <w:rPr>
          <w:rFonts w:hint="eastAsia" w:ascii="仿宋_GB2312" w:hAnsi="宋体"/>
          <w:szCs w:val="32"/>
        </w:rPr>
        <w:t>、</w:t>
      </w:r>
      <w:bookmarkEnd w:id="8"/>
      <w:bookmarkEnd w:id="9"/>
      <w:r>
        <w:rPr>
          <w:rFonts w:hint="eastAsia" w:ascii="仿宋_GB2312" w:hAnsi="宋体"/>
          <w:szCs w:val="32"/>
        </w:rPr>
        <w:t>印刷费、水费、电费、邮电费、差旅费、维修（护）费、会议费、培训费、公务接待费、工会经费、福利费、公务用车运行维护费、其他商品和服务支出。我单位2025年相关运行经费预算27.71万元，较上年减少5.03</w:t>
      </w:r>
      <w:r>
        <w:rPr>
          <w:rFonts w:hint="eastAsia" w:ascii="仿宋_GB2312"/>
          <w:szCs w:val="32"/>
        </w:rPr>
        <w:t>万元，减少15.36%，减少的主要原因一是本年度单位在职人数减少2人，财政拨款收入减少；二是根据落实进一步过紧日子相关文件要求及柳州市2025年部门预算基本支出定额标准，压减部分公用经费安排。</w:t>
      </w:r>
    </w:p>
    <w:p w14:paraId="2F37709D">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14:paraId="7CFA9F94">
      <w:pPr>
        <w:tabs>
          <w:tab w:val="center" w:pos="4475"/>
        </w:tabs>
        <w:spacing w:line="560" w:lineRule="exact"/>
        <w:ind w:firstLine="645"/>
        <w:rPr>
          <w:rFonts w:ascii="楷体_GB2312" w:hAnsi="楷体_GB2312" w:eastAsia="楷体_GB2312" w:cs="楷体_GB2312"/>
          <w:kern w:val="0"/>
        </w:rPr>
      </w:pPr>
      <w:r>
        <w:rPr>
          <w:rFonts w:hint="eastAsia" w:ascii="仿宋_GB2312" w:hAnsi="宋体"/>
          <w:szCs w:val="32"/>
        </w:rPr>
        <w:t>我单位2025年政府采购预算总金额4.755万元。其中：货物类采购1.875万元、工程类采购0万元、服务类采购2.88万元。主要采购项目为办公耗材、车辆运行和维修服务等。</w:t>
      </w:r>
    </w:p>
    <w:p w14:paraId="719C0960">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kern w:val="0"/>
        </w:rPr>
        <w:t>九、国有资产占用情况说明</w:t>
      </w:r>
    </w:p>
    <w:p w14:paraId="24E06144">
      <w:pPr>
        <w:tabs>
          <w:tab w:val="center" w:pos="4475"/>
        </w:tabs>
        <w:spacing w:line="560" w:lineRule="exact"/>
        <w:ind w:firstLine="645"/>
        <w:rPr>
          <w:rFonts w:hint="eastAsia" w:ascii="仿宋" w:hAnsi="仿宋" w:eastAsia="仿宋" w:cs="仿宋"/>
          <w:szCs w:val="32"/>
        </w:rPr>
      </w:pPr>
      <w:r>
        <w:rPr>
          <w:rFonts w:hint="eastAsia" w:ascii="仿宋_GB2312" w:hAnsi="宋体"/>
          <w:szCs w:val="32"/>
        </w:rPr>
        <w:t>我单位2025年</w:t>
      </w:r>
      <w:r>
        <w:rPr>
          <w:rFonts w:hint="eastAsia" w:ascii="仿宋" w:hAnsi="仿宋" w:eastAsia="仿宋" w:cs="仿宋"/>
          <w:szCs w:val="32"/>
        </w:rPr>
        <w:t>共有在编公务用车</w:t>
      </w:r>
      <w:r>
        <w:rPr>
          <w:rFonts w:hint="eastAsia" w:ascii="仿宋" w:hAnsi="仿宋" w:eastAsia="仿宋" w:cs="仿宋"/>
          <w:szCs w:val="32"/>
          <w:lang w:val="en-US" w:eastAsia="zh-CN"/>
        </w:rPr>
        <w:t>2</w:t>
      </w:r>
      <w:r>
        <w:rPr>
          <w:rFonts w:hint="eastAsia" w:ascii="仿宋" w:hAnsi="仿宋" w:eastAsia="仿宋" w:cs="仿宋"/>
          <w:szCs w:val="32"/>
        </w:rPr>
        <w:t>辆，与上年持平。</w:t>
      </w:r>
    </w:p>
    <w:p w14:paraId="104D0947">
      <w:pPr>
        <w:tabs>
          <w:tab w:val="center" w:pos="4475"/>
        </w:tabs>
        <w:spacing w:line="560" w:lineRule="exact"/>
        <w:ind w:firstLine="645"/>
        <w:rPr>
          <w:rFonts w:ascii="黑体" w:eastAsia="黑体"/>
          <w:szCs w:val="32"/>
        </w:rPr>
      </w:pPr>
      <w:r>
        <w:rPr>
          <w:rFonts w:hint="eastAsia" w:ascii="黑体" w:eastAsia="黑体"/>
          <w:szCs w:val="32"/>
        </w:rPr>
        <w:t>十、预算绩效目标情况说明</w:t>
      </w:r>
    </w:p>
    <w:p w14:paraId="0C4F60C6">
      <w:pPr>
        <w:tabs>
          <w:tab w:val="center" w:pos="4475"/>
        </w:tabs>
        <w:spacing w:line="560" w:lineRule="exact"/>
        <w:ind w:firstLine="645"/>
        <w:rPr>
          <w:rFonts w:ascii="仿宋_GB2312" w:hAnsi="宋体"/>
          <w:bCs/>
          <w:szCs w:val="32"/>
        </w:rPr>
      </w:pPr>
      <w:r>
        <w:rPr>
          <w:rFonts w:hint="eastAsia" w:ascii="仿宋_GB2312" w:hAnsi="宋体"/>
          <w:bCs/>
          <w:szCs w:val="32"/>
        </w:rPr>
        <w:t>我单位2025年所有项目支出全面实施绩效目标管理，涉及本级项目0个，预算资金0.00万元；对下转移支付项目0个，预算资金0.00万元。</w:t>
      </w:r>
    </w:p>
    <w:p w14:paraId="59CAAB1A">
      <w:pPr>
        <w:tabs>
          <w:tab w:val="center" w:pos="4475"/>
        </w:tabs>
        <w:spacing w:line="560" w:lineRule="exact"/>
        <w:ind w:firstLine="645"/>
        <w:rPr>
          <w:rFonts w:ascii="黑体" w:eastAsia="黑体"/>
          <w:szCs w:val="32"/>
        </w:rPr>
      </w:pPr>
    </w:p>
    <w:p w14:paraId="349283D7">
      <w:pPr>
        <w:tabs>
          <w:tab w:val="center" w:pos="4475"/>
        </w:tabs>
        <w:spacing w:line="560" w:lineRule="exact"/>
        <w:ind w:firstLine="645"/>
        <w:rPr>
          <w:rFonts w:ascii="黑体" w:eastAsia="黑体"/>
          <w:szCs w:val="32"/>
        </w:rPr>
      </w:pPr>
      <w:r>
        <w:rPr>
          <w:rFonts w:hint="eastAsia" w:ascii="黑体" w:eastAsia="黑体"/>
          <w:szCs w:val="32"/>
        </w:rPr>
        <w:t>第三部分：名词解释</w:t>
      </w:r>
    </w:p>
    <w:p w14:paraId="66EF8310">
      <w:pPr>
        <w:ind w:firstLine="640"/>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14:paraId="0DB99D12">
      <w:pPr>
        <w:ind w:firstLine="640"/>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14:paraId="5D747972">
      <w:pPr>
        <w:ind w:firstLine="640"/>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14:paraId="338BB03A">
      <w:pPr>
        <w:ind w:firstLine="640"/>
        <w:rPr>
          <w:rFonts w:ascii="仿宋_GB2312"/>
          <w:szCs w:val="32"/>
        </w:rPr>
      </w:pPr>
      <w:r>
        <w:rPr>
          <w:rFonts w:hint="eastAsia" w:ascii="黑体" w:eastAsia="黑体"/>
          <w:szCs w:val="32"/>
        </w:rPr>
        <w:t>四、财政拨款收入：</w:t>
      </w:r>
      <w:r>
        <w:rPr>
          <w:rFonts w:hint="eastAsia" w:ascii="仿宋_GB2312"/>
          <w:szCs w:val="32"/>
        </w:rPr>
        <w:t xml:space="preserve">指财政单位当年拨付的资金。 </w:t>
      </w:r>
    </w:p>
    <w:p w14:paraId="2FE4A2CC">
      <w:pPr>
        <w:ind w:firstLine="640"/>
        <w:rPr>
          <w:rFonts w:ascii="仿宋_GB2312"/>
          <w:szCs w:val="32"/>
        </w:rPr>
      </w:pPr>
      <w:r>
        <w:rPr>
          <w:rFonts w:hint="eastAsia" w:ascii="黑体" w:eastAsia="黑体"/>
          <w:szCs w:val="32"/>
        </w:rPr>
        <w:t>五、非税收入：</w:t>
      </w:r>
      <w:r>
        <w:rPr>
          <w:rFonts w:hint="eastAsia" w:ascii="仿宋_GB231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7AA7C581">
      <w:pPr>
        <w:ind w:firstLine="640" w:firstLineChars="200"/>
        <w:rPr>
          <w:rFonts w:ascii="仿宋_GB2312"/>
          <w:szCs w:val="32"/>
        </w:rPr>
      </w:pPr>
      <w:r>
        <w:rPr>
          <w:rFonts w:hint="eastAsia" w:ascii="黑体" w:eastAsia="黑体"/>
          <w:szCs w:val="32"/>
        </w:rPr>
        <w:t>六、事业收入：</w:t>
      </w:r>
      <w:r>
        <w:rPr>
          <w:rFonts w:hint="eastAsia" w:ascii="仿宋_GB2312"/>
          <w:szCs w:val="32"/>
        </w:rPr>
        <w:t>指事业单位开展专业业务活动及辅助活动所取得的收入。</w:t>
      </w:r>
    </w:p>
    <w:p w14:paraId="238B8785">
      <w:pPr>
        <w:ind w:firstLine="640" w:firstLineChars="200"/>
        <w:rPr>
          <w:rFonts w:ascii="仿宋_GB2312"/>
          <w:szCs w:val="32"/>
        </w:rPr>
      </w:pPr>
      <w:r>
        <w:rPr>
          <w:rFonts w:hint="eastAsia" w:ascii="黑体" w:eastAsia="黑体"/>
          <w:szCs w:val="32"/>
        </w:rPr>
        <w:t>七、经营收入：</w:t>
      </w:r>
      <w:r>
        <w:rPr>
          <w:rFonts w:hint="eastAsia" w:ascii="仿宋_GB2312"/>
          <w:szCs w:val="32"/>
        </w:rPr>
        <w:t>指事业单位在专业业务活动及其辅助活动之外开展非独立核算经营活动取得的收入。</w:t>
      </w:r>
    </w:p>
    <w:p w14:paraId="5491D267">
      <w:pPr>
        <w:ind w:firstLine="640"/>
        <w:rPr>
          <w:rFonts w:ascii="仿宋_GB2312"/>
          <w:szCs w:val="32"/>
        </w:rPr>
      </w:pPr>
      <w:r>
        <w:rPr>
          <w:rFonts w:hint="eastAsia" w:ascii="黑体" w:eastAsia="黑体"/>
          <w:szCs w:val="32"/>
        </w:rPr>
        <w:t>八、其他收入：</w:t>
      </w:r>
      <w:r>
        <w:rPr>
          <w:rFonts w:hint="eastAsia" w:ascii="仿宋_GB2312"/>
          <w:szCs w:val="32"/>
        </w:rPr>
        <w:t>指除上述“财政拨款收入”、“事业收入”、“经营收入”等以外的收入。</w:t>
      </w:r>
    </w:p>
    <w:p w14:paraId="0B13FCDB">
      <w:pPr>
        <w:ind w:firstLine="640" w:firstLineChars="200"/>
        <w:rPr>
          <w:rFonts w:ascii="仿宋_GB2312"/>
          <w:szCs w:val="32"/>
        </w:rPr>
      </w:pPr>
      <w:r>
        <w:rPr>
          <w:rFonts w:hint="eastAsia" w:ascii="黑体" w:eastAsia="黑体"/>
          <w:szCs w:val="32"/>
        </w:rPr>
        <w:t>九、上年结转和结余：</w:t>
      </w:r>
      <w:r>
        <w:rPr>
          <w:rFonts w:hint="eastAsia" w:ascii="仿宋_GB2312"/>
          <w:szCs w:val="32"/>
        </w:rPr>
        <w:t>指以前年度尚未完成、结转到本年按有关规定继续使用的资金。</w:t>
      </w:r>
    </w:p>
    <w:p w14:paraId="38A206FF">
      <w:pPr>
        <w:ind w:firstLine="640" w:firstLineChars="200"/>
        <w:rPr>
          <w:rFonts w:ascii="仿宋_GB2312"/>
          <w:szCs w:val="32"/>
        </w:rPr>
      </w:pPr>
      <w:r>
        <w:rPr>
          <w:rFonts w:hint="eastAsia" w:ascii="黑体" w:eastAsia="黑体"/>
          <w:szCs w:val="32"/>
        </w:rPr>
        <w:t>十、基本支出：</w:t>
      </w:r>
      <w:r>
        <w:rPr>
          <w:rFonts w:hint="eastAsia" w:ascii="仿宋_GB2312"/>
          <w:szCs w:val="32"/>
        </w:rPr>
        <w:t>指为保障机构正常运转、完成日常工作任务而发生的人员支出和公用支出。</w:t>
      </w:r>
    </w:p>
    <w:p w14:paraId="709C935E">
      <w:pPr>
        <w:ind w:firstLine="640" w:firstLineChars="200"/>
        <w:rPr>
          <w:rFonts w:ascii="仿宋_GB2312"/>
          <w:szCs w:val="32"/>
        </w:rPr>
      </w:pPr>
      <w:r>
        <w:rPr>
          <w:rFonts w:hint="eastAsia" w:ascii="黑体" w:eastAsia="黑体"/>
          <w:szCs w:val="32"/>
        </w:rPr>
        <w:t>十一、项目支出：</w:t>
      </w:r>
      <w:r>
        <w:rPr>
          <w:rFonts w:hint="eastAsia" w:ascii="仿宋_GB2312"/>
          <w:szCs w:val="32"/>
        </w:rPr>
        <w:t xml:space="preserve">指在基本支出之外为完成特定行政任务和事业发展目标所发生的支出。  </w:t>
      </w:r>
    </w:p>
    <w:p w14:paraId="687C76FA">
      <w:pPr>
        <w:ind w:firstLine="640" w:firstLineChars="200"/>
        <w:rPr>
          <w:rFonts w:ascii="仿宋_GB2312"/>
          <w:szCs w:val="32"/>
        </w:rPr>
      </w:pPr>
      <w:r>
        <w:rPr>
          <w:rFonts w:hint="eastAsia" w:ascii="黑体" w:eastAsia="黑体"/>
          <w:szCs w:val="32"/>
        </w:rPr>
        <w:t>十二、经营支出：</w:t>
      </w:r>
      <w:r>
        <w:rPr>
          <w:rFonts w:hint="eastAsia" w:ascii="仿宋_GB2312"/>
          <w:szCs w:val="32"/>
        </w:rPr>
        <w:t>指事业单位在专业业务活动及其辅助活动之外开展非独立核算经营活动发生的支出。</w:t>
      </w:r>
    </w:p>
    <w:p w14:paraId="2846E1C1">
      <w:pPr>
        <w:ind w:firstLine="640" w:firstLineChars="200"/>
        <w:rPr>
          <w:rFonts w:ascii="仿宋_GB2312"/>
          <w:szCs w:val="32"/>
        </w:rPr>
      </w:pPr>
      <w:r>
        <w:rPr>
          <w:rFonts w:hint="eastAsia" w:ascii="黑体" w:eastAsia="黑体"/>
          <w:szCs w:val="32"/>
        </w:rPr>
        <w:t>十三、“三公”经费：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E9B82EA">
      <w:pPr>
        <w:ind w:firstLine="640" w:firstLineChars="200"/>
        <w:rPr>
          <w:rFonts w:ascii="仿宋_GB2312"/>
          <w:szCs w:val="32"/>
        </w:rPr>
      </w:pPr>
      <w:r>
        <w:rPr>
          <w:rFonts w:hint="eastAsia" w:ascii="黑体" w:eastAsia="黑体"/>
          <w:szCs w:val="32"/>
        </w:rPr>
        <w:t>十四、运行经费：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A81AF5">
      <w:pPr>
        <w:adjustRightInd w:val="0"/>
        <w:snapToGrid w:val="0"/>
        <w:spacing w:line="560" w:lineRule="exact"/>
        <w:ind w:right="-333" w:rightChars="-104" w:firstLine="640" w:firstLineChars="200"/>
        <w:rPr>
          <w:rFonts w:ascii="黑体" w:hAnsi="宋体" w:eastAsia="黑体"/>
          <w:szCs w:val="32"/>
        </w:rPr>
      </w:pPr>
    </w:p>
    <w:p w14:paraId="28F453A4">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szCs w:val="32"/>
        </w:rPr>
        <w:t>第四部分：柳州市柳江区动物疫病预防控制中心2025年</w:t>
      </w:r>
      <w:r>
        <w:rPr>
          <w:rFonts w:hint="eastAsia" w:ascii="黑体" w:eastAsia="黑体"/>
          <w:szCs w:val="32"/>
        </w:rPr>
        <w:t>单位预算报表</w:t>
      </w:r>
    </w:p>
    <w:p w14:paraId="4904BAD3">
      <w:pPr>
        <w:spacing w:beforeLines="100" w:afterLines="100" w:line="360" w:lineRule="exact"/>
        <w:ind w:firstLine="640" w:firstLineChars="200"/>
        <w:rPr>
          <w:rFonts w:ascii="仿宋_GB2312"/>
          <w:bCs/>
          <w:szCs w:val="32"/>
        </w:rPr>
      </w:pPr>
      <w:r>
        <w:rPr>
          <w:rFonts w:hint="eastAsia" w:ascii="仿宋_GB2312"/>
          <w:bCs/>
          <w:szCs w:val="32"/>
        </w:rPr>
        <w:t>表1：单位收支总体情况表</w:t>
      </w:r>
    </w:p>
    <w:p w14:paraId="5F040F39">
      <w:pPr>
        <w:spacing w:beforeLines="100" w:afterLines="100" w:line="360" w:lineRule="exact"/>
        <w:ind w:firstLine="640" w:firstLineChars="200"/>
        <w:rPr>
          <w:rFonts w:ascii="仿宋_GB2312"/>
          <w:bCs/>
          <w:szCs w:val="32"/>
        </w:rPr>
      </w:pPr>
      <w:r>
        <w:rPr>
          <w:rFonts w:hint="eastAsia" w:ascii="仿宋_GB2312"/>
          <w:bCs/>
          <w:szCs w:val="32"/>
        </w:rPr>
        <w:t>表2：单位收入总体情况表</w:t>
      </w:r>
    </w:p>
    <w:p w14:paraId="72238074">
      <w:pPr>
        <w:spacing w:beforeLines="100" w:afterLines="100" w:line="360" w:lineRule="exact"/>
        <w:ind w:firstLine="640" w:firstLineChars="200"/>
        <w:rPr>
          <w:rFonts w:ascii="仿宋_GB2312"/>
          <w:bCs/>
          <w:szCs w:val="32"/>
        </w:rPr>
      </w:pPr>
      <w:r>
        <w:rPr>
          <w:rFonts w:hint="eastAsia" w:ascii="仿宋_GB2312"/>
          <w:bCs/>
          <w:szCs w:val="32"/>
        </w:rPr>
        <w:t>表3：单位支出总体情况表</w:t>
      </w:r>
    </w:p>
    <w:p w14:paraId="2860C74B">
      <w:pPr>
        <w:spacing w:beforeLines="100" w:afterLines="100" w:line="360" w:lineRule="exact"/>
        <w:ind w:firstLine="640" w:firstLineChars="200"/>
        <w:rPr>
          <w:rFonts w:ascii="仿宋_GB2312"/>
          <w:bCs/>
          <w:szCs w:val="32"/>
        </w:rPr>
      </w:pPr>
      <w:r>
        <w:rPr>
          <w:rFonts w:hint="eastAsia" w:ascii="仿宋_GB2312"/>
          <w:bCs/>
          <w:szCs w:val="32"/>
        </w:rPr>
        <w:t>表4：财政拨款收支总体情况表</w:t>
      </w:r>
    </w:p>
    <w:p w14:paraId="38A8D118">
      <w:pPr>
        <w:spacing w:beforeLines="100" w:afterLines="100" w:line="360" w:lineRule="exact"/>
        <w:ind w:firstLine="640" w:firstLineChars="200"/>
        <w:rPr>
          <w:rFonts w:ascii="仿宋_GB2312"/>
          <w:bCs/>
          <w:szCs w:val="32"/>
        </w:rPr>
      </w:pPr>
      <w:r>
        <w:rPr>
          <w:rFonts w:hint="eastAsia" w:ascii="仿宋_GB2312"/>
          <w:bCs/>
          <w:szCs w:val="32"/>
        </w:rPr>
        <w:t>表5：一般公共预算支出情况表</w:t>
      </w:r>
    </w:p>
    <w:p w14:paraId="34D7577C">
      <w:pPr>
        <w:spacing w:beforeLines="100" w:afterLines="100" w:line="360" w:lineRule="exact"/>
        <w:ind w:firstLine="640" w:firstLineChars="200"/>
        <w:rPr>
          <w:rFonts w:ascii="仿宋_GB2312"/>
          <w:bCs/>
          <w:szCs w:val="32"/>
        </w:rPr>
      </w:pPr>
      <w:r>
        <w:rPr>
          <w:rFonts w:hint="eastAsia" w:ascii="仿宋_GB2312"/>
          <w:bCs/>
          <w:szCs w:val="32"/>
        </w:rPr>
        <w:t>表6：一般公共预算基本支出情况表</w:t>
      </w:r>
    </w:p>
    <w:p w14:paraId="1F2E4CB3">
      <w:pPr>
        <w:spacing w:beforeLines="100" w:afterLines="100" w:line="360" w:lineRule="exact"/>
        <w:ind w:left="1600" w:leftChars="200" w:hanging="960" w:hangingChars="300"/>
        <w:rPr>
          <w:rFonts w:ascii="仿宋_GB2312"/>
          <w:bCs/>
          <w:szCs w:val="32"/>
        </w:rPr>
      </w:pPr>
      <w:r>
        <w:rPr>
          <w:rFonts w:hint="eastAsia" w:ascii="仿宋_GB2312"/>
          <w:bCs/>
          <w:szCs w:val="32"/>
        </w:rPr>
        <w:t>表7：财政拨款“三公”经费、会议费和培训费支出情况表</w:t>
      </w:r>
    </w:p>
    <w:p w14:paraId="333CD266">
      <w:pPr>
        <w:spacing w:beforeLines="100" w:afterLines="100" w:line="360" w:lineRule="exact"/>
        <w:ind w:firstLine="640" w:firstLineChars="200"/>
        <w:rPr>
          <w:rFonts w:ascii="仿宋_GB2312"/>
          <w:bCs/>
          <w:szCs w:val="32"/>
        </w:rPr>
      </w:pPr>
      <w:r>
        <w:rPr>
          <w:rFonts w:hint="eastAsia" w:ascii="仿宋_GB2312"/>
          <w:bCs/>
          <w:szCs w:val="32"/>
        </w:rPr>
        <w:t>表8：政府性基金预算支出情况表</w:t>
      </w:r>
    </w:p>
    <w:p w14:paraId="38BB86E4">
      <w:pPr>
        <w:spacing w:beforeLines="100" w:afterLines="100" w:line="360" w:lineRule="exact"/>
        <w:ind w:firstLine="640" w:firstLineChars="200"/>
        <w:rPr>
          <w:rFonts w:ascii="仿宋_GB2312"/>
          <w:bCs/>
          <w:szCs w:val="32"/>
        </w:rPr>
      </w:pPr>
      <w:r>
        <w:rPr>
          <w:rFonts w:hint="eastAsia" w:ascii="仿宋_GB2312"/>
          <w:bCs/>
          <w:szCs w:val="32"/>
        </w:rPr>
        <w:t>表9：国有资本经营预算支出情况表</w:t>
      </w:r>
    </w:p>
    <w:p w14:paraId="1BEC44B1">
      <w:pPr>
        <w:spacing w:beforeLines="100" w:afterLines="100" w:line="360" w:lineRule="exact"/>
        <w:ind w:firstLine="640" w:firstLineChars="200"/>
        <w:rPr>
          <w:rFonts w:ascii="仿宋_GB2312"/>
          <w:bCs/>
          <w:szCs w:val="32"/>
        </w:rPr>
      </w:pPr>
      <w:r>
        <w:rPr>
          <w:rFonts w:hint="eastAsia" w:ascii="仿宋_GB2312"/>
          <w:bCs/>
          <w:szCs w:val="32"/>
        </w:rPr>
        <w:t>表10：政府采购预算表</w:t>
      </w:r>
    </w:p>
    <w:p w14:paraId="1B79C945">
      <w:pPr>
        <w:spacing w:beforeLines="100" w:afterLines="100" w:line="360" w:lineRule="exact"/>
        <w:ind w:firstLine="640" w:firstLineChars="200"/>
        <w:rPr>
          <w:rFonts w:ascii="仿宋_GB2312"/>
          <w:bCs/>
          <w:szCs w:val="32"/>
        </w:rPr>
      </w:pPr>
      <w:r>
        <w:rPr>
          <w:rFonts w:hint="eastAsia" w:ascii="仿宋_GB2312"/>
          <w:bCs/>
          <w:szCs w:val="32"/>
        </w:rPr>
        <w:t>表11：政府购买服务预算表</w:t>
      </w:r>
    </w:p>
    <w:p w14:paraId="2D9AB5E3">
      <w:pPr>
        <w:spacing w:beforeLines="100" w:afterLines="100" w:line="360" w:lineRule="exact"/>
        <w:ind w:firstLine="640" w:firstLineChars="200"/>
        <w:rPr>
          <w:rFonts w:ascii="仿宋_GB2312"/>
          <w:bCs/>
          <w:szCs w:val="32"/>
        </w:rPr>
      </w:pPr>
      <w:r>
        <w:rPr>
          <w:rFonts w:hint="eastAsia" w:ascii="仿宋_GB2312"/>
          <w:bCs/>
          <w:szCs w:val="32"/>
        </w:rPr>
        <w:t>表12：项目绩效目标公开表</w:t>
      </w:r>
    </w:p>
    <w:p w14:paraId="1029F215">
      <w:pPr>
        <w:spacing w:beforeLines="100" w:afterLines="100" w:line="360" w:lineRule="exact"/>
        <w:ind w:firstLine="640" w:firstLineChars="200"/>
        <w:rPr>
          <w:rFonts w:ascii="仿宋_GB2312"/>
          <w:bCs/>
          <w:szCs w:val="32"/>
        </w:rPr>
      </w:pPr>
      <w:r>
        <w:rPr>
          <w:rFonts w:hint="eastAsia" w:ascii="仿宋_GB2312"/>
          <w:bCs/>
          <w:szCs w:val="32"/>
        </w:rPr>
        <w:t>（详见附表）</w:t>
      </w:r>
    </w:p>
    <w:p w14:paraId="7BADCBCA">
      <w:pPr>
        <w:rPr>
          <w:rFonts w:ascii="仿宋_GB2312" w:hAnsi="宋体"/>
          <w:bCs/>
          <w:sz w:val="44"/>
          <w:szCs w:val="44"/>
        </w:rPr>
      </w:pPr>
    </w:p>
    <w:p w14:paraId="558336AD"/>
    <w:sectPr>
      <w:pgSz w:w="11906" w:h="16838"/>
      <w:pgMar w:top="1417" w:right="1417"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07D1"/>
    <w:rsid w:val="00070F35"/>
    <w:rsid w:val="00075379"/>
    <w:rsid w:val="000F6587"/>
    <w:rsid w:val="001277F0"/>
    <w:rsid w:val="00202F51"/>
    <w:rsid w:val="00277C6E"/>
    <w:rsid w:val="00382380"/>
    <w:rsid w:val="00466126"/>
    <w:rsid w:val="005B296E"/>
    <w:rsid w:val="00621C78"/>
    <w:rsid w:val="00633D16"/>
    <w:rsid w:val="00640628"/>
    <w:rsid w:val="00654038"/>
    <w:rsid w:val="00675348"/>
    <w:rsid w:val="00684838"/>
    <w:rsid w:val="006A61E2"/>
    <w:rsid w:val="006C7027"/>
    <w:rsid w:val="006E1633"/>
    <w:rsid w:val="007B0350"/>
    <w:rsid w:val="007B1714"/>
    <w:rsid w:val="007F0A77"/>
    <w:rsid w:val="00810A74"/>
    <w:rsid w:val="00815A94"/>
    <w:rsid w:val="008728AC"/>
    <w:rsid w:val="009D23B3"/>
    <w:rsid w:val="00A04E16"/>
    <w:rsid w:val="00B15E43"/>
    <w:rsid w:val="00BF255F"/>
    <w:rsid w:val="00C17619"/>
    <w:rsid w:val="00CD2401"/>
    <w:rsid w:val="00D611A6"/>
    <w:rsid w:val="00DD6420"/>
    <w:rsid w:val="00E4238A"/>
    <w:rsid w:val="00E72A31"/>
    <w:rsid w:val="00E72CD1"/>
    <w:rsid w:val="00E81427"/>
    <w:rsid w:val="00F70E63"/>
    <w:rsid w:val="00FE07D1"/>
    <w:rsid w:val="15DD7808"/>
    <w:rsid w:val="21690C6D"/>
    <w:rsid w:val="227519FB"/>
    <w:rsid w:val="2F0E7201"/>
    <w:rsid w:val="36190BE4"/>
    <w:rsid w:val="392A132F"/>
    <w:rsid w:val="3A117550"/>
    <w:rsid w:val="4E3B534E"/>
    <w:rsid w:val="61790893"/>
    <w:rsid w:val="691F0A55"/>
    <w:rsid w:val="6A3E1DEA"/>
    <w:rsid w:val="6DAE2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3260</Words>
  <Characters>3467</Characters>
  <Lines>25</Lines>
  <Paragraphs>7</Paragraphs>
  <TotalTime>0</TotalTime>
  <ScaleCrop>false</ScaleCrop>
  <LinksUpToDate>false</LinksUpToDate>
  <CharactersWithSpaces>3471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öÖöAilouros</cp:lastModifiedBy>
  <dcterms:modified xsi:type="dcterms:W3CDTF">2025-02-20T00:25:50Z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