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F484A">
      <w:pPr>
        <w:jc w:val="center"/>
        <w:rPr>
          <w:rFonts w:hint="eastAsia" w:ascii="黑体" w:hAnsi="宋体" w:eastAsia="黑体"/>
          <w:bCs/>
          <w:sz w:val="44"/>
          <w:szCs w:val="44"/>
          <w:lang w:eastAsia="zh-CN"/>
        </w:rPr>
      </w:pPr>
      <w:bookmarkStart w:id="10" w:name="_GoBack"/>
      <w:bookmarkEnd w:id="10"/>
    </w:p>
    <w:p w14:paraId="365DCDD2">
      <w:pPr>
        <w:jc w:val="center"/>
        <w:rPr>
          <w:rFonts w:hint="eastAsia" w:ascii="黑体" w:hAnsi="宋体" w:eastAsia="黑体"/>
          <w:bCs/>
          <w:sz w:val="44"/>
          <w:szCs w:val="44"/>
        </w:rPr>
      </w:pPr>
      <w:r>
        <w:rPr>
          <w:rFonts w:hint="eastAsia" w:ascii="黑体" w:hAnsi="宋体" w:eastAsia="黑体"/>
          <w:bCs/>
          <w:sz w:val="44"/>
          <w:szCs w:val="44"/>
        </w:rPr>
        <w:t>柳州市柳江区农村能源技术推广站</w:t>
      </w:r>
    </w:p>
    <w:p w14:paraId="617C27A6">
      <w:pPr>
        <w:jc w:val="center"/>
        <w:rPr>
          <w:rFonts w:ascii="黑体" w:hAnsi="宋体" w:eastAsia="黑体"/>
          <w:bCs/>
          <w:szCs w:val="32"/>
        </w:rPr>
      </w:pPr>
      <w:r>
        <w:rPr>
          <w:rFonts w:hint="eastAsia" w:ascii="黑体" w:hAnsi="宋体" w:eastAsia="黑体"/>
          <w:bCs/>
          <w:sz w:val="44"/>
          <w:szCs w:val="44"/>
        </w:rPr>
        <w:t>2025年单位预算及“三公”经费预算公开说明</w:t>
      </w:r>
    </w:p>
    <w:p w14:paraId="3685E56B">
      <w:pPr>
        <w:adjustRightInd w:val="0"/>
        <w:snapToGrid w:val="0"/>
        <w:spacing w:line="560" w:lineRule="exact"/>
        <w:ind w:right="-333" w:rightChars="-104" w:firstLine="640" w:firstLineChars="200"/>
        <w:rPr>
          <w:rFonts w:hint="eastAsia" w:ascii="黑体" w:hAnsi="宋体" w:eastAsia="黑体"/>
          <w:bCs/>
          <w:szCs w:val="32"/>
        </w:rPr>
      </w:pPr>
    </w:p>
    <w:p w14:paraId="6AF9DD63">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019E7DDA">
      <w:pPr>
        <w:spacing w:line="460" w:lineRule="exact"/>
        <w:ind w:firstLine="640" w:firstLineChars="200"/>
        <w:rPr>
          <w:rFonts w:ascii="宋体" w:hAnsi="宋体" w:eastAsia="宋体" w:cs="宋体"/>
          <w:szCs w:val="32"/>
        </w:rPr>
      </w:pPr>
      <w:r>
        <w:rPr>
          <w:rFonts w:hint="eastAsia" w:ascii="宋体" w:hAnsi="宋体" w:eastAsia="宋体" w:cs="宋体"/>
          <w:szCs w:val="32"/>
        </w:rPr>
        <w:t>一、主要职责</w:t>
      </w:r>
    </w:p>
    <w:p w14:paraId="31917D3E">
      <w:pPr>
        <w:spacing w:line="460" w:lineRule="exact"/>
        <w:ind w:firstLine="640" w:firstLineChars="200"/>
        <w:rPr>
          <w:rFonts w:ascii="黑体" w:hAnsi="宋体" w:eastAsia="黑体"/>
          <w:bCs/>
          <w:szCs w:val="32"/>
        </w:rPr>
      </w:pPr>
      <w:r>
        <w:rPr>
          <w:rFonts w:hint="eastAsia" w:ascii="宋体" w:hAnsi="宋体" w:eastAsia="宋体" w:cs="宋体"/>
          <w:szCs w:val="32"/>
        </w:rPr>
        <w:t>二、机构设置</w:t>
      </w:r>
    </w:p>
    <w:p w14:paraId="2C9CDCC0">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柳州市柳江区农村能源技术推广站2025年</w:t>
      </w:r>
      <w:r>
        <w:rPr>
          <w:rFonts w:hint="eastAsia" w:ascii="黑体" w:eastAsia="黑体"/>
          <w:szCs w:val="32"/>
        </w:rPr>
        <w:t>单位预算情况说明</w:t>
      </w:r>
    </w:p>
    <w:p w14:paraId="3817307C">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14:paraId="1E53FD15">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二、单位预算收入总体情况说明</w:t>
      </w:r>
    </w:p>
    <w:p w14:paraId="07A05C79">
      <w:pPr>
        <w:spacing w:line="46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14:paraId="52C47916">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14:paraId="4D8BD7F2">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14:paraId="31553DE0">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14:paraId="3E928713">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七、机关运行经费安排情况说明</w:t>
      </w:r>
    </w:p>
    <w:p w14:paraId="0852F28F">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八、政府采购预算安排情况说明</w:t>
      </w:r>
    </w:p>
    <w:p w14:paraId="3F3995EC">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14:paraId="7710E795">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十、预算绩效目标情况说明</w:t>
      </w:r>
    </w:p>
    <w:p w14:paraId="123E5E7D">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705636E0">
      <w:pPr>
        <w:adjustRightInd w:val="0"/>
        <w:snapToGrid w:val="0"/>
        <w:spacing w:line="560" w:lineRule="exact"/>
        <w:ind w:right="-333" w:rightChars="-104" w:firstLine="640" w:firstLineChars="200"/>
        <w:rPr>
          <w:rFonts w:ascii="黑体" w:eastAsia="黑体"/>
          <w:szCs w:val="32"/>
        </w:rPr>
      </w:pPr>
      <w:r>
        <w:rPr>
          <w:rFonts w:hint="eastAsia" w:ascii="黑体" w:hAnsi="宋体" w:eastAsia="黑体"/>
          <w:bCs/>
          <w:szCs w:val="32"/>
        </w:rPr>
        <w:t>第四部分：</w:t>
      </w:r>
      <w:r>
        <w:rPr>
          <w:rFonts w:hint="eastAsia" w:ascii="黑体" w:hAnsi="宋体" w:eastAsia="黑体"/>
          <w:szCs w:val="32"/>
        </w:rPr>
        <w:t>柳州市柳江区农村能源技术推广站2025年</w:t>
      </w:r>
      <w:r>
        <w:rPr>
          <w:rFonts w:hint="eastAsia" w:ascii="黑体" w:eastAsia="黑体"/>
          <w:szCs w:val="32"/>
        </w:rPr>
        <w:t>单位预算报表</w:t>
      </w:r>
    </w:p>
    <w:p w14:paraId="6FE4C986">
      <w:pPr>
        <w:widowControl/>
        <w:jc w:val="left"/>
        <w:rPr>
          <w:rFonts w:ascii="黑体" w:eastAsia="黑体"/>
          <w:szCs w:val="32"/>
        </w:rPr>
      </w:pPr>
      <w:r>
        <w:rPr>
          <w:rFonts w:ascii="黑体" w:eastAsia="黑体"/>
          <w:szCs w:val="32"/>
        </w:rPr>
        <w:br w:type="page"/>
      </w:r>
    </w:p>
    <w:p w14:paraId="05755248">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46F2C86B">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300BB3A">
      <w:pPr>
        <w:spacing w:line="560" w:lineRule="exact"/>
        <w:ind w:firstLine="640" w:firstLineChars="200"/>
        <w:rPr>
          <w:rFonts w:ascii="仿宋_GB2312" w:hAnsi="宋体"/>
          <w:szCs w:val="32"/>
        </w:rPr>
      </w:pPr>
      <w:r>
        <w:rPr>
          <w:rFonts w:hint="eastAsia" w:ascii="仿宋_GB2312" w:hAnsi="宋体"/>
          <w:szCs w:val="32"/>
        </w:rPr>
        <w:t>（一）负责全区农村能源建设和管理工作，拟定农村能源有关规划并组织实施；</w:t>
      </w:r>
    </w:p>
    <w:p w14:paraId="1EA17CF7">
      <w:pPr>
        <w:spacing w:line="560" w:lineRule="exact"/>
        <w:ind w:firstLine="640" w:firstLineChars="200"/>
        <w:rPr>
          <w:rFonts w:ascii="仿宋_GB2312" w:hAnsi="宋体"/>
          <w:szCs w:val="32"/>
        </w:rPr>
      </w:pPr>
      <w:r>
        <w:rPr>
          <w:rFonts w:hint="eastAsia" w:ascii="仿宋_GB2312" w:hAnsi="宋体"/>
          <w:szCs w:val="32"/>
        </w:rPr>
        <w:t>（二）负责开展全区农村节能工作，推广农业节能技术和产品，在农业生产、农产品加工中推广农业节能技术和产品；负责推广沼气、农作物秸秆及林业废弃物利用等生物质能和风能、太阳能等农村能源技术。</w:t>
      </w:r>
    </w:p>
    <w:p w14:paraId="55798515">
      <w:pPr>
        <w:spacing w:line="560" w:lineRule="exact"/>
        <w:ind w:firstLine="640" w:firstLineChars="200"/>
        <w:rPr>
          <w:rFonts w:ascii="仿宋_GB2312" w:hAnsi="宋体"/>
          <w:szCs w:val="32"/>
        </w:rPr>
      </w:pPr>
      <w:r>
        <w:rPr>
          <w:rFonts w:hint="eastAsia" w:ascii="仿宋_GB2312" w:hAnsi="宋体"/>
          <w:szCs w:val="32"/>
        </w:rPr>
        <w:t>（三）承担全区农村新能源和可再生能源的开发利用工作。</w:t>
      </w:r>
    </w:p>
    <w:p w14:paraId="1B6574A4">
      <w:pPr>
        <w:spacing w:line="560" w:lineRule="exact"/>
        <w:ind w:firstLine="640" w:firstLineChars="200"/>
        <w:rPr>
          <w:rFonts w:ascii="仿宋_GB2312" w:hAnsi="宋体"/>
          <w:szCs w:val="32"/>
        </w:rPr>
      </w:pPr>
      <w:r>
        <w:rPr>
          <w:rFonts w:hint="eastAsia" w:ascii="仿宋_GB2312" w:hAnsi="宋体"/>
          <w:szCs w:val="32"/>
        </w:rPr>
        <w:t>（四）负责全区农村能源工程技术方案审核工作。</w:t>
      </w:r>
    </w:p>
    <w:p w14:paraId="498A0359">
      <w:pPr>
        <w:spacing w:line="560" w:lineRule="exact"/>
        <w:ind w:firstLine="640" w:firstLineChars="200"/>
        <w:rPr>
          <w:rFonts w:ascii="仿宋_GB2312" w:hAnsi="宋体"/>
          <w:szCs w:val="32"/>
        </w:rPr>
      </w:pPr>
      <w:r>
        <w:rPr>
          <w:rFonts w:hint="eastAsia" w:ascii="仿宋_GB2312" w:hAnsi="宋体"/>
          <w:szCs w:val="32"/>
        </w:rPr>
        <w:t>（五）负责全区农村能源行业项目建设督查、安全生产督查工作。</w:t>
      </w:r>
    </w:p>
    <w:p w14:paraId="6FC0E76F">
      <w:pPr>
        <w:spacing w:line="560" w:lineRule="exact"/>
        <w:ind w:firstLine="640" w:firstLineChars="200"/>
        <w:rPr>
          <w:rFonts w:ascii="仿宋_GB2312" w:hAnsi="宋体"/>
          <w:szCs w:val="32"/>
        </w:rPr>
      </w:pPr>
      <w:r>
        <w:rPr>
          <w:rFonts w:hint="eastAsia" w:ascii="仿宋_GB2312" w:hAnsi="宋体"/>
          <w:szCs w:val="32"/>
        </w:rPr>
        <w:t>（六）承担全区农村能源行业从业单位的监督管理工作，承担全区农村能源工程设施质量监督管理工作。</w:t>
      </w:r>
    </w:p>
    <w:p w14:paraId="138922DE">
      <w:pPr>
        <w:spacing w:line="560" w:lineRule="exact"/>
        <w:ind w:firstLine="640" w:firstLineChars="200"/>
        <w:rPr>
          <w:rFonts w:ascii="仿宋_GB2312" w:hAnsi="宋体"/>
          <w:szCs w:val="32"/>
        </w:rPr>
      </w:pPr>
      <w:r>
        <w:rPr>
          <w:rFonts w:hint="eastAsia" w:ascii="仿宋_GB2312" w:hAnsi="宋体"/>
          <w:szCs w:val="32"/>
        </w:rPr>
        <w:t>（七）组织实施全区农村能源建设的科研以及新技术推广应用的试点示范工作。</w:t>
      </w:r>
    </w:p>
    <w:p w14:paraId="49F77A44">
      <w:pPr>
        <w:spacing w:line="560" w:lineRule="exact"/>
        <w:ind w:firstLine="640" w:firstLineChars="200"/>
        <w:rPr>
          <w:rFonts w:ascii="仿宋_GB2312" w:hAnsi="宋体"/>
          <w:szCs w:val="32"/>
        </w:rPr>
      </w:pPr>
      <w:r>
        <w:rPr>
          <w:rFonts w:hint="eastAsia" w:ascii="仿宋_GB2312" w:hAnsi="宋体"/>
          <w:szCs w:val="32"/>
        </w:rPr>
        <w:t>（八）负责全区农村能源建设的行业管理、新技术的培训和人才培训工作。</w:t>
      </w:r>
    </w:p>
    <w:p w14:paraId="3F825036">
      <w:pPr>
        <w:spacing w:line="560" w:lineRule="exact"/>
        <w:ind w:firstLine="640" w:firstLineChars="200"/>
        <w:rPr>
          <w:rFonts w:ascii="仿宋_GB2312" w:hAnsi="宋体"/>
          <w:szCs w:val="32"/>
        </w:rPr>
      </w:pPr>
      <w:r>
        <w:rPr>
          <w:rFonts w:hint="eastAsia" w:ascii="仿宋_GB2312" w:hAnsi="宋体"/>
          <w:szCs w:val="32"/>
        </w:rPr>
        <w:t>（九）负责城镇生活污水沼气净化处理技术推广应用、技术把关、质量监督等工作。</w:t>
      </w:r>
    </w:p>
    <w:p w14:paraId="292668F0">
      <w:pPr>
        <w:spacing w:line="560" w:lineRule="exact"/>
        <w:ind w:firstLine="640" w:firstLineChars="200"/>
        <w:rPr>
          <w:rFonts w:ascii="仿宋_GB2312" w:hAnsi="宋体"/>
          <w:szCs w:val="32"/>
        </w:rPr>
      </w:pPr>
      <w:r>
        <w:rPr>
          <w:rFonts w:hint="eastAsia" w:ascii="仿宋_GB2312" w:hAnsi="宋体"/>
          <w:szCs w:val="32"/>
        </w:rPr>
        <w:t>（十）负责全区农村生态家园富民计划和农村小型公益设施农村能源项目的组织实施、模式探索、经验总结和管理工作。</w:t>
      </w:r>
    </w:p>
    <w:p w14:paraId="6DCCFE83">
      <w:pPr>
        <w:spacing w:line="560" w:lineRule="exact"/>
        <w:ind w:firstLine="640" w:firstLineChars="200"/>
        <w:rPr>
          <w:rFonts w:ascii="仿宋_GB2312" w:hAnsi="宋体"/>
          <w:szCs w:val="32"/>
        </w:rPr>
      </w:pPr>
      <w:r>
        <w:rPr>
          <w:rFonts w:hint="eastAsia" w:ascii="仿宋_GB2312" w:hAnsi="宋体"/>
          <w:szCs w:val="32"/>
        </w:rPr>
        <w:t>（十一）指导全区各镇、各单位开展农村能源建设工作。</w:t>
      </w:r>
    </w:p>
    <w:p w14:paraId="4128CEC6">
      <w:pPr>
        <w:spacing w:line="560" w:lineRule="exact"/>
        <w:ind w:firstLine="640" w:firstLineChars="200"/>
        <w:rPr>
          <w:rFonts w:ascii="仿宋_GB2312" w:hAnsi="宋体"/>
          <w:szCs w:val="32"/>
        </w:rPr>
      </w:pPr>
      <w:r>
        <w:rPr>
          <w:rFonts w:hint="eastAsia" w:ascii="仿宋_GB2312" w:hAnsi="宋体"/>
          <w:szCs w:val="32"/>
        </w:rPr>
        <w:t>（十二）完成区农业农村局等上级交办的其他工作。</w:t>
      </w:r>
    </w:p>
    <w:p w14:paraId="40223FC8">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25F5EDAF">
      <w:pPr>
        <w:spacing w:line="560" w:lineRule="exact"/>
        <w:ind w:firstLine="640" w:firstLineChars="200"/>
        <w:rPr>
          <w:rFonts w:ascii="仿宋_GB2312" w:hAnsi="宋体"/>
          <w:szCs w:val="32"/>
        </w:rPr>
      </w:pPr>
      <w:r>
        <w:rPr>
          <w:rFonts w:hint="eastAsia" w:ascii="仿宋_GB2312" w:hAnsi="宋体"/>
          <w:szCs w:val="32"/>
        </w:rPr>
        <w:t>（一）机构情况：柳州市柳江区农村能源技术推广站为柳江区农业农村局管理的公益一类全额拨款事业单位，隶属于柳州市柳江区农业农村局。</w:t>
      </w:r>
    </w:p>
    <w:p w14:paraId="6762982A">
      <w:pPr>
        <w:spacing w:line="560" w:lineRule="exact"/>
        <w:ind w:firstLine="640" w:firstLineChars="200"/>
        <w:rPr>
          <w:rFonts w:ascii="仿宋_GB2312" w:hAnsi="宋体"/>
          <w:szCs w:val="32"/>
        </w:rPr>
      </w:pPr>
      <w:r>
        <w:rPr>
          <w:rFonts w:hint="eastAsia" w:ascii="仿宋_GB2312" w:hAnsi="宋体"/>
          <w:szCs w:val="32"/>
        </w:rPr>
        <w:t>（二）人员情况：2025年柳州市柳江区农村能源技术推广站在职人数3人，与上年相比增加1人。</w:t>
      </w:r>
    </w:p>
    <w:p w14:paraId="7154862A">
      <w:pPr>
        <w:tabs>
          <w:tab w:val="center" w:pos="4475"/>
        </w:tabs>
        <w:spacing w:line="560" w:lineRule="exact"/>
        <w:rPr>
          <w:rFonts w:ascii="黑体" w:eastAsia="黑体"/>
          <w:szCs w:val="32"/>
        </w:rPr>
      </w:pPr>
    </w:p>
    <w:p w14:paraId="37F6DEAE">
      <w:pPr>
        <w:tabs>
          <w:tab w:val="center" w:pos="4475"/>
        </w:tabs>
        <w:spacing w:line="560" w:lineRule="exact"/>
        <w:ind w:firstLine="645"/>
        <w:rPr>
          <w:rFonts w:ascii="仿宋_GB2312" w:hAnsi="仿宋_GB2312" w:cs="仿宋_GB2312"/>
          <w:szCs w:val="32"/>
        </w:rPr>
      </w:pPr>
      <w:r>
        <w:rPr>
          <w:rFonts w:hint="eastAsia" w:ascii="黑体" w:eastAsia="黑体"/>
          <w:szCs w:val="32"/>
        </w:rPr>
        <w:t>第二部分：</w:t>
      </w:r>
      <w:r>
        <w:rPr>
          <w:rFonts w:hint="eastAsia" w:ascii="黑体" w:hAnsi="宋体" w:eastAsia="黑体"/>
          <w:szCs w:val="32"/>
        </w:rPr>
        <w:t>柳州市柳江区农村能源技术推广站2025年</w:t>
      </w:r>
      <w:r>
        <w:rPr>
          <w:rFonts w:hint="eastAsia" w:ascii="黑体" w:eastAsia="黑体"/>
          <w:szCs w:val="32"/>
        </w:rPr>
        <w:t>单位预算情况说明</w:t>
      </w:r>
    </w:p>
    <w:p w14:paraId="66DA2497">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4573572D">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bookmarkStart w:id="0" w:name="OLE_LINK8"/>
      <w:bookmarkStart w:id="1" w:name="OLE_LINK7"/>
      <w:r>
        <w:rPr>
          <w:rFonts w:hint="eastAsia" w:ascii="仿宋_GB2312"/>
          <w:szCs w:val="32"/>
        </w:rPr>
        <w:t>75.30</w:t>
      </w:r>
      <w:bookmarkEnd w:id="0"/>
      <w:bookmarkEnd w:id="1"/>
      <w:r>
        <w:rPr>
          <w:rFonts w:hint="eastAsia" w:ascii="仿宋_GB2312"/>
          <w:szCs w:val="32"/>
        </w:rPr>
        <w:t>万元，总支出75.30万元（不含财政拨款上年未列支结转收支数）。总收入</w:t>
      </w:r>
      <w:bookmarkStart w:id="2" w:name="OLE_LINK3"/>
      <w:bookmarkStart w:id="3" w:name="OLE_LINK4"/>
      <w:r>
        <w:rPr>
          <w:rFonts w:hint="eastAsia" w:ascii="仿宋_GB2312"/>
          <w:szCs w:val="32"/>
        </w:rPr>
        <w:t>较上年增长13.56万元，增长21.96%</w:t>
      </w:r>
      <w:bookmarkEnd w:id="2"/>
      <w:bookmarkEnd w:id="3"/>
      <w:r>
        <w:rPr>
          <w:rFonts w:hint="eastAsia" w:ascii="仿宋_GB2312"/>
          <w:szCs w:val="32"/>
        </w:rPr>
        <w:t>，主要原因是本年度单位在职人数增加1人，财政拨款收入增加。总支出较上年增长13.56万元，较上年增长21.96%，</w:t>
      </w:r>
      <w:bookmarkStart w:id="4" w:name="OLE_LINK10"/>
      <w:bookmarkStart w:id="5" w:name="OLE_LINK9"/>
      <w:r>
        <w:rPr>
          <w:rFonts w:hint="eastAsia" w:ascii="仿宋_GB2312"/>
          <w:szCs w:val="32"/>
        </w:rPr>
        <w:t>主要原因是本年度单位在职人数增加1人，人员经费支出与公用经费支出增加。</w:t>
      </w:r>
      <w:bookmarkEnd w:id="4"/>
      <w:bookmarkEnd w:id="5"/>
    </w:p>
    <w:p w14:paraId="1C62E7EB">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0E386743">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总收入75.30万元，较上年增长13.56万元，增长21.96%，主要原因是本年度单位在职人数增加1人，财政拨款收入增加。单位收入主要包括：</w:t>
      </w:r>
      <w:r>
        <w:rPr>
          <w:rFonts w:hint="eastAsia" w:ascii="仿宋_GB2312" w:hAnsi="宋体"/>
          <w:szCs w:val="32"/>
        </w:rPr>
        <w:t>一般公共预算拨款收入75.30万元，占单位预算收入100%。</w:t>
      </w:r>
    </w:p>
    <w:p w14:paraId="15393709">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1E680935">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szCs w:val="32"/>
        </w:rPr>
        <w:t>总支出75.30万元，较上年增长13.56万元，增长21.96%，主要原因是本年度单位在职人数增加1人，人员经费支出与公用经费支出增加。单位支出主要包括：</w:t>
      </w:r>
      <w:r>
        <w:rPr>
          <w:rFonts w:hint="eastAsia" w:ascii="仿宋_GB2312" w:hAnsi="宋体"/>
          <w:szCs w:val="32"/>
        </w:rPr>
        <w:t>基本支出75.30万元（其中：人员经费支出66.39万元，公用经费支出8.91万元），占单位预算支出100%。项目支出0.00万元，占单位预算支出0.00%。</w:t>
      </w:r>
    </w:p>
    <w:p w14:paraId="654C9B33">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16E8BBF8">
      <w:pPr>
        <w:tabs>
          <w:tab w:val="center" w:pos="4475"/>
        </w:tabs>
        <w:spacing w:line="560" w:lineRule="exact"/>
        <w:ind w:firstLine="645"/>
        <w:rPr>
          <w:rFonts w:ascii="仿宋_GB2312" w:hAnsi="宋体"/>
          <w:szCs w:val="32"/>
        </w:rPr>
      </w:pPr>
      <w:r>
        <w:rPr>
          <w:rFonts w:hint="eastAsia" w:ascii="仿宋_GB2312" w:hAnsi="宋体"/>
          <w:szCs w:val="32"/>
        </w:rPr>
        <w:t>我单位2025年无政府性基金预算</w:t>
      </w:r>
      <w:r>
        <w:rPr>
          <w:rFonts w:ascii="仿宋_GB2312" w:hAnsi="宋体"/>
          <w:szCs w:val="32"/>
        </w:rPr>
        <w:t xml:space="preserve"> </w:t>
      </w:r>
    </w:p>
    <w:p w14:paraId="3E75CDDB">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459245F9">
      <w:pPr>
        <w:tabs>
          <w:tab w:val="center" w:pos="4475"/>
        </w:tabs>
        <w:spacing w:line="560" w:lineRule="exact"/>
        <w:ind w:firstLine="645"/>
        <w:rPr>
          <w:rFonts w:ascii="黑体" w:eastAsia="黑体"/>
          <w:szCs w:val="32"/>
        </w:rPr>
      </w:pPr>
      <w:r>
        <w:rPr>
          <w:rFonts w:hint="eastAsia" w:ascii="仿宋_GB2312" w:hAnsi="宋体"/>
          <w:szCs w:val="32"/>
        </w:rPr>
        <w:t>我单位2025年无国有资本经营预算</w:t>
      </w:r>
    </w:p>
    <w:p w14:paraId="76B8B03B">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6ADAE120">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安排的“三公”经费支出预算0.07万元，同口径比2024年增加0.01万元，增长16.67%，具体如下：</w:t>
      </w:r>
    </w:p>
    <w:p w14:paraId="2662D44B">
      <w:pPr>
        <w:tabs>
          <w:tab w:val="center" w:pos="4475"/>
        </w:tabs>
        <w:spacing w:line="560" w:lineRule="exact"/>
        <w:ind w:firstLine="645"/>
        <w:rPr>
          <w:rFonts w:ascii="仿宋_GB2312"/>
        </w:rPr>
      </w:pPr>
      <w:r>
        <w:rPr>
          <w:rFonts w:hint="eastAsia" w:ascii="仿宋_GB2312"/>
        </w:rPr>
        <w:t>（一）因公出国（境）费2025年预算安排0万元，与上年持平。</w:t>
      </w:r>
    </w:p>
    <w:p w14:paraId="5ED63E16">
      <w:pPr>
        <w:tabs>
          <w:tab w:val="center" w:pos="4475"/>
        </w:tabs>
        <w:spacing w:line="560" w:lineRule="exact"/>
        <w:ind w:firstLine="645"/>
        <w:rPr>
          <w:rFonts w:ascii="仿宋_GB2312" w:hAnsi="宋体"/>
          <w:szCs w:val="32"/>
        </w:rPr>
      </w:pPr>
      <w:r>
        <w:rPr>
          <w:rFonts w:hint="eastAsia" w:ascii="仿宋_GB2312"/>
        </w:rPr>
        <w:t>（二）公务用车购置及运行费</w:t>
      </w:r>
      <w:r>
        <w:rPr>
          <w:rFonts w:hint="eastAsia" w:ascii="仿宋_GB2312" w:hAnsi="宋体"/>
          <w:szCs w:val="32"/>
        </w:rPr>
        <w:t>2025年预算安排0万元，，与上年持平，其中：</w:t>
      </w:r>
    </w:p>
    <w:p w14:paraId="505F8DBE">
      <w:pPr>
        <w:tabs>
          <w:tab w:val="center" w:pos="4475"/>
        </w:tabs>
        <w:spacing w:line="560" w:lineRule="exact"/>
        <w:ind w:firstLine="645"/>
        <w:rPr>
          <w:rFonts w:ascii="仿宋_GB2312" w:hAnsi="宋体"/>
          <w:szCs w:val="32"/>
        </w:rPr>
      </w:pPr>
      <w:r>
        <w:rPr>
          <w:rFonts w:hint="eastAsia" w:ascii="仿宋_GB2312" w:hAnsi="宋体"/>
          <w:szCs w:val="32"/>
        </w:rPr>
        <w:t>公务用车购置费2025年预算安排0万元</w:t>
      </w:r>
      <w:bookmarkStart w:id="6" w:name="OLE_LINK5"/>
      <w:bookmarkStart w:id="7" w:name="OLE_LINK6"/>
      <w:r>
        <w:rPr>
          <w:rFonts w:hint="eastAsia" w:ascii="仿宋_GB2312" w:hAnsi="宋体"/>
          <w:szCs w:val="32"/>
        </w:rPr>
        <w:t>，与上年持平</w:t>
      </w:r>
      <w:bookmarkEnd w:id="6"/>
      <w:bookmarkEnd w:id="7"/>
      <w:r>
        <w:rPr>
          <w:rFonts w:hint="eastAsia" w:ascii="仿宋_GB2312" w:hAnsi="宋体"/>
          <w:szCs w:val="32"/>
        </w:rPr>
        <w:t>。</w:t>
      </w:r>
    </w:p>
    <w:p w14:paraId="6F67B74C">
      <w:pPr>
        <w:tabs>
          <w:tab w:val="center" w:pos="4475"/>
        </w:tabs>
        <w:spacing w:line="560" w:lineRule="exact"/>
        <w:ind w:firstLine="645"/>
        <w:rPr>
          <w:rFonts w:ascii="黑体" w:eastAsia="黑体"/>
          <w:szCs w:val="32"/>
        </w:rPr>
      </w:pPr>
      <w:r>
        <w:rPr>
          <w:rFonts w:hint="eastAsia" w:ascii="仿宋_GB2312" w:hAnsi="宋体"/>
          <w:szCs w:val="32"/>
        </w:rPr>
        <w:t>公务用车运行维护费2025年预算安排0万元，与上年持平。</w:t>
      </w:r>
    </w:p>
    <w:p w14:paraId="48F5166B">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2025年预算安排</w:t>
      </w:r>
      <w:r>
        <w:rPr>
          <w:rFonts w:hint="eastAsia" w:ascii="仿宋_GB2312" w:hAnsi="宋体"/>
          <w:bCs/>
          <w:szCs w:val="32"/>
        </w:rPr>
        <w:t>0.07</w:t>
      </w:r>
      <w:r>
        <w:rPr>
          <w:rFonts w:hint="eastAsia" w:ascii="仿宋_GB2312" w:hAnsi="宋体"/>
          <w:szCs w:val="32"/>
        </w:rPr>
        <w:t>万元，比上年</w:t>
      </w:r>
      <w:r>
        <w:rPr>
          <w:rFonts w:hint="eastAsia" w:ascii="仿宋_GB2312" w:hAnsi="宋体"/>
          <w:bCs/>
          <w:szCs w:val="32"/>
        </w:rPr>
        <w:t>增加0.01万元，增长16.67%</w:t>
      </w:r>
      <w:r>
        <w:rPr>
          <w:rFonts w:hint="eastAsia" w:ascii="仿宋_GB2312" w:hAnsi="宋体"/>
          <w:szCs w:val="32"/>
        </w:rPr>
        <w:t>，</w:t>
      </w:r>
      <w:r>
        <w:rPr>
          <w:rFonts w:hint="eastAsia" w:ascii="仿宋_GB2312" w:hAnsi="Arial" w:cs="Arial"/>
          <w:kern w:val="0"/>
        </w:rPr>
        <w:t>增加的主要原因是在职人数增加1人，增加公务接待费支出。</w:t>
      </w:r>
    </w:p>
    <w:p w14:paraId="48354755">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7766EE17">
      <w:pPr>
        <w:tabs>
          <w:tab w:val="center" w:pos="4475"/>
        </w:tabs>
        <w:spacing w:line="560" w:lineRule="exact"/>
        <w:ind w:firstLine="645"/>
        <w:rPr>
          <w:rFonts w:ascii="仿宋_GB2312" w:hAnsi="宋体"/>
          <w:b/>
          <w:bCs/>
          <w:szCs w:val="32"/>
          <w:u w:val="single"/>
        </w:rPr>
      </w:pPr>
      <w:r>
        <w:rPr>
          <w:rFonts w:hint="eastAsia" w:ascii="仿宋_GB2312" w:hAnsi="宋体"/>
          <w:szCs w:val="32"/>
        </w:rPr>
        <w:t>我单位相关运行经费主要包括办公费</w:t>
      </w:r>
      <w:bookmarkStart w:id="8" w:name="OLE_LINK2"/>
      <w:bookmarkStart w:id="9" w:name="OLE_LINK1"/>
      <w:r>
        <w:rPr>
          <w:rFonts w:hint="eastAsia" w:ascii="仿宋_GB2312" w:hAnsi="宋体"/>
          <w:szCs w:val="32"/>
        </w:rPr>
        <w:t>、</w:t>
      </w:r>
      <w:bookmarkEnd w:id="8"/>
      <w:bookmarkEnd w:id="9"/>
      <w:r>
        <w:rPr>
          <w:rFonts w:hint="eastAsia" w:ascii="仿宋_GB2312" w:hAnsi="宋体"/>
          <w:szCs w:val="32"/>
        </w:rPr>
        <w:t>印刷费、水费、电费、邮电费、差旅费、维修（护）费、会议费、培训费、公务接待费、工会经费、福利费、其他交通费用、其他商品和服务支出。我单位2025年相关运行经费预算8.91万元，较上年增加2.35</w:t>
      </w:r>
      <w:r>
        <w:rPr>
          <w:rFonts w:hint="eastAsia" w:ascii="仿宋_GB2312"/>
          <w:szCs w:val="32"/>
        </w:rPr>
        <w:t>万元，增长35.82%，增长的主要原因是本年度单位在职人数增加1人，财政拨款收入增加。</w:t>
      </w:r>
    </w:p>
    <w:p w14:paraId="3DC937BE">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10A82B37">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我单位2025年无政府性基金支出预算。</w:t>
      </w:r>
    </w:p>
    <w:p w14:paraId="728AD9B5">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5A5EFF2A">
      <w:pPr>
        <w:tabs>
          <w:tab w:val="center" w:pos="4475"/>
        </w:tabs>
        <w:spacing w:line="560" w:lineRule="exact"/>
        <w:ind w:firstLine="645"/>
        <w:rPr>
          <w:rFonts w:ascii="仿宋_GB2312" w:hAnsi="宋体"/>
          <w:szCs w:val="32"/>
        </w:rPr>
      </w:pPr>
      <w:r>
        <w:rPr>
          <w:rFonts w:hint="eastAsia" w:ascii="仿宋_GB2312" w:hAnsi="宋体"/>
          <w:szCs w:val="32"/>
        </w:rPr>
        <w:t>我单位2025年无国有资产占用相关情况。</w:t>
      </w:r>
    </w:p>
    <w:p w14:paraId="5B750E23">
      <w:pPr>
        <w:tabs>
          <w:tab w:val="center" w:pos="4475"/>
        </w:tabs>
        <w:spacing w:line="560" w:lineRule="exact"/>
        <w:ind w:firstLine="645"/>
        <w:rPr>
          <w:rFonts w:ascii="黑体" w:eastAsia="黑体"/>
          <w:szCs w:val="32"/>
        </w:rPr>
      </w:pPr>
      <w:r>
        <w:rPr>
          <w:rFonts w:hint="eastAsia" w:ascii="黑体" w:eastAsia="黑体"/>
          <w:szCs w:val="32"/>
        </w:rPr>
        <w:t>十、预算绩效目标情况说明</w:t>
      </w:r>
    </w:p>
    <w:p w14:paraId="4837B206">
      <w:pPr>
        <w:tabs>
          <w:tab w:val="center" w:pos="4475"/>
        </w:tabs>
        <w:spacing w:line="560" w:lineRule="exact"/>
        <w:ind w:firstLine="645"/>
        <w:rPr>
          <w:rFonts w:ascii="仿宋_GB2312" w:hAnsi="宋体"/>
          <w:szCs w:val="32"/>
        </w:rPr>
      </w:pPr>
      <w:r>
        <w:rPr>
          <w:rFonts w:hint="eastAsia" w:ascii="仿宋_GB2312" w:hAnsi="宋体"/>
          <w:szCs w:val="32"/>
        </w:rPr>
        <w:t>我单位2025年所有项目支出全面实施绩效目标管理，涉及本级项目0个，预算资金0.00万元；对下转移支付项目0个，预算资金0.00万元。</w:t>
      </w:r>
    </w:p>
    <w:p w14:paraId="71A9866A">
      <w:pPr>
        <w:tabs>
          <w:tab w:val="center" w:pos="4475"/>
        </w:tabs>
        <w:spacing w:line="560" w:lineRule="exact"/>
        <w:ind w:firstLine="645"/>
        <w:rPr>
          <w:rFonts w:ascii="黑体" w:eastAsia="黑体"/>
          <w:szCs w:val="32"/>
        </w:rPr>
      </w:pPr>
    </w:p>
    <w:p w14:paraId="39567E00">
      <w:pPr>
        <w:keepNext w:val="0"/>
        <w:keepLines w:val="0"/>
        <w:pageBreakBefore w:val="0"/>
        <w:widowControl w:val="0"/>
        <w:tabs>
          <w:tab w:val="center" w:pos="4475"/>
        </w:tabs>
        <w:kinsoku/>
        <w:wordWrap/>
        <w:overflowPunct/>
        <w:topLinePunct w:val="0"/>
        <w:autoSpaceDE/>
        <w:autoSpaceDN/>
        <w:bidi w:val="0"/>
        <w:spacing w:line="500" w:lineRule="exact"/>
        <w:ind w:firstLine="645"/>
        <w:textAlignment w:val="auto"/>
        <w:rPr>
          <w:rFonts w:ascii="黑体" w:eastAsia="黑体"/>
          <w:szCs w:val="32"/>
        </w:rPr>
      </w:pPr>
      <w:r>
        <w:rPr>
          <w:rFonts w:hint="eastAsia" w:ascii="黑体" w:eastAsia="黑体"/>
          <w:szCs w:val="32"/>
        </w:rPr>
        <w:t>第三部分：名词解释</w:t>
      </w:r>
    </w:p>
    <w:p w14:paraId="3616C663">
      <w:pPr>
        <w:keepNext w:val="0"/>
        <w:keepLines w:val="0"/>
        <w:pageBreakBefore w:val="0"/>
        <w:widowControl w:val="0"/>
        <w:kinsoku/>
        <w:wordWrap/>
        <w:overflowPunct/>
        <w:topLinePunct w:val="0"/>
        <w:autoSpaceDE/>
        <w:autoSpaceDN/>
        <w:bidi w:val="0"/>
        <w:spacing w:line="500" w:lineRule="exact"/>
        <w:ind w:firstLine="640"/>
        <w:textAlignment w:val="auto"/>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778ABBC8">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017D91EA">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7702866B">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3395BD77">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3E7D087D">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0413D4A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0A2A924C">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711EFAC7">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65490422">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5377BC4B">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3251958D">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229E365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4395178">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E8D724">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ascii="黑体" w:hAnsi="宋体" w:eastAsia="黑体"/>
          <w:szCs w:val="32"/>
        </w:rPr>
      </w:pPr>
    </w:p>
    <w:p w14:paraId="5B546CB9">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ascii="黑体" w:hAnsi="宋体" w:eastAsia="黑体"/>
          <w:bCs/>
          <w:szCs w:val="32"/>
        </w:rPr>
      </w:pPr>
      <w:r>
        <w:rPr>
          <w:rFonts w:hint="eastAsia" w:ascii="黑体" w:hAnsi="宋体" w:eastAsia="黑体"/>
          <w:szCs w:val="32"/>
        </w:rPr>
        <w:t>第四部分：柳州市柳江区农村能源技术推广站2025年</w:t>
      </w:r>
      <w:r>
        <w:rPr>
          <w:rFonts w:hint="eastAsia" w:ascii="黑体" w:eastAsia="黑体"/>
          <w:szCs w:val="32"/>
        </w:rPr>
        <w:t>单位预算报表</w:t>
      </w:r>
    </w:p>
    <w:p w14:paraId="5254F760">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表1：单位收支总体情况表</w:t>
      </w:r>
    </w:p>
    <w:p w14:paraId="5FFA259D">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表2：单位收入总体情况表</w:t>
      </w:r>
    </w:p>
    <w:p w14:paraId="622A5585">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表3：单位支出总体情况表</w:t>
      </w:r>
    </w:p>
    <w:p w14:paraId="34BE6A92">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表4：财政拨款收支总体情况表</w:t>
      </w:r>
    </w:p>
    <w:p w14:paraId="0CDFE927">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表5：一般公共预算支出情况表</w:t>
      </w:r>
    </w:p>
    <w:p w14:paraId="4B9BB180">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表6：一般公共预算基本支出情况表</w:t>
      </w:r>
    </w:p>
    <w:p w14:paraId="33B221B3">
      <w:pPr>
        <w:keepNext w:val="0"/>
        <w:keepLines w:val="0"/>
        <w:pageBreakBefore w:val="0"/>
        <w:widowControl w:val="0"/>
        <w:kinsoku/>
        <w:wordWrap/>
        <w:overflowPunct/>
        <w:topLinePunct w:val="0"/>
        <w:autoSpaceDE/>
        <w:autoSpaceDN/>
        <w:bidi w:val="0"/>
        <w:spacing w:beforeLines="100" w:afterLines="100" w:line="500" w:lineRule="exact"/>
        <w:ind w:left="1600" w:leftChars="200" w:hanging="960" w:hangingChars="300"/>
        <w:textAlignment w:val="auto"/>
        <w:rPr>
          <w:rFonts w:ascii="仿宋_GB2312"/>
          <w:bCs/>
          <w:szCs w:val="32"/>
        </w:rPr>
      </w:pPr>
      <w:r>
        <w:rPr>
          <w:rFonts w:hint="eastAsia" w:ascii="仿宋_GB2312"/>
          <w:bCs/>
          <w:szCs w:val="32"/>
        </w:rPr>
        <w:t>表7：财政拨款“三公”经费、会议费和培训费支出情况表</w:t>
      </w:r>
    </w:p>
    <w:p w14:paraId="53802F21">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表8：政府性基金预算支出情况表</w:t>
      </w:r>
    </w:p>
    <w:p w14:paraId="63D393AA">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表9：国有资本经营预算支出情况表</w:t>
      </w:r>
    </w:p>
    <w:p w14:paraId="18FA6123">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表10：政府采购预算表</w:t>
      </w:r>
    </w:p>
    <w:p w14:paraId="7C00996F">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表11：政府购买服务预算表</w:t>
      </w:r>
    </w:p>
    <w:p w14:paraId="250F8D8A">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表12：项目绩效目标公开表</w:t>
      </w:r>
    </w:p>
    <w:p w14:paraId="4BE30E12">
      <w:pPr>
        <w:keepNext w:val="0"/>
        <w:keepLines w:val="0"/>
        <w:pageBreakBefore w:val="0"/>
        <w:widowControl w:val="0"/>
        <w:kinsoku/>
        <w:wordWrap/>
        <w:overflowPunct/>
        <w:topLinePunct w:val="0"/>
        <w:autoSpaceDE/>
        <w:autoSpaceDN/>
        <w:bidi w:val="0"/>
        <w:spacing w:beforeLines="100" w:afterLines="100" w:line="500" w:lineRule="exact"/>
        <w:ind w:firstLine="640" w:firstLineChars="200"/>
        <w:textAlignment w:val="auto"/>
        <w:rPr>
          <w:rFonts w:ascii="仿宋_GB2312"/>
          <w:bCs/>
          <w:szCs w:val="32"/>
        </w:rPr>
      </w:pPr>
      <w:r>
        <w:rPr>
          <w:rFonts w:hint="eastAsia" w:ascii="仿宋_GB2312"/>
          <w:bCs/>
          <w:szCs w:val="32"/>
        </w:rPr>
        <w:t>（详见附表）</w:t>
      </w:r>
    </w:p>
    <w:p w14:paraId="100B27CE">
      <w:pPr>
        <w:keepNext w:val="0"/>
        <w:keepLines w:val="0"/>
        <w:pageBreakBefore w:val="0"/>
        <w:widowControl w:val="0"/>
        <w:kinsoku/>
        <w:wordWrap/>
        <w:overflowPunct/>
        <w:topLinePunct w:val="0"/>
        <w:autoSpaceDE/>
        <w:autoSpaceDN/>
        <w:bidi w:val="0"/>
        <w:spacing w:line="500" w:lineRule="exact"/>
        <w:textAlignment w:val="auto"/>
        <w:rPr>
          <w:rFonts w:ascii="仿宋_GB2312" w:hAnsi="宋体"/>
          <w:bCs/>
          <w:sz w:val="44"/>
          <w:szCs w:val="44"/>
        </w:rPr>
      </w:pPr>
    </w:p>
    <w:p w14:paraId="21189A0A">
      <w:pPr>
        <w:keepNext w:val="0"/>
        <w:keepLines w:val="0"/>
        <w:pageBreakBefore w:val="0"/>
        <w:widowControl w:val="0"/>
        <w:kinsoku/>
        <w:wordWrap/>
        <w:overflowPunct/>
        <w:topLinePunct w:val="0"/>
        <w:autoSpaceDE/>
        <w:autoSpaceDN/>
        <w:bidi w:val="0"/>
        <w:spacing w:line="500" w:lineRule="exact"/>
        <w:textAlignment w:val="auto"/>
      </w:pPr>
    </w:p>
    <w:sectPr>
      <w:pgSz w:w="11906" w:h="16838"/>
      <w:pgMar w:top="1417"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07D1"/>
    <w:rsid w:val="00027EB9"/>
    <w:rsid w:val="00063A69"/>
    <w:rsid w:val="000E56CF"/>
    <w:rsid w:val="00236F79"/>
    <w:rsid w:val="00300E1D"/>
    <w:rsid w:val="00382D47"/>
    <w:rsid w:val="003C0735"/>
    <w:rsid w:val="004314CF"/>
    <w:rsid w:val="004E4FFE"/>
    <w:rsid w:val="004F2BBB"/>
    <w:rsid w:val="00570BB1"/>
    <w:rsid w:val="005922EC"/>
    <w:rsid w:val="005D34CC"/>
    <w:rsid w:val="00635641"/>
    <w:rsid w:val="00685415"/>
    <w:rsid w:val="00696DA6"/>
    <w:rsid w:val="006E1633"/>
    <w:rsid w:val="006F5470"/>
    <w:rsid w:val="00837259"/>
    <w:rsid w:val="00845D63"/>
    <w:rsid w:val="008B4DDF"/>
    <w:rsid w:val="00932E16"/>
    <w:rsid w:val="009335A3"/>
    <w:rsid w:val="00981899"/>
    <w:rsid w:val="009E1E1A"/>
    <w:rsid w:val="00B60241"/>
    <w:rsid w:val="00B928EF"/>
    <w:rsid w:val="00BD14E1"/>
    <w:rsid w:val="00BD39F1"/>
    <w:rsid w:val="00BF0C06"/>
    <w:rsid w:val="00C0124F"/>
    <w:rsid w:val="00C841E1"/>
    <w:rsid w:val="00D229E8"/>
    <w:rsid w:val="00DA31D1"/>
    <w:rsid w:val="00DD3BBC"/>
    <w:rsid w:val="00E81427"/>
    <w:rsid w:val="00ED634F"/>
    <w:rsid w:val="00F34183"/>
    <w:rsid w:val="00F708BE"/>
    <w:rsid w:val="00F7273A"/>
    <w:rsid w:val="00F81804"/>
    <w:rsid w:val="00FA2936"/>
    <w:rsid w:val="00FC6A37"/>
    <w:rsid w:val="00FE07D1"/>
    <w:rsid w:val="00FF290A"/>
    <w:rsid w:val="117264DD"/>
    <w:rsid w:val="15DD7808"/>
    <w:rsid w:val="21690C6D"/>
    <w:rsid w:val="2F0E7201"/>
    <w:rsid w:val="36190BE4"/>
    <w:rsid w:val="392A132F"/>
    <w:rsid w:val="46C8685C"/>
    <w:rsid w:val="4E3B534E"/>
    <w:rsid w:val="5CB166FA"/>
    <w:rsid w:val="61790893"/>
    <w:rsid w:val="6A3E1DEA"/>
    <w:rsid w:val="6DAE2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6F93-6AC2-4227-A324-BBEC3A0DEA46}">
  <ds:schemaRefs/>
</ds:datastoreItem>
</file>

<file path=docProps/app.xml><?xml version="1.0" encoding="utf-8"?>
<Properties xmlns="http://schemas.openxmlformats.org/officeDocument/2006/extended-properties" xmlns:vt="http://schemas.openxmlformats.org/officeDocument/2006/docPropsVTypes">
  <Template>Normal</Template>
  <Pages>7</Pages>
  <Words>3060</Words>
  <Characters>3239</Characters>
  <Lines>23</Lines>
  <Paragraphs>6</Paragraphs>
  <TotalTime>115</TotalTime>
  <ScaleCrop>false</ScaleCrop>
  <LinksUpToDate>false</LinksUpToDate>
  <CharactersWithSpaces>3243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öÖöAilouros</cp:lastModifiedBy>
  <dcterms:modified xsi:type="dcterms:W3CDTF">2025-02-20T00:26:00Z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