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
          <w:color w:val="auto"/>
          <w:highlight w:val="none"/>
          <w:lang w:val="en-US" w:eastAsia="zh-CN"/>
        </w:rPr>
      </w:pPr>
      <w:bookmarkStart w:id="0" w:name="_Toc101681419"/>
      <w:r>
        <w:rPr>
          <w:rFonts w:hint="eastAsia"/>
          <w:color w:val="auto"/>
          <w:highlight w:val="none"/>
          <w:lang w:val="en-US" w:eastAsia="zh-CN"/>
        </w:rPr>
        <w:t xml:space="preserve"> </w:t>
      </w:r>
    </w:p>
    <w:p>
      <w:pPr>
        <w:rPr>
          <w:color w:val="auto"/>
          <w:highlight w:val="none"/>
        </w:rPr>
      </w:pPr>
    </w:p>
    <w:p>
      <w:pPr>
        <w:pStyle w:val="12"/>
        <w:ind w:firstLine="560"/>
        <w:rPr>
          <w:color w:val="auto"/>
          <w:highlight w:val="none"/>
        </w:rPr>
      </w:pPr>
    </w:p>
    <w:p>
      <w:pPr>
        <w:pStyle w:val="12"/>
        <w:ind w:firstLine="560"/>
        <w:jc w:val="center"/>
        <w:rPr>
          <w:color w:val="auto"/>
          <w:highlight w:val="none"/>
        </w:rPr>
      </w:pPr>
    </w:p>
    <w:p>
      <w:pPr>
        <w:ind w:firstLine="0" w:firstLineChars="0"/>
        <w:jc w:val="center"/>
        <w:rPr>
          <w:rFonts w:eastAsia="微软雅黑" w:cs="Times New Roman"/>
          <w:color w:val="auto"/>
          <w:sz w:val="56"/>
          <w:szCs w:val="56"/>
          <w:highlight w:val="none"/>
        </w:rPr>
      </w:pPr>
      <w:bookmarkStart w:id="1" w:name="工程名"/>
      <w:r>
        <w:rPr>
          <w:rFonts w:eastAsia="微软雅黑" w:cs="Times New Roman"/>
          <w:color w:val="auto"/>
          <w:sz w:val="56"/>
          <w:szCs w:val="56"/>
          <w:highlight w:val="none"/>
        </w:rPr>
        <w:t>柳江区水土保持规划</w:t>
      </w:r>
      <w:bookmarkEnd w:id="1"/>
    </w:p>
    <w:p>
      <w:pPr>
        <w:ind w:firstLine="0" w:firstLineChars="0"/>
        <w:jc w:val="center"/>
        <w:rPr>
          <w:rFonts w:cs="Times New Roman"/>
          <w:color w:val="auto"/>
          <w:sz w:val="52"/>
          <w:szCs w:val="52"/>
          <w:highlight w:val="none"/>
        </w:rPr>
      </w:pPr>
      <w:r>
        <w:rPr>
          <w:rFonts w:cs="Times New Roman"/>
          <w:color w:val="auto"/>
          <w:sz w:val="52"/>
          <w:szCs w:val="52"/>
          <w:highlight w:val="none"/>
        </w:rPr>
        <w:t>（2022</w:t>
      </w:r>
      <w:r>
        <w:rPr>
          <w:rFonts w:hint="eastAsia" w:cs="Times New Roman"/>
          <w:color w:val="auto"/>
          <w:sz w:val="52"/>
          <w:szCs w:val="52"/>
          <w:highlight w:val="none"/>
          <w:lang w:eastAsia="zh-CN"/>
        </w:rPr>
        <w:t>—</w:t>
      </w:r>
      <w:r>
        <w:rPr>
          <w:rFonts w:cs="Times New Roman"/>
          <w:color w:val="auto"/>
          <w:sz w:val="52"/>
          <w:szCs w:val="52"/>
          <w:highlight w:val="none"/>
        </w:rPr>
        <w:t>2030</w:t>
      </w:r>
      <w:r>
        <w:rPr>
          <w:rFonts w:eastAsia="微软雅黑" w:cs="Times New Roman"/>
          <w:color w:val="auto"/>
          <w:sz w:val="52"/>
          <w:szCs w:val="52"/>
          <w:highlight w:val="none"/>
        </w:rPr>
        <w:t>年</w:t>
      </w:r>
      <w:r>
        <w:rPr>
          <w:rFonts w:cs="Times New Roman"/>
          <w:color w:val="auto"/>
          <w:sz w:val="52"/>
          <w:szCs w:val="52"/>
          <w:highlight w:val="none"/>
        </w:rPr>
        <w:t>）</w:t>
      </w:r>
    </w:p>
    <w:p>
      <w:pPr>
        <w:pStyle w:val="12"/>
        <w:ind w:firstLine="0" w:firstLineChars="0"/>
        <w:jc w:val="center"/>
        <w:rPr>
          <w:rFonts w:eastAsia="楷体"/>
          <w:color w:val="auto"/>
          <w:sz w:val="52"/>
          <w:szCs w:val="52"/>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ind w:firstLine="0" w:firstLineChars="0"/>
        <w:jc w:val="center"/>
        <w:rPr>
          <w:rFonts w:eastAsia="黑体" w:cs="Times New Roman"/>
          <w:color w:val="auto"/>
          <w:sz w:val="30"/>
          <w:szCs w:val="30"/>
          <w:highlight w:val="none"/>
        </w:rPr>
      </w:pPr>
      <w:r>
        <w:rPr>
          <w:rFonts w:eastAsia="黑体" w:cs="Times New Roman"/>
          <w:color w:val="auto"/>
          <w:sz w:val="30"/>
          <w:szCs w:val="30"/>
          <w:highlight w:val="none"/>
        </w:rPr>
        <w:t>广西壮族自治区水利科学研究院</w:t>
      </w:r>
    </w:p>
    <w:p>
      <w:pPr>
        <w:ind w:firstLine="0" w:firstLineChars="0"/>
        <w:jc w:val="center"/>
        <w:rPr>
          <w:rFonts w:cs="Times New Roman"/>
          <w:color w:val="auto"/>
          <w:highlight w:val="none"/>
          <w:lang w:val="zh-CN"/>
        </w:rPr>
      </w:pPr>
      <w:r>
        <w:rPr>
          <w:rFonts w:eastAsia="黑体" w:cs="Times New Roman"/>
          <w:color w:val="auto"/>
          <w:sz w:val="30"/>
          <w:szCs w:val="30"/>
          <w:highlight w:val="none"/>
        </w:rPr>
        <w:t>二〇二</w:t>
      </w:r>
      <w:r>
        <w:rPr>
          <w:rFonts w:hint="eastAsia" w:eastAsia="黑体" w:cs="Times New Roman"/>
          <w:color w:val="auto"/>
          <w:sz w:val="30"/>
          <w:szCs w:val="30"/>
          <w:highlight w:val="none"/>
          <w:lang w:val="en-US" w:eastAsia="zh-CN"/>
        </w:rPr>
        <w:t>三</w:t>
      </w:r>
      <w:r>
        <w:rPr>
          <w:rFonts w:eastAsia="黑体" w:cs="Times New Roman"/>
          <w:color w:val="auto"/>
          <w:sz w:val="30"/>
          <w:szCs w:val="30"/>
          <w:highlight w:val="none"/>
        </w:rPr>
        <w:t>年</w:t>
      </w:r>
      <w:r>
        <w:rPr>
          <w:rFonts w:hint="eastAsia" w:eastAsia="黑体" w:cs="Times New Roman"/>
          <w:color w:val="auto"/>
          <w:sz w:val="30"/>
          <w:szCs w:val="30"/>
          <w:highlight w:val="none"/>
          <w:lang w:val="en-US" w:eastAsia="zh-CN"/>
        </w:rPr>
        <w:t>八</w:t>
      </w:r>
      <w:r>
        <w:rPr>
          <w:rFonts w:eastAsia="黑体" w:cs="Times New Roman"/>
          <w:color w:val="auto"/>
          <w:sz w:val="30"/>
          <w:szCs w:val="30"/>
          <w:highlight w:val="none"/>
        </w:rPr>
        <w:t>月</w:t>
      </w:r>
    </w:p>
    <w:p>
      <w:pPr>
        <w:ind w:firstLine="0" w:firstLineChars="0"/>
        <w:rPr>
          <w:rFonts w:eastAsia="仿宋_GB2312" w:cs="Times New Roman"/>
          <w:bCs/>
          <w:color w:val="auto"/>
          <w:sz w:val="30"/>
          <w:szCs w:val="30"/>
          <w:highlight w:val="none"/>
        </w:rPr>
      </w:pPr>
    </w:p>
    <w:p>
      <w:pPr>
        <w:ind w:firstLine="0" w:firstLineChars="0"/>
        <w:rPr>
          <w:rFonts w:eastAsia="仿宋_GB2312" w:cs="Times New Roman"/>
          <w:bCs/>
          <w:color w:val="auto"/>
          <w:sz w:val="30"/>
          <w:szCs w:val="30"/>
          <w:highlight w:val="none"/>
        </w:rPr>
      </w:pPr>
    </w:p>
    <w:p>
      <w:pPr>
        <w:ind w:firstLine="0" w:firstLineChars="0"/>
        <w:rPr>
          <w:rFonts w:eastAsia="仿宋_GB2312" w:cs="Times New Roman"/>
          <w:bCs/>
          <w:color w:val="auto"/>
          <w:sz w:val="30"/>
          <w:szCs w:val="30"/>
          <w:highlight w:val="none"/>
        </w:rPr>
      </w:pPr>
    </w:p>
    <w:p>
      <w:pPr>
        <w:ind w:firstLine="0" w:firstLineChars="0"/>
        <w:rPr>
          <w:rFonts w:eastAsia="仿宋_GB2312" w:cs="Times New Roman"/>
          <w:bCs/>
          <w:color w:val="auto"/>
          <w:sz w:val="30"/>
          <w:szCs w:val="30"/>
          <w:highlight w:val="none"/>
        </w:rPr>
      </w:pPr>
      <w:r>
        <w:rPr>
          <w:rFonts w:eastAsia="仿宋_GB2312" w:cs="Times New Roman"/>
          <w:bCs/>
          <w:color w:val="auto"/>
          <w:sz w:val="30"/>
          <w:szCs w:val="30"/>
          <w:highlight w:val="none"/>
        </w:rPr>
        <w:t>项目名称：柳江区水土保持规划（2022</w:t>
      </w:r>
      <w:r>
        <w:rPr>
          <w:rFonts w:hint="eastAsia" w:eastAsia="仿宋_GB2312" w:cs="Times New Roman"/>
          <w:bCs/>
          <w:color w:val="auto"/>
          <w:sz w:val="30"/>
          <w:szCs w:val="30"/>
          <w:highlight w:val="none"/>
          <w:lang w:eastAsia="zh-CN"/>
        </w:rPr>
        <w:t>—</w:t>
      </w:r>
      <w:r>
        <w:rPr>
          <w:rFonts w:eastAsia="仿宋_GB2312" w:cs="Times New Roman"/>
          <w:bCs/>
          <w:color w:val="auto"/>
          <w:sz w:val="30"/>
          <w:szCs w:val="30"/>
          <w:highlight w:val="none"/>
        </w:rPr>
        <w:t>2030年）</w:t>
      </w:r>
    </w:p>
    <w:p>
      <w:pPr>
        <w:snapToGrid w:val="0"/>
        <w:ind w:firstLine="0" w:firstLineChars="0"/>
        <w:jc w:val="left"/>
        <w:rPr>
          <w:rFonts w:eastAsia="仿宋_GB2312" w:cs="Times New Roman"/>
          <w:bCs/>
          <w:color w:val="auto"/>
          <w:sz w:val="30"/>
          <w:szCs w:val="30"/>
          <w:highlight w:val="none"/>
        </w:rPr>
      </w:pPr>
      <w:r>
        <w:rPr>
          <w:rFonts w:eastAsia="仿宋_GB2312" w:cs="Times New Roman"/>
          <w:bCs/>
          <w:color w:val="auto"/>
          <w:sz w:val="30"/>
          <w:szCs w:val="30"/>
          <w:highlight w:val="none"/>
        </w:rPr>
        <w:t>编制单位：柳州市柳江区水利局</w:t>
      </w:r>
    </w:p>
    <w:p>
      <w:pPr>
        <w:snapToGrid w:val="0"/>
        <w:ind w:firstLine="0" w:firstLineChars="0"/>
        <w:jc w:val="left"/>
        <w:rPr>
          <w:rFonts w:eastAsia="仿宋_GB2312" w:cs="Times New Roman"/>
          <w:bCs/>
          <w:color w:val="auto"/>
          <w:sz w:val="30"/>
          <w:szCs w:val="30"/>
          <w:highlight w:val="none"/>
        </w:rPr>
      </w:pPr>
      <w:r>
        <w:rPr>
          <w:rFonts w:eastAsia="仿宋_GB2312" w:cs="Times New Roman"/>
          <w:bCs/>
          <w:color w:val="auto"/>
          <w:sz w:val="30"/>
          <w:szCs w:val="30"/>
          <w:highlight w:val="none"/>
        </w:rPr>
        <w:t xml:space="preserve">          广西壮族自治区水利科学研究院</w:t>
      </w:r>
    </w:p>
    <w:p>
      <w:pPr>
        <w:snapToGrid w:val="0"/>
        <w:ind w:firstLine="0" w:firstLineChars="0"/>
        <w:jc w:val="left"/>
        <w:rPr>
          <w:rFonts w:eastAsia="仿宋_GB2312" w:cs="Times New Roman"/>
          <w:bCs/>
          <w:color w:val="auto"/>
          <w:sz w:val="30"/>
          <w:szCs w:val="30"/>
          <w:highlight w:val="none"/>
        </w:rPr>
      </w:pPr>
      <w:r>
        <w:rPr>
          <w:rFonts w:eastAsia="仿宋_GB2312" w:cs="Times New Roman"/>
          <w:bCs/>
          <w:color w:val="auto"/>
          <w:sz w:val="30"/>
          <w:szCs w:val="30"/>
          <w:highlight w:val="none"/>
        </w:rPr>
        <w:t>工程咨询证书：甲252020010006</w:t>
      </w:r>
    </w:p>
    <w:p>
      <w:pPr>
        <w:snapToGrid w:val="0"/>
        <w:ind w:firstLine="0" w:firstLineChars="0"/>
        <w:jc w:val="left"/>
        <w:rPr>
          <w:rFonts w:eastAsia="仿宋_GB2312" w:cs="Times New Roman"/>
          <w:b/>
          <w:color w:val="auto"/>
          <w:sz w:val="30"/>
          <w:szCs w:val="30"/>
          <w:highlight w:val="none"/>
        </w:rPr>
      </w:pPr>
    </w:p>
    <w:p>
      <w:pPr>
        <w:snapToGrid w:val="0"/>
        <w:ind w:firstLine="602"/>
        <w:jc w:val="left"/>
        <w:rPr>
          <w:rFonts w:eastAsia="仿宋_GB2312" w:cs="Times New Roman"/>
          <w:b/>
          <w:color w:val="auto"/>
          <w:sz w:val="30"/>
          <w:szCs w:val="30"/>
          <w:highlight w:val="none"/>
        </w:rPr>
      </w:pPr>
    </w:p>
    <w:p>
      <w:pPr>
        <w:snapToGrid w:val="0"/>
        <w:ind w:firstLine="602"/>
        <w:jc w:val="left"/>
        <w:rPr>
          <w:rFonts w:eastAsia="仿宋_GB2312" w:cs="Times New Roman"/>
          <w:b/>
          <w:color w:val="auto"/>
          <w:sz w:val="30"/>
          <w:szCs w:val="30"/>
          <w:highlight w:val="none"/>
        </w:rPr>
      </w:pPr>
    </w:p>
    <w:p>
      <w:pPr>
        <w:snapToGrid w:val="0"/>
        <w:ind w:firstLine="602"/>
        <w:jc w:val="left"/>
        <w:rPr>
          <w:rFonts w:eastAsia="仿宋_GB2312" w:cs="Times New Roman"/>
          <w:b/>
          <w:color w:val="auto"/>
          <w:sz w:val="30"/>
          <w:szCs w:val="30"/>
          <w:highlight w:val="none"/>
        </w:rPr>
      </w:pPr>
    </w:p>
    <w:p>
      <w:pPr>
        <w:snapToGrid w:val="0"/>
        <w:ind w:firstLine="602"/>
        <w:jc w:val="left"/>
        <w:rPr>
          <w:rFonts w:eastAsia="仿宋_GB2312" w:cs="Times New Roman"/>
          <w:b/>
          <w:color w:val="auto"/>
          <w:sz w:val="30"/>
          <w:szCs w:val="30"/>
          <w:highlight w:val="none"/>
        </w:rPr>
      </w:pPr>
    </w:p>
    <w:p>
      <w:pPr>
        <w:snapToGrid w:val="0"/>
        <w:ind w:firstLine="602"/>
        <w:jc w:val="left"/>
        <w:rPr>
          <w:rFonts w:eastAsia="仿宋_GB2312" w:cs="Times New Roman"/>
          <w:b/>
          <w:color w:val="auto"/>
          <w:sz w:val="30"/>
          <w:szCs w:val="30"/>
          <w:highlight w:val="none"/>
        </w:rPr>
      </w:pPr>
    </w:p>
    <w:p>
      <w:pPr>
        <w:snapToGrid w:val="0"/>
        <w:spacing w:line="480" w:lineRule="auto"/>
        <w:ind w:firstLine="0" w:firstLineChars="0"/>
        <w:jc w:val="left"/>
        <w:rPr>
          <w:rFonts w:hint="default" w:eastAsia="仿宋" w:cs="Times New Roman"/>
          <w:bCs/>
          <w:color w:val="auto"/>
          <w:sz w:val="30"/>
          <w:szCs w:val="30"/>
          <w:highlight w:val="none"/>
          <w:lang w:val="en-US" w:eastAsia="zh-CN"/>
        </w:rPr>
      </w:pPr>
      <w:r>
        <w:rPr>
          <w:rFonts w:cs="Times New Roman"/>
          <w:bCs/>
          <w:color w:val="auto"/>
          <w:sz w:val="30"/>
          <w:szCs w:val="30"/>
          <w:highlight w:val="none"/>
        </w:rPr>
        <w:t>批    准：黄</w:t>
      </w:r>
      <w:r>
        <w:rPr>
          <w:rFonts w:hint="eastAsia" w:cs="Times New Roman"/>
          <w:bCs/>
          <w:color w:val="auto"/>
          <w:sz w:val="30"/>
          <w:szCs w:val="30"/>
          <w:highlight w:val="none"/>
          <w:lang w:val="en-US" w:eastAsia="zh-CN"/>
        </w:rPr>
        <w:t>旭升  陆春晖</w:t>
      </w:r>
    </w:p>
    <w:p>
      <w:pPr>
        <w:snapToGrid w:val="0"/>
        <w:spacing w:line="480" w:lineRule="auto"/>
        <w:ind w:firstLine="0" w:firstLineChars="0"/>
        <w:jc w:val="left"/>
        <w:rPr>
          <w:rFonts w:hint="default" w:eastAsia="仿宋" w:cs="Times New Roman"/>
          <w:bCs/>
          <w:color w:val="auto"/>
          <w:sz w:val="30"/>
          <w:szCs w:val="30"/>
          <w:highlight w:val="none"/>
          <w:lang w:val="en-US" w:eastAsia="zh-CN"/>
        </w:rPr>
      </w:pPr>
      <w:r>
        <w:rPr>
          <w:rFonts w:cs="Times New Roman"/>
          <w:bCs/>
          <w:color w:val="auto"/>
          <w:sz w:val="30"/>
          <w:szCs w:val="30"/>
          <w:highlight w:val="none"/>
        </w:rPr>
        <w:t>核    定：甘惠麒</w:t>
      </w:r>
      <w:r>
        <w:rPr>
          <w:rFonts w:hint="eastAsia" w:cs="Times New Roman"/>
          <w:bCs/>
          <w:color w:val="auto"/>
          <w:sz w:val="30"/>
          <w:szCs w:val="30"/>
          <w:highlight w:val="none"/>
          <w:lang w:val="en-US" w:eastAsia="zh-CN"/>
        </w:rPr>
        <w:t xml:space="preserve">  韦</w:t>
      </w:r>
      <w:r>
        <w:rPr>
          <w:rFonts w:cs="Times New Roman"/>
          <w:bCs/>
          <w:color w:val="auto"/>
          <w:sz w:val="30"/>
          <w:szCs w:val="30"/>
          <w:highlight w:val="none"/>
        </w:rPr>
        <w:t xml:space="preserve">  </w:t>
      </w:r>
      <w:r>
        <w:rPr>
          <w:rFonts w:hint="eastAsia" w:cs="Times New Roman"/>
          <w:bCs/>
          <w:color w:val="auto"/>
          <w:sz w:val="30"/>
          <w:szCs w:val="30"/>
          <w:highlight w:val="none"/>
          <w:lang w:val="en-US" w:eastAsia="zh-CN"/>
        </w:rPr>
        <w:t>懿</w:t>
      </w:r>
    </w:p>
    <w:p>
      <w:pPr>
        <w:snapToGrid w:val="0"/>
        <w:spacing w:line="480" w:lineRule="auto"/>
        <w:ind w:firstLine="0" w:firstLineChars="0"/>
        <w:jc w:val="left"/>
        <w:rPr>
          <w:rFonts w:cs="Times New Roman"/>
          <w:bCs/>
          <w:color w:val="auto"/>
          <w:sz w:val="30"/>
          <w:szCs w:val="30"/>
          <w:highlight w:val="none"/>
        </w:rPr>
      </w:pPr>
      <w:r>
        <w:rPr>
          <w:rFonts w:cs="Times New Roman"/>
          <w:bCs/>
          <w:color w:val="auto"/>
          <w:sz w:val="30"/>
          <w:szCs w:val="30"/>
          <w:highlight w:val="none"/>
        </w:rPr>
        <w:t>审    查：王俊明</w:t>
      </w:r>
    </w:p>
    <w:p>
      <w:pPr>
        <w:snapToGrid w:val="0"/>
        <w:spacing w:line="480" w:lineRule="auto"/>
        <w:ind w:firstLine="0" w:firstLineChars="0"/>
        <w:jc w:val="left"/>
        <w:rPr>
          <w:rFonts w:hint="default" w:eastAsia="仿宋" w:cs="Times New Roman"/>
          <w:bCs/>
          <w:color w:val="auto"/>
          <w:sz w:val="30"/>
          <w:szCs w:val="30"/>
          <w:highlight w:val="none"/>
          <w:lang w:val="en-US" w:eastAsia="zh-CN"/>
        </w:rPr>
      </w:pPr>
      <w:r>
        <w:rPr>
          <w:rFonts w:cs="Times New Roman"/>
          <w:bCs/>
          <w:color w:val="auto"/>
          <w:sz w:val="30"/>
          <w:szCs w:val="30"/>
          <w:highlight w:val="none"/>
        </w:rPr>
        <w:t>校    核：孙  艳</w:t>
      </w:r>
      <w:r>
        <w:rPr>
          <w:rFonts w:hint="eastAsia" w:cs="Times New Roman"/>
          <w:bCs/>
          <w:color w:val="auto"/>
          <w:sz w:val="30"/>
          <w:szCs w:val="30"/>
          <w:highlight w:val="none"/>
          <w:lang w:val="en-US" w:eastAsia="zh-CN"/>
        </w:rPr>
        <w:t xml:space="preserve">  覃加国  李荣文</w:t>
      </w:r>
    </w:p>
    <w:p>
      <w:pPr>
        <w:snapToGrid w:val="0"/>
        <w:spacing w:line="480" w:lineRule="auto"/>
        <w:ind w:left="1500" w:hanging="1500" w:hangingChars="500"/>
        <w:jc w:val="left"/>
        <w:rPr>
          <w:rFonts w:cs="Times New Roman"/>
          <w:bCs/>
          <w:color w:val="auto"/>
          <w:sz w:val="30"/>
          <w:szCs w:val="30"/>
          <w:highlight w:val="none"/>
        </w:rPr>
      </w:pPr>
      <w:r>
        <w:rPr>
          <w:rFonts w:cs="Times New Roman"/>
          <w:bCs/>
          <w:color w:val="auto"/>
          <w:sz w:val="30"/>
          <w:szCs w:val="30"/>
          <w:highlight w:val="none"/>
        </w:rPr>
        <w:t>报告编制：裴承敏  孙  艳  肖俊波  王  星  莫春梦</w:t>
      </w:r>
    </w:p>
    <w:p>
      <w:pPr>
        <w:snapToGrid w:val="0"/>
        <w:spacing w:line="480" w:lineRule="auto"/>
        <w:ind w:left="1500" w:hanging="1500" w:hangingChars="500"/>
        <w:jc w:val="left"/>
        <w:rPr>
          <w:rFonts w:cs="Times New Roman"/>
          <w:bCs/>
          <w:color w:val="auto"/>
          <w:sz w:val="30"/>
          <w:szCs w:val="30"/>
          <w:highlight w:val="none"/>
        </w:rPr>
      </w:pPr>
      <w:r>
        <w:rPr>
          <w:rFonts w:cs="Times New Roman"/>
          <w:bCs/>
          <w:color w:val="auto"/>
          <w:sz w:val="30"/>
          <w:szCs w:val="30"/>
          <w:highlight w:val="none"/>
        </w:rPr>
        <w:t xml:space="preserve">          李宗勋  韦孙玮  贾  荣  李四高  张  楠 </w:t>
      </w:r>
    </w:p>
    <w:p>
      <w:pPr>
        <w:snapToGrid w:val="0"/>
        <w:spacing w:line="480" w:lineRule="auto"/>
        <w:ind w:firstLine="1458" w:firstLineChars="486"/>
        <w:jc w:val="left"/>
        <w:rPr>
          <w:rFonts w:cs="Times New Roman"/>
          <w:bCs/>
          <w:color w:val="auto"/>
          <w:sz w:val="30"/>
          <w:szCs w:val="30"/>
          <w:highlight w:val="none"/>
        </w:rPr>
      </w:pPr>
      <w:r>
        <w:rPr>
          <w:rFonts w:cs="Times New Roman"/>
          <w:bCs/>
          <w:color w:val="auto"/>
          <w:sz w:val="30"/>
          <w:szCs w:val="30"/>
          <w:highlight w:val="none"/>
        </w:rPr>
        <w:t>方钰宁</w:t>
      </w:r>
    </w:p>
    <w:p>
      <w:pPr>
        <w:snapToGrid w:val="0"/>
        <w:spacing w:line="480" w:lineRule="auto"/>
        <w:ind w:firstLine="0" w:firstLineChars="0"/>
        <w:jc w:val="left"/>
        <w:rPr>
          <w:rFonts w:cs="Times New Roman"/>
          <w:bCs/>
          <w:color w:val="auto"/>
          <w:sz w:val="30"/>
          <w:szCs w:val="30"/>
          <w:highlight w:val="none"/>
        </w:rPr>
      </w:pPr>
      <w:r>
        <w:rPr>
          <w:rFonts w:cs="Times New Roman"/>
          <w:bCs/>
          <w:color w:val="auto"/>
          <w:sz w:val="30"/>
          <w:szCs w:val="30"/>
          <w:highlight w:val="none"/>
        </w:rPr>
        <w:t>制    表：肖俊波  王  星</w:t>
      </w:r>
    </w:p>
    <w:p>
      <w:pPr>
        <w:snapToGrid w:val="0"/>
        <w:spacing w:line="480" w:lineRule="auto"/>
        <w:ind w:firstLine="0" w:firstLineChars="0"/>
        <w:jc w:val="left"/>
        <w:rPr>
          <w:rFonts w:cs="Times New Roman"/>
          <w:bCs/>
          <w:color w:val="auto"/>
          <w:sz w:val="30"/>
          <w:szCs w:val="30"/>
          <w:highlight w:val="none"/>
        </w:rPr>
        <w:sectPr>
          <w:footerReference r:id="rId3" w:type="default"/>
          <w:pgSz w:w="11906" w:h="16838"/>
          <w:pgMar w:top="1440" w:right="1797" w:bottom="1440" w:left="1797" w:header="851" w:footer="992" w:gutter="0"/>
          <w:pgNumType w:fmt="numberInDash" w:start="1"/>
          <w:cols w:space="425" w:num="1"/>
          <w:docGrid w:type="lines" w:linePitch="312" w:charSpace="0"/>
        </w:sectPr>
      </w:pPr>
      <w:r>
        <w:rPr>
          <w:rFonts w:cs="Times New Roman"/>
          <w:bCs/>
          <w:color w:val="auto"/>
          <w:sz w:val="30"/>
          <w:szCs w:val="30"/>
          <w:highlight w:val="none"/>
        </w:rPr>
        <w:t>制    图：裴承敏  莫春梦</w:t>
      </w:r>
    </w:p>
    <w:p>
      <w:pPr>
        <w:snapToGrid w:val="0"/>
        <w:spacing w:line="480" w:lineRule="auto"/>
        <w:ind w:firstLine="0" w:firstLineChars="0"/>
        <w:jc w:val="left"/>
        <w:rPr>
          <w:rFonts w:cs="Times New Roman"/>
          <w:bCs/>
          <w:color w:val="auto"/>
          <w:sz w:val="30"/>
          <w:szCs w:val="30"/>
          <w:highlight w:val="none"/>
        </w:rPr>
      </w:pPr>
    </w:p>
    <w:p>
      <w:pPr>
        <w:spacing w:after="156" w:afterLines="50"/>
        <w:ind w:firstLine="0" w:firstLineChars="0"/>
        <w:jc w:val="center"/>
        <w:rPr>
          <w:rFonts w:eastAsia="黑体" w:cs="Times New Roman"/>
          <w:b/>
          <w:color w:val="auto"/>
          <w:sz w:val="32"/>
          <w:szCs w:val="32"/>
          <w:highlight w:val="none"/>
          <w:lang w:val="en-GB"/>
        </w:rPr>
      </w:pPr>
      <w:r>
        <w:rPr>
          <w:rFonts w:eastAsia="黑体" w:cs="Times New Roman"/>
          <w:b/>
          <w:color w:val="auto"/>
          <w:sz w:val="32"/>
          <w:szCs w:val="32"/>
          <w:highlight w:val="none"/>
          <w:lang w:val="en-GB"/>
        </w:rPr>
        <w:t>前言</w:t>
      </w:r>
    </w:p>
    <w:p>
      <w:pPr>
        <w:rPr>
          <w:rFonts w:cs="Times New Roman"/>
          <w:color w:val="auto"/>
          <w:highlight w:val="none"/>
        </w:rPr>
      </w:pPr>
      <w:r>
        <w:rPr>
          <w:rFonts w:cs="Times New Roman"/>
          <w:color w:val="auto"/>
          <w:highlight w:val="none"/>
        </w:rPr>
        <w:t>随着</w:t>
      </w:r>
      <w:r>
        <w:rPr>
          <w:rFonts w:hint="eastAsia" w:cs="Times New Roman"/>
          <w:color w:val="auto"/>
          <w:highlight w:val="none"/>
        </w:rPr>
        <w:t>技术、</w:t>
      </w:r>
      <w:r>
        <w:rPr>
          <w:rFonts w:cs="Times New Roman"/>
          <w:color w:val="auto"/>
          <w:highlight w:val="none"/>
        </w:rPr>
        <w:t>经济和社会的发展，人民对优美生态环境的</w:t>
      </w:r>
      <w:r>
        <w:rPr>
          <w:rFonts w:hint="eastAsia" w:cs="Times New Roman"/>
          <w:color w:val="auto"/>
          <w:highlight w:val="none"/>
        </w:rPr>
        <w:t>需求</w:t>
      </w:r>
      <w:r>
        <w:rPr>
          <w:rFonts w:cs="Times New Roman"/>
          <w:color w:val="auto"/>
          <w:highlight w:val="none"/>
        </w:rPr>
        <w:t>也日益增长，</w:t>
      </w:r>
      <w:r>
        <w:rPr>
          <w:rFonts w:hint="eastAsia" w:cs="Times New Roman"/>
          <w:color w:val="auto"/>
          <w:highlight w:val="none"/>
        </w:rPr>
        <w:t>我国</w:t>
      </w:r>
      <w:r>
        <w:rPr>
          <w:rFonts w:cs="Times New Roman"/>
          <w:color w:val="auto"/>
          <w:highlight w:val="none"/>
        </w:rPr>
        <w:t>生态环境政策与法律发展日益转向内生需求和内源驱动。</w:t>
      </w:r>
      <w:r>
        <w:rPr>
          <w:rFonts w:hint="eastAsia" w:cs="Times New Roman"/>
          <w:color w:val="auto"/>
          <w:highlight w:val="none"/>
        </w:rPr>
        <w:t>党的</w:t>
      </w:r>
      <w:bookmarkStart w:id="634" w:name="_GoBack"/>
      <w:bookmarkEnd w:id="634"/>
      <w:r>
        <w:rPr>
          <w:rFonts w:hint="eastAsia" w:cs="Times New Roman"/>
          <w:color w:val="auto"/>
          <w:highlight w:val="none"/>
        </w:rPr>
        <w:t>二十大报告提出，要推进美丽中国建设，坚持山水林田湖草沙一体化保护和系统治理，统筹产业结构调整、污染治理、生态保护、应对气候变化，协同推进降碳、减污、扩绿、增长，推进生态优先、节约集约、绿色低碳发展。</w:t>
      </w:r>
      <w:r>
        <w:rPr>
          <w:rFonts w:cs="Times New Roman"/>
          <w:color w:val="auto"/>
          <w:highlight w:val="none"/>
        </w:rPr>
        <w:t>水土保持作为生态文明建设的重要内容之一，将在新时代生态文明建设中扮演着重要角色。</w:t>
      </w:r>
    </w:p>
    <w:p>
      <w:pPr>
        <w:rPr>
          <w:rFonts w:hint="eastAsia" w:cs="Times New Roman"/>
          <w:color w:val="auto"/>
          <w:highlight w:val="none"/>
          <w:lang w:val="en-US" w:eastAsia="zh-CN"/>
        </w:rPr>
      </w:pPr>
      <w:r>
        <w:rPr>
          <w:rFonts w:hint="eastAsia" w:cs="Times New Roman"/>
          <w:color w:val="auto"/>
          <w:highlight w:val="none"/>
          <w:lang w:val="en-US" w:eastAsia="zh-CN"/>
        </w:rPr>
        <w:t>2023年1月，中共中央办公厅、国务院办公厅印发了《关于加强新时代水土保持工作的意见》，要求深入贯彻党的二十大精神，全面贯彻习近平生态文明思想，以推动高质量发展为主题，以体制机制改革创新为抓手，加快构建党委领导、政府负责、部门协同、全社会共同参与的水土保持工作格局，全面提升水土保持功能和生态产品供给能力，为促进人与自然和谐共生提供有力支撑。2023年5月，广西壮族自治区人民政府办公厅关于印发《广西加强新时代水土保持工作实施方案的通知》（桂政办发〔2023〕28号）， 要求</w:t>
      </w:r>
      <w:r>
        <w:rPr>
          <w:rFonts w:hint="default" w:cs="Times New Roman"/>
          <w:color w:val="auto"/>
          <w:highlight w:val="none"/>
          <w:lang w:val="en-US" w:eastAsia="zh-CN"/>
        </w:rPr>
        <w:t>深入贯彻落实习近平总书记对广西“五个更大”重要要求、视察广西“4·27”重要讲话和对广西工作系列重要指示精神，牢固树立和践行绿水青山就是金山银山的理念</w:t>
      </w:r>
      <w:r>
        <w:rPr>
          <w:rFonts w:hint="eastAsia" w:cs="Times New Roman"/>
          <w:color w:val="auto"/>
          <w:highlight w:val="none"/>
          <w:lang w:val="en-US" w:eastAsia="zh-CN"/>
        </w:rPr>
        <w:t>，</w:t>
      </w:r>
      <w:r>
        <w:rPr>
          <w:rFonts w:hint="default" w:cs="Times New Roman"/>
          <w:color w:val="auto"/>
          <w:highlight w:val="none"/>
          <w:lang w:val="en-US" w:eastAsia="zh-CN"/>
        </w:rPr>
        <w:t>深刻认识水土保持是江河保护治理的根本措施，是生态文明建设的必然要求，以推动高质量发展为主题，站在人与自然和谐共生的高度谋划水土保持工作</w:t>
      </w:r>
      <w:r>
        <w:rPr>
          <w:rFonts w:hint="eastAsia" w:cs="Times New Roman"/>
          <w:color w:val="auto"/>
          <w:highlight w:val="none"/>
          <w:lang w:val="en-US" w:eastAsia="zh-CN"/>
        </w:rPr>
        <w:t>。</w:t>
      </w:r>
    </w:p>
    <w:p>
      <w:pPr>
        <w:rPr>
          <w:rFonts w:cs="Times New Roman"/>
          <w:color w:val="auto"/>
          <w:highlight w:val="none"/>
        </w:rPr>
      </w:pPr>
      <w:r>
        <w:rPr>
          <w:rFonts w:cs="Times New Roman"/>
          <w:color w:val="auto"/>
          <w:highlight w:val="none"/>
        </w:rPr>
        <w:t>一直以来，在广西壮族自治区水利厅和</w:t>
      </w:r>
      <w:r>
        <w:rPr>
          <w:rFonts w:hint="eastAsia" w:cs="Times New Roman"/>
          <w:color w:val="auto"/>
          <w:highlight w:val="none"/>
        </w:rPr>
        <w:t>柳州</w:t>
      </w:r>
      <w:r>
        <w:rPr>
          <w:rFonts w:cs="Times New Roman"/>
          <w:color w:val="auto"/>
          <w:highlight w:val="none"/>
        </w:rPr>
        <w:t>市水利局的支持和指导下，</w:t>
      </w:r>
      <w:r>
        <w:rPr>
          <w:rFonts w:hint="eastAsia" w:cs="Times New Roman"/>
          <w:color w:val="auto"/>
          <w:highlight w:val="none"/>
          <w:lang w:eastAsia="zh-CN"/>
        </w:rPr>
        <w:t>柳江区</w:t>
      </w:r>
      <w:r>
        <w:rPr>
          <w:rFonts w:cs="Times New Roman"/>
          <w:color w:val="auto"/>
          <w:highlight w:val="none"/>
        </w:rPr>
        <w:t>准确把握水土保持工作面临的新形势、新机遇，坚持以水土资源可持续利用为目标，以保障和改善民生为着力点，</w:t>
      </w:r>
      <w:r>
        <w:rPr>
          <w:rFonts w:hint="eastAsia" w:cs="Times New Roman"/>
          <w:color w:val="auto"/>
          <w:highlight w:val="none"/>
        </w:rPr>
        <w:t>全面</w:t>
      </w:r>
      <w:r>
        <w:rPr>
          <w:rFonts w:cs="Times New Roman"/>
          <w:color w:val="auto"/>
          <w:highlight w:val="none"/>
        </w:rPr>
        <w:t>加强水土保持监督管理，科学推进水土流失治理</w:t>
      </w:r>
      <w:r>
        <w:rPr>
          <w:rFonts w:hint="eastAsia" w:cs="Times New Roman"/>
          <w:color w:val="auto"/>
          <w:highlight w:val="none"/>
        </w:rPr>
        <w:t>，</w:t>
      </w:r>
      <w:r>
        <w:rPr>
          <w:rFonts w:cs="Times New Roman"/>
          <w:color w:val="auto"/>
          <w:highlight w:val="none"/>
        </w:rPr>
        <w:t>把水土保持工作推向一个新的发展高度，初步遏制了水土流失重点地区环境不断恶化的局面，区域生态环境明显改善。</w:t>
      </w:r>
    </w:p>
    <w:p>
      <w:pPr>
        <w:rPr>
          <w:rFonts w:cs="Times New Roman"/>
          <w:color w:val="auto"/>
          <w:highlight w:val="none"/>
        </w:rPr>
      </w:pPr>
      <w:r>
        <w:rPr>
          <w:rFonts w:cs="Times New Roman"/>
          <w:color w:val="auto"/>
          <w:highlight w:val="none"/>
        </w:rPr>
        <w:t>尽管</w:t>
      </w:r>
      <w:r>
        <w:rPr>
          <w:rFonts w:hint="eastAsia" w:cs="Times New Roman"/>
          <w:color w:val="auto"/>
          <w:highlight w:val="none"/>
          <w:lang w:eastAsia="zh-CN"/>
        </w:rPr>
        <w:t>柳江区</w:t>
      </w:r>
      <w:r>
        <w:rPr>
          <w:rFonts w:cs="Times New Roman"/>
          <w:color w:val="auto"/>
          <w:highlight w:val="none"/>
        </w:rPr>
        <w:t>水土保持工作取得了一定的成效，但由于</w:t>
      </w:r>
      <w:r>
        <w:rPr>
          <w:rFonts w:hint="eastAsia" w:cs="Times New Roman"/>
          <w:color w:val="auto"/>
          <w:highlight w:val="none"/>
          <w:lang w:val="en-US" w:eastAsia="zh-CN"/>
        </w:rPr>
        <w:t>柳江区</w:t>
      </w:r>
      <w:r>
        <w:rPr>
          <w:rFonts w:cs="Times New Roman"/>
          <w:color w:val="auto"/>
          <w:highlight w:val="none"/>
        </w:rPr>
        <w:t>水土保持工作缺乏总体规划和宏观指导，水土保持专项经费不足，使得水土保持工作缺乏整体性、针对性和连续性，造成</w:t>
      </w:r>
      <w:r>
        <w:rPr>
          <w:rFonts w:hint="eastAsia" w:cs="Times New Roman"/>
          <w:color w:val="auto"/>
          <w:highlight w:val="none"/>
        </w:rPr>
        <w:t>全</w:t>
      </w:r>
      <w:r>
        <w:rPr>
          <w:rFonts w:hint="eastAsia" w:cs="Times New Roman"/>
          <w:color w:val="auto"/>
          <w:highlight w:val="none"/>
          <w:lang w:val="en-US" w:eastAsia="zh-CN"/>
        </w:rPr>
        <w:t>区</w:t>
      </w:r>
      <w:r>
        <w:rPr>
          <w:rFonts w:cs="Times New Roman"/>
          <w:color w:val="auto"/>
          <w:highlight w:val="none"/>
        </w:rPr>
        <w:t>范围内各种成因的水土流失危害依然普遍存在，生产建设中人为造成的水土流失问题依然严峻，治理任务依然艰巨，水土保持改革发展与中央要求、人民期盼还有一定的差距。</w:t>
      </w:r>
    </w:p>
    <w:p>
      <w:pPr>
        <w:rPr>
          <w:rFonts w:cs="Times New Roman"/>
          <w:color w:val="auto"/>
          <w:highlight w:val="none"/>
        </w:rPr>
      </w:pPr>
      <w:r>
        <w:rPr>
          <w:rFonts w:cs="Times New Roman"/>
          <w:color w:val="auto"/>
          <w:highlight w:val="none"/>
        </w:rPr>
        <w:t>2015年10月《全国水土保持规划（2015～2030年）》获国务院批复同意，2017年1月《广西壮族自治区水土保持规划（2016～2030年）》由广西壮族自治区人民政府批复同意，2019年</w:t>
      </w:r>
      <w:r>
        <w:rPr>
          <w:rFonts w:hint="eastAsia" w:cs="Times New Roman"/>
          <w:color w:val="auto"/>
          <w:highlight w:val="none"/>
        </w:rPr>
        <w:t>8</w:t>
      </w:r>
      <w:r>
        <w:rPr>
          <w:rFonts w:cs="Times New Roman"/>
          <w:color w:val="auto"/>
          <w:highlight w:val="none"/>
        </w:rPr>
        <w:t>月《</w:t>
      </w:r>
      <w:r>
        <w:rPr>
          <w:rFonts w:hint="eastAsia" w:cs="Times New Roman"/>
          <w:color w:val="auto"/>
          <w:highlight w:val="none"/>
        </w:rPr>
        <w:t>柳州</w:t>
      </w:r>
      <w:r>
        <w:rPr>
          <w:rFonts w:cs="Times New Roman"/>
          <w:color w:val="auto"/>
          <w:highlight w:val="none"/>
        </w:rPr>
        <w:t>市水土保持规划（2019～2030年）》由</w:t>
      </w:r>
      <w:r>
        <w:rPr>
          <w:rFonts w:hint="eastAsia" w:cs="Times New Roman"/>
          <w:color w:val="auto"/>
          <w:highlight w:val="none"/>
        </w:rPr>
        <w:t>柳州</w:t>
      </w:r>
      <w:r>
        <w:rPr>
          <w:rFonts w:cs="Times New Roman"/>
          <w:color w:val="auto"/>
          <w:highlight w:val="none"/>
        </w:rPr>
        <w:t>市人民政府批复同意。以上规划要求各级人民政府按照确定的水土保持目标任务，加强组织领导，落实责任分工，完善政策措施，加大工作力度，切实推进辖区内的水土保持工作。</w:t>
      </w:r>
    </w:p>
    <w:p>
      <w:pPr>
        <w:rPr>
          <w:rFonts w:cs="Times New Roman"/>
          <w:color w:val="auto"/>
          <w:highlight w:val="none"/>
        </w:rPr>
      </w:pPr>
      <w:r>
        <w:rPr>
          <w:rFonts w:cs="Times New Roman"/>
          <w:color w:val="auto"/>
          <w:highlight w:val="none"/>
        </w:rPr>
        <w:t>为顺应新</w:t>
      </w:r>
      <w:r>
        <w:rPr>
          <w:rFonts w:hint="eastAsia" w:cs="Times New Roman"/>
          <w:color w:val="auto"/>
          <w:highlight w:val="none"/>
          <w:lang w:val="en-US" w:eastAsia="zh-CN"/>
        </w:rPr>
        <w:t>时代水土保持工作</w:t>
      </w:r>
      <w:r>
        <w:rPr>
          <w:rFonts w:cs="Times New Roman"/>
          <w:color w:val="auto"/>
          <w:highlight w:val="none"/>
        </w:rPr>
        <w:t>的要求，</w:t>
      </w:r>
      <w:r>
        <w:rPr>
          <w:rFonts w:hint="eastAsia" w:cs="Times New Roman"/>
          <w:color w:val="auto"/>
          <w:highlight w:val="none"/>
        </w:rPr>
        <w:t>柳州</w:t>
      </w:r>
      <w:r>
        <w:rPr>
          <w:rFonts w:cs="Times New Roman"/>
          <w:color w:val="auto"/>
          <w:highlight w:val="none"/>
        </w:rPr>
        <w:t>市</w:t>
      </w:r>
      <w:r>
        <w:rPr>
          <w:rFonts w:hint="eastAsia" w:cs="Times New Roman"/>
          <w:color w:val="auto"/>
          <w:highlight w:val="none"/>
          <w:lang w:eastAsia="zh-CN"/>
        </w:rPr>
        <w:t>柳江区</w:t>
      </w:r>
      <w:r>
        <w:rPr>
          <w:rFonts w:cs="Times New Roman"/>
          <w:color w:val="auto"/>
          <w:highlight w:val="none"/>
        </w:rPr>
        <w:t>水利局通过公开招标确定广西壮族自治区水利科学研究院（下称“编制单位”）为《</w:t>
      </w:r>
      <w:r>
        <w:rPr>
          <w:rFonts w:hint="eastAsia" w:cs="Times New Roman"/>
          <w:color w:val="auto"/>
          <w:highlight w:val="none"/>
          <w:lang w:eastAsia="zh-CN"/>
        </w:rPr>
        <w:t>柳江区</w:t>
      </w:r>
      <w:r>
        <w:rPr>
          <w:rFonts w:cs="Times New Roman"/>
          <w:color w:val="auto"/>
          <w:highlight w:val="none"/>
        </w:rPr>
        <w:t>水土保持规划（202</w:t>
      </w:r>
      <w:r>
        <w:rPr>
          <w:rFonts w:hint="eastAsia" w:cs="Times New Roman"/>
          <w:color w:val="auto"/>
          <w:highlight w:val="none"/>
        </w:rPr>
        <w:t>2</w:t>
      </w:r>
      <w:r>
        <w:rPr>
          <w:rFonts w:hint="eastAsia" w:cs="Times New Roman"/>
          <w:color w:val="auto"/>
          <w:highlight w:val="none"/>
          <w:lang w:eastAsia="zh-CN"/>
        </w:rPr>
        <w:t>—</w:t>
      </w:r>
      <w:r>
        <w:rPr>
          <w:rFonts w:cs="Times New Roman"/>
          <w:color w:val="auto"/>
          <w:highlight w:val="none"/>
        </w:rPr>
        <w:t>2030年）》（以下简称《规划》）编制单位。接到任务后，编制单位成立了</w:t>
      </w:r>
      <w:r>
        <w:rPr>
          <w:rFonts w:hint="eastAsia" w:cs="Times New Roman"/>
          <w:color w:val="auto"/>
          <w:highlight w:val="none"/>
          <w:lang w:eastAsia="zh-CN"/>
        </w:rPr>
        <w:t>柳江区</w:t>
      </w:r>
      <w:r>
        <w:rPr>
          <w:rFonts w:cs="Times New Roman"/>
          <w:color w:val="auto"/>
          <w:highlight w:val="none"/>
        </w:rPr>
        <w:t>水土保持规划工作组，工作组成员由水土保持、地理信息系统、水文水资源等专业技术人员组成。编制单位前期制定了《</w:t>
      </w:r>
      <w:r>
        <w:rPr>
          <w:rFonts w:hint="eastAsia" w:cs="Times New Roman"/>
          <w:color w:val="auto"/>
          <w:highlight w:val="none"/>
          <w:lang w:eastAsia="zh-CN"/>
        </w:rPr>
        <w:t>柳江区</w:t>
      </w:r>
      <w:r>
        <w:rPr>
          <w:rFonts w:cs="Times New Roman"/>
          <w:color w:val="auto"/>
          <w:highlight w:val="none"/>
        </w:rPr>
        <w:t>水土保持规划202</w:t>
      </w:r>
      <w:r>
        <w:rPr>
          <w:rFonts w:hint="eastAsia" w:cs="Times New Roman"/>
          <w:color w:val="auto"/>
          <w:highlight w:val="none"/>
        </w:rPr>
        <w:t>2</w:t>
      </w:r>
      <w:r>
        <w:rPr>
          <w:rFonts w:hint="eastAsia" w:cs="Times New Roman"/>
          <w:color w:val="auto"/>
          <w:highlight w:val="none"/>
          <w:lang w:eastAsia="zh-CN"/>
        </w:rPr>
        <w:t>—</w:t>
      </w:r>
      <w:r>
        <w:rPr>
          <w:rFonts w:cs="Times New Roman"/>
          <w:color w:val="auto"/>
          <w:highlight w:val="none"/>
        </w:rPr>
        <w:t>2030年编制工作方案》，经过现场调研、基础资料收集、遥感数据解译等工作后，系统分析了</w:t>
      </w:r>
      <w:r>
        <w:rPr>
          <w:rFonts w:hint="eastAsia" w:cs="Times New Roman"/>
          <w:color w:val="auto"/>
          <w:highlight w:val="none"/>
          <w:lang w:val="en-US" w:eastAsia="zh-CN"/>
        </w:rPr>
        <w:t>柳江区</w:t>
      </w:r>
      <w:r>
        <w:rPr>
          <w:rFonts w:cs="Times New Roman"/>
          <w:color w:val="auto"/>
          <w:highlight w:val="none"/>
        </w:rPr>
        <w:t>水土流失及其防治现状，研究了</w:t>
      </w:r>
      <w:r>
        <w:rPr>
          <w:rFonts w:hint="eastAsia" w:cs="Times New Roman"/>
          <w:color w:val="auto"/>
          <w:highlight w:val="none"/>
          <w:lang w:eastAsia="zh-CN"/>
        </w:rPr>
        <w:t>柳江区</w:t>
      </w:r>
      <w:r>
        <w:rPr>
          <w:rFonts w:cs="Times New Roman"/>
          <w:color w:val="auto"/>
          <w:highlight w:val="none"/>
        </w:rPr>
        <w:t>水土保持工作面临的新形势和新要求，并对</w:t>
      </w:r>
      <w:r>
        <w:rPr>
          <w:rFonts w:hint="eastAsia" w:cs="Times New Roman"/>
          <w:color w:val="auto"/>
          <w:highlight w:val="none"/>
          <w:lang w:eastAsia="zh-CN"/>
        </w:rPr>
        <w:t>柳江区</w:t>
      </w:r>
      <w:r>
        <w:rPr>
          <w:rFonts w:cs="Times New Roman"/>
          <w:color w:val="auto"/>
          <w:highlight w:val="none"/>
        </w:rPr>
        <w:t>水土保持区划、县级水土流失重点防治区进行划定，确定了总体布局与目标，分区拟定了水土保持防治措施布局，提出了预防、治理、监测、监管和近期重点项目规划，在此基础上，依据《水土保持规划编制规范》（SL335-2014）等技术标准于202</w:t>
      </w:r>
      <w:r>
        <w:rPr>
          <w:rFonts w:hint="eastAsia" w:cs="Times New Roman"/>
          <w:color w:val="auto"/>
          <w:highlight w:val="none"/>
        </w:rPr>
        <w:t>2</w:t>
      </w:r>
      <w:r>
        <w:rPr>
          <w:rFonts w:cs="Times New Roman"/>
          <w:color w:val="auto"/>
          <w:highlight w:val="none"/>
        </w:rPr>
        <w:t>年</w:t>
      </w:r>
      <w:r>
        <w:rPr>
          <w:rFonts w:hint="eastAsia" w:cs="Times New Roman"/>
          <w:color w:val="auto"/>
          <w:highlight w:val="none"/>
          <w:lang w:val="en-US" w:eastAsia="zh-CN"/>
        </w:rPr>
        <w:t>12</w:t>
      </w:r>
      <w:r>
        <w:rPr>
          <w:rFonts w:cs="Times New Roman"/>
          <w:color w:val="auto"/>
          <w:highlight w:val="none"/>
        </w:rPr>
        <w:t>月编制完成了《</w:t>
      </w:r>
      <w:r>
        <w:rPr>
          <w:rFonts w:hint="eastAsia" w:cs="Times New Roman"/>
          <w:color w:val="auto"/>
          <w:highlight w:val="none"/>
          <w:lang w:eastAsia="zh-CN"/>
        </w:rPr>
        <w:t>柳江区</w:t>
      </w:r>
      <w:r>
        <w:rPr>
          <w:rFonts w:cs="Times New Roman"/>
          <w:color w:val="auto"/>
          <w:highlight w:val="none"/>
        </w:rPr>
        <w:t>水土保持规划（202</w:t>
      </w:r>
      <w:r>
        <w:rPr>
          <w:rFonts w:hint="eastAsia" w:cs="Times New Roman"/>
          <w:color w:val="auto"/>
          <w:highlight w:val="none"/>
        </w:rPr>
        <w:t>2</w:t>
      </w:r>
      <w:r>
        <w:rPr>
          <w:rFonts w:hint="eastAsia" w:cs="Times New Roman"/>
          <w:color w:val="auto"/>
          <w:highlight w:val="none"/>
          <w:lang w:eastAsia="zh-CN"/>
        </w:rPr>
        <w:t>—</w:t>
      </w:r>
      <w:r>
        <w:rPr>
          <w:rFonts w:cs="Times New Roman"/>
          <w:color w:val="auto"/>
          <w:highlight w:val="none"/>
        </w:rPr>
        <w:t>2030年）（征求意见稿）》。</w:t>
      </w:r>
    </w:p>
    <w:p>
      <w:pPr>
        <w:rPr>
          <w:rFonts w:cs="Times New Roman"/>
          <w:color w:val="auto"/>
          <w:highlight w:val="none"/>
        </w:rPr>
      </w:pPr>
      <w:r>
        <w:rPr>
          <w:rFonts w:hint="eastAsia" w:cs="Times New Roman"/>
          <w:color w:val="auto"/>
          <w:highlight w:val="none"/>
          <w:lang w:eastAsia="zh-CN"/>
        </w:rPr>
        <w:t>2022年</w:t>
      </w:r>
      <w:r>
        <w:rPr>
          <w:rFonts w:hint="eastAsia" w:cs="Times New Roman"/>
          <w:color w:val="auto"/>
          <w:highlight w:val="none"/>
          <w:lang w:val="en-US" w:eastAsia="zh-CN"/>
        </w:rPr>
        <w:t>12</w:t>
      </w:r>
      <w:r>
        <w:rPr>
          <w:rFonts w:hint="eastAsia" w:cs="Times New Roman"/>
          <w:color w:val="auto"/>
          <w:highlight w:val="none"/>
          <w:lang w:eastAsia="zh-CN"/>
        </w:rPr>
        <w:t>月柳州市柳江区水利局向柳江区各镇人民政府（街道办事处）、区机关各有关部门（县级各有关单位）发送《关于征求</w:t>
      </w:r>
      <w:r>
        <w:rPr>
          <w:rFonts w:hint="eastAsia" w:cs="Times New Roman"/>
          <w:color w:val="auto"/>
          <w:highlight w:val="none"/>
          <w:lang w:val="en-US" w:eastAsia="zh-CN"/>
        </w:rPr>
        <w:t>〈</w:t>
      </w:r>
      <w:r>
        <w:rPr>
          <w:rFonts w:hint="eastAsia" w:cs="Times New Roman"/>
          <w:color w:val="auto"/>
          <w:highlight w:val="none"/>
          <w:lang w:eastAsia="zh-CN"/>
        </w:rPr>
        <w:t>柳江区水土保持规划（2022—2030年）</w:t>
      </w:r>
      <w:r>
        <w:rPr>
          <w:rFonts w:hint="eastAsia" w:cs="Times New Roman"/>
          <w:color w:val="auto"/>
          <w:highlight w:val="none"/>
          <w:lang w:val="en-US" w:eastAsia="zh-CN"/>
        </w:rPr>
        <w:t>〉</w:t>
      </w:r>
      <w:r>
        <w:rPr>
          <w:rFonts w:hint="eastAsia" w:cs="Times New Roman"/>
          <w:color w:val="auto"/>
          <w:highlight w:val="none"/>
          <w:lang w:eastAsia="zh-CN"/>
        </w:rPr>
        <w:t>修改意见的函》，柳州市</w:t>
      </w:r>
      <w:r>
        <w:rPr>
          <w:rFonts w:hint="eastAsia" w:cs="Times New Roman"/>
          <w:color w:val="auto"/>
          <w:highlight w:val="none"/>
          <w:lang w:val="en-US" w:eastAsia="zh-CN"/>
        </w:rPr>
        <w:t>柳江区财政局、发改局、行政审批局、自然资源局、农业农村局、乡村振兴局、住房城乡建设局、交通运输局、气象局、文体广电旅游局、统计局、科技局、工业和信息化局、税务局、生态环境局、开发区管委会、国有农垦新兴农场、</w:t>
      </w:r>
      <w:r>
        <w:rPr>
          <w:rFonts w:hint="eastAsia" w:cs="Times New Roman"/>
          <w:color w:val="auto"/>
          <w:highlight w:val="none"/>
          <w:lang w:eastAsia="zh-CN"/>
        </w:rPr>
        <w:t>拉堡镇、进德镇、成团镇、百朋镇、三都镇、土博镇、里高镇、穿山镇等2</w:t>
      </w:r>
      <w:r>
        <w:rPr>
          <w:rFonts w:hint="eastAsia" w:cs="Times New Roman"/>
          <w:color w:val="auto"/>
          <w:highlight w:val="none"/>
          <w:lang w:val="en-US" w:eastAsia="zh-CN"/>
        </w:rPr>
        <w:t>5</w:t>
      </w:r>
      <w:r>
        <w:rPr>
          <w:rFonts w:hint="eastAsia" w:cs="Times New Roman"/>
          <w:color w:val="auto"/>
          <w:highlight w:val="none"/>
          <w:lang w:eastAsia="zh-CN"/>
        </w:rPr>
        <w:t>个单位及社会公众的反馈意见，其中除</w:t>
      </w:r>
      <w:r>
        <w:rPr>
          <w:rFonts w:hint="eastAsia" w:cs="Times New Roman"/>
          <w:color w:val="auto"/>
          <w:highlight w:val="none"/>
          <w:lang w:val="en-US" w:eastAsia="zh-CN"/>
        </w:rPr>
        <w:t>柳江区行政审批局对2021年和2022年的审批生产建设项目水土保持方案个数及防治责任范围有修改意见</w:t>
      </w:r>
      <w:r>
        <w:rPr>
          <w:rFonts w:cs="Times New Roman"/>
          <w:color w:val="auto"/>
          <w:highlight w:val="none"/>
        </w:rPr>
        <w:t>外，其他单位和部门无意见。本规划投资匡算由预防保护、综合治理、水土保持监测、综合监管等4部分组成，</w:t>
      </w:r>
      <w:r>
        <w:rPr>
          <w:rFonts w:hint="eastAsia" w:cs="Times New Roman"/>
          <w:color w:val="auto"/>
          <w:highlight w:val="none"/>
        </w:rPr>
        <w:t>4</w:t>
      </w:r>
      <w:r>
        <w:rPr>
          <w:rFonts w:cs="Times New Roman"/>
          <w:color w:val="auto"/>
          <w:highlight w:val="none"/>
        </w:rPr>
        <w:t>部分投资</w:t>
      </w:r>
      <w:r>
        <w:rPr>
          <w:rFonts w:hint="eastAsia" w:cs="Times New Roman"/>
          <w:color w:val="auto"/>
          <w:highlight w:val="none"/>
        </w:rPr>
        <w:t>均</w:t>
      </w:r>
      <w:r>
        <w:rPr>
          <w:rFonts w:cs="Times New Roman"/>
          <w:color w:val="auto"/>
          <w:highlight w:val="none"/>
        </w:rPr>
        <w:t>以地方财政资金为主。</w:t>
      </w:r>
    </w:p>
    <w:p>
      <w:pPr>
        <w:rPr>
          <w:rFonts w:cs="Times New Roman"/>
          <w:color w:val="auto"/>
          <w:highlight w:val="none"/>
        </w:rPr>
      </w:pPr>
      <w:r>
        <w:rPr>
          <w:rFonts w:cs="Times New Roman"/>
          <w:color w:val="auto"/>
          <w:highlight w:val="none"/>
        </w:rPr>
        <w:t>《规划》紧紧围绕新时代生态文明建设对水土保持的要求，践行水利改革发展总基调，着力落实水土保持强监管，在完成</w:t>
      </w:r>
      <w:r>
        <w:rPr>
          <w:rFonts w:hint="eastAsia" w:cs="Times New Roman"/>
          <w:color w:val="auto"/>
          <w:highlight w:val="none"/>
          <w:lang w:eastAsia="zh-CN"/>
        </w:rPr>
        <w:t>柳江区</w:t>
      </w:r>
      <w:r>
        <w:rPr>
          <w:rFonts w:cs="Times New Roman"/>
          <w:color w:val="auto"/>
          <w:highlight w:val="none"/>
        </w:rPr>
        <w:t>涉及全国水土保持规划、广西水土保持规划、</w:t>
      </w:r>
      <w:r>
        <w:rPr>
          <w:rFonts w:hint="eastAsia" w:cs="Times New Roman"/>
          <w:color w:val="auto"/>
          <w:highlight w:val="none"/>
        </w:rPr>
        <w:t>柳州</w:t>
      </w:r>
      <w:r>
        <w:rPr>
          <w:rFonts w:cs="Times New Roman"/>
          <w:color w:val="auto"/>
          <w:highlight w:val="none"/>
        </w:rPr>
        <w:t>市水土保持规划既定任务的同时，以防治水土流失、保护和合理开发、利用水土资源为主线，探索符合</w:t>
      </w:r>
      <w:r>
        <w:rPr>
          <w:rFonts w:hint="eastAsia" w:cs="Times New Roman"/>
          <w:color w:val="auto"/>
          <w:highlight w:val="none"/>
          <w:lang w:eastAsia="zh-CN"/>
        </w:rPr>
        <w:t>柳江区</w:t>
      </w:r>
      <w:r>
        <w:rPr>
          <w:rFonts w:cs="Times New Roman"/>
          <w:color w:val="auto"/>
          <w:highlight w:val="none"/>
        </w:rPr>
        <w:t>实际情况的水土流失综合防治途径，为</w:t>
      </w:r>
      <w:r>
        <w:rPr>
          <w:rFonts w:hint="eastAsia" w:cs="Times New Roman"/>
          <w:color w:val="auto"/>
          <w:highlight w:val="none"/>
          <w:lang w:eastAsia="zh-CN"/>
        </w:rPr>
        <w:t>柳江区</w:t>
      </w:r>
      <w:r>
        <w:rPr>
          <w:rFonts w:cs="Times New Roman"/>
          <w:color w:val="auto"/>
          <w:highlight w:val="none"/>
        </w:rPr>
        <w:t>开展水土流失防治、保障饮水安全、改善人居环境、规范生产建设行为、增强防灾减灾能力提供支撑和保障，指导</w:t>
      </w:r>
      <w:r>
        <w:rPr>
          <w:rFonts w:hint="eastAsia" w:cs="Times New Roman"/>
          <w:color w:val="auto"/>
          <w:highlight w:val="none"/>
          <w:lang w:eastAsia="zh-CN"/>
        </w:rPr>
        <w:t>柳江区</w:t>
      </w:r>
      <w:r>
        <w:rPr>
          <w:rFonts w:cs="Times New Roman"/>
          <w:color w:val="auto"/>
          <w:highlight w:val="none"/>
        </w:rPr>
        <w:t>今后一段时期的水土保持工作。</w:t>
      </w:r>
    </w:p>
    <w:p>
      <w:pPr>
        <w:rPr>
          <w:rFonts w:cs="Times New Roman"/>
          <w:color w:val="auto"/>
          <w:highlight w:val="none"/>
        </w:rPr>
        <w:sectPr>
          <w:pgSz w:w="11906" w:h="16838"/>
          <w:pgMar w:top="1440" w:right="1797" w:bottom="1440" w:left="1797" w:header="851" w:footer="992" w:gutter="0"/>
          <w:pgNumType w:fmt="numberInDash" w:start="1"/>
          <w:cols w:space="425" w:num="1"/>
          <w:docGrid w:type="lines" w:linePitch="312" w:charSpace="0"/>
        </w:sectPr>
      </w:pPr>
      <w:r>
        <w:rPr>
          <w:rFonts w:cs="Times New Roman"/>
          <w:color w:val="auto"/>
          <w:highlight w:val="none"/>
        </w:rPr>
        <w:t>本《规划》编制工作得到了</w:t>
      </w:r>
      <w:r>
        <w:rPr>
          <w:rFonts w:hint="eastAsia" w:cs="Times New Roman"/>
          <w:color w:val="auto"/>
          <w:highlight w:val="none"/>
          <w:lang w:eastAsia="zh-CN"/>
        </w:rPr>
        <w:t>柳江区</w:t>
      </w:r>
      <w:r>
        <w:rPr>
          <w:rFonts w:cs="Times New Roman"/>
          <w:color w:val="auto"/>
          <w:highlight w:val="none"/>
        </w:rPr>
        <w:t>人民政府、各乡（镇）人民政府、</w:t>
      </w:r>
      <w:r>
        <w:rPr>
          <w:rFonts w:hint="eastAsia" w:cs="Times New Roman"/>
          <w:color w:val="auto"/>
          <w:highlight w:val="none"/>
          <w:lang w:eastAsia="zh-CN"/>
        </w:rPr>
        <w:t>柳江区</w:t>
      </w:r>
      <w:r>
        <w:rPr>
          <w:rFonts w:cs="Times New Roman"/>
          <w:color w:val="auto"/>
          <w:highlight w:val="none"/>
        </w:rPr>
        <w:t>发展改革局、</w:t>
      </w:r>
      <w:r>
        <w:rPr>
          <w:rFonts w:hint="eastAsia" w:cs="Times New Roman"/>
          <w:color w:val="auto"/>
          <w:highlight w:val="none"/>
          <w:lang w:val="en-US" w:eastAsia="zh-CN"/>
        </w:rPr>
        <w:t>柳州市柳江区</w:t>
      </w:r>
      <w:r>
        <w:rPr>
          <w:rFonts w:hint="eastAsia" w:cs="Times New Roman"/>
          <w:color w:val="auto"/>
          <w:highlight w:val="none"/>
        </w:rPr>
        <w:t>生态环境</w:t>
      </w:r>
      <w:r>
        <w:rPr>
          <w:rFonts w:cs="Times New Roman"/>
          <w:color w:val="auto"/>
          <w:highlight w:val="none"/>
        </w:rPr>
        <w:t>局、</w:t>
      </w:r>
      <w:r>
        <w:rPr>
          <w:rFonts w:hint="eastAsia" w:cs="Times New Roman"/>
          <w:color w:val="auto"/>
          <w:highlight w:val="none"/>
          <w:lang w:eastAsia="zh-CN"/>
        </w:rPr>
        <w:t>柳江区</w:t>
      </w:r>
      <w:r>
        <w:rPr>
          <w:rFonts w:cs="Times New Roman"/>
          <w:color w:val="auto"/>
          <w:highlight w:val="none"/>
        </w:rPr>
        <w:t>自然资源局等有关单位的大力支持与协助，在此表示衷心的感谢！</w:t>
      </w:r>
    </w:p>
    <w:p>
      <w:pPr>
        <w:ind w:firstLine="0" w:firstLineChars="0"/>
        <w:jc w:val="both"/>
        <w:rPr>
          <w:rFonts w:eastAsia="黑体" w:cs="Times New Roman"/>
          <w:color w:val="auto"/>
          <w:sz w:val="32"/>
          <w:szCs w:val="32"/>
          <w:highlight w:val="none"/>
          <w:lang w:val="en-GB"/>
        </w:rPr>
        <w:sectPr>
          <w:footerReference r:id="rId4" w:type="default"/>
          <w:type w:val="continuous"/>
          <w:pgSz w:w="11906" w:h="16838"/>
          <w:pgMar w:top="1440" w:right="1797" w:bottom="1440" w:left="1797" w:header="851" w:footer="992" w:gutter="0"/>
          <w:pgNumType w:fmt="numberInDash" w:start="1"/>
          <w:cols w:space="425" w:num="1"/>
          <w:docGrid w:type="lines" w:linePitch="312" w:charSpace="0"/>
        </w:sectPr>
      </w:pPr>
    </w:p>
    <w:p>
      <w:pPr>
        <w:snapToGrid w:val="0"/>
        <w:spacing w:line="480" w:lineRule="auto"/>
        <w:ind w:firstLine="0" w:firstLineChars="0"/>
        <w:jc w:val="left"/>
        <w:rPr>
          <w:rFonts w:cs="Times New Roman"/>
          <w:bCs/>
          <w:color w:val="auto"/>
          <w:sz w:val="30"/>
          <w:szCs w:val="30"/>
          <w:highlight w:val="none"/>
        </w:rPr>
      </w:pPr>
    </w:p>
    <w:sdt>
      <w:sdtPr>
        <w:rPr>
          <w:rFonts w:ascii="Times New Roman" w:hAnsi="Times New Roman" w:eastAsia="仿宋" w:cs="Times New Roman"/>
          <w:color w:val="auto"/>
          <w:kern w:val="2"/>
          <w:sz w:val="28"/>
          <w:szCs w:val="28"/>
          <w:highlight w:val="none"/>
          <w:lang w:val="zh-CN"/>
        </w:rPr>
        <w:id w:val="-846483387"/>
        <w:docPartObj>
          <w:docPartGallery w:val="Table of Contents"/>
          <w:docPartUnique/>
        </w:docPartObj>
      </w:sdtPr>
      <w:sdtEndPr>
        <w:rPr>
          <w:rFonts w:ascii="Times New Roman" w:hAnsi="Times New Roman" w:eastAsia="仿宋" w:cs="Times New Roman"/>
          <w:b/>
          <w:bCs/>
          <w:color w:val="auto"/>
          <w:kern w:val="2"/>
          <w:sz w:val="28"/>
          <w:szCs w:val="28"/>
          <w:highlight w:val="none"/>
          <w:lang w:val="zh-CN"/>
        </w:rPr>
      </w:sdtEndPr>
      <w:sdtContent>
        <w:p>
          <w:pPr>
            <w:pStyle w:val="59"/>
            <w:jc w:val="center"/>
            <w:rPr>
              <w:rFonts w:ascii="Times New Roman" w:hAnsi="Times New Roman" w:cs="Times New Roman"/>
              <w:b/>
              <w:bCs/>
              <w:color w:val="auto"/>
              <w:highlight w:val="none"/>
            </w:rPr>
          </w:pPr>
          <w:r>
            <w:rPr>
              <w:rFonts w:ascii="Times New Roman" w:hAnsi="Times New Roman" w:cs="Times New Roman"/>
              <w:b/>
              <w:bCs/>
              <w:color w:val="auto"/>
              <w:highlight w:val="none"/>
              <w:lang w:val="zh-CN"/>
            </w:rPr>
            <w:t>目录</w:t>
          </w:r>
        </w:p>
        <w:p>
          <w:pPr>
            <w:pStyle w:val="26"/>
            <w:tabs>
              <w:tab w:val="right" w:leader="dot" w:pos="8312"/>
              <w:tab w:val="clear" w:pos="8302"/>
            </w:tabs>
            <w:jc w:val="both"/>
            <w:rPr>
              <w:color w:val="auto"/>
              <w:highlight w:val="none"/>
            </w:rPr>
          </w:pPr>
          <w:r>
            <w:rPr>
              <w:rFonts w:cs="Times New Roman"/>
              <w:color w:val="auto"/>
              <w:highlight w:val="none"/>
            </w:rPr>
            <w:fldChar w:fldCharType="begin"/>
          </w:r>
          <w:r>
            <w:rPr>
              <w:rFonts w:cs="Times New Roman"/>
              <w:color w:val="auto"/>
              <w:highlight w:val="none"/>
            </w:rPr>
            <w:instrText xml:space="preserve"> TOC \o "1-3" \h \z \u </w:instrText>
          </w:r>
          <w:r>
            <w:rPr>
              <w:rFonts w:cs="Times New Roman"/>
              <w:color w:val="auto"/>
              <w:highlight w:val="none"/>
            </w:rPr>
            <w:fldChar w:fldCharType="separate"/>
          </w:r>
          <w:r>
            <w:rPr>
              <w:rFonts w:cs="Times New Roman"/>
              <w:color w:val="auto"/>
              <w:highlight w:val="none"/>
            </w:rPr>
            <w:fldChar w:fldCharType="begin"/>
          </w:r>
          <w:r>
            <w:rPr>
              <w:rFonts w:cs="Times New Roman"/>
              <w:color w:val="auto"/>
              <w:highlight w:val="none"/>
            </w:rPr>
            <w:instrText xml:space="preserve"> HYPERLINK \l _Toc23956 </w:instrText>
          </w:r>
          <w:r>
            <w:rPr>
              <w:rFonts w:cs="Times New Roman"/>
              <w:color w:val="auto"/>
              <w:highlight w:val="none"/>
            </w:rPr>
            <w:fldChar w:fldCharType="separate"/>
          </w:r>
          <w:r>
            <w:rPr>
              <w:color w:val="auto"/>
              <w:highlight w:val="none"/>
              <w:lang w:val="en-US"/>
            </w:rPr>
            <w:t>1.1基本情况</w:t>
          </w:r>
          <w:r>
            <w:rPr>
              <w:color w:val="auto"/>
              <w:highlight w:val="none"/>
            </w:rPr>
            <w:tab/>
          </w:r>
          <w:r>
            <w:rPr>
              <w:color w:val="auto"/>
              <w:highlight w:val="none"/>
            </w:rPr>
            <w:fldChar w:fldCharType="begin"/>
          </w:r>
          <w:r>
            <w:rPr>
              <w:color w:val="auto"/>
              <w:highlight w:val="none"/>
            </w:rPr>
            <w:instrText xml:space="preserve"> PAGEREF _Toc23956 \h </w:instrText>
          </w:r>
          <w:r>
            <w:rPr>
              <w:color w:val="auto"/>
              <w:highlight w:val="none"/>
            </w:rPr>
            <w:fldChar w:fldCharType="separate"/>
          </w:r>
          <w:r>
            <w:rPr>
              <w:color w:val="auto"/>
              <w:highlight w:val="none"/>
            </w:rPr>
            <w:t>1</w:t>
          </w:r>
          <w:r>
            <w:rPr>
              <w:color w:val="auto"/>
              <w:highlight w:val="none"/>
            </w:rPr>
            <w:fldChar w:fldCharType="end"/>
          </w:r>
          <w:r>
            <w:rPr>
              <w:rFonts w:cs="Times New Roman"/>
              <w:color w:val="auto"/>
              <w:highlight w:val="none"/>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_Toc11657 </w:instrText>
          </w:r>
          <w:r>
            <w:rPr>
              <w:rFonts w:cs="Times New Roman"/>
              <w:bCs/>
              <w:color w:val="auto"/>
              <w:highlight w:val="none"/>
              <w:lang w:val="zh-CN"/>
            </w:rPr>
            <w:fldChar w:fldCharType="separate"/>
          </w:r>
          <w:r>
            <w:rPr>
              <w:color w:val="auto"/>
              <w:highlight w:val="none"/>
              <w:lang w:val="en-US"/>
            </w:rPr>
            <w:t>1.1.1</w:t>
          </w:r>
          <w:r>
            <w:rPr>
              <w:color w:val="auto"/>
              <w:highlight w:val="none"/>
              <w:lang w:val="en-GB"/>
            </w:rPr>
            <w:t>自然条件</w:t>
          </w:r>
          <w:r>
            <w:rPr>
              <w:color w:val="auto"/>
              <w:highlight w:val="none"/>
            </w:rPr>
            <w:tab/>
          </w:r>
          <w:r>
            <w:rPr>
              <w:color w:val="auto"/>
              <w:highlight w:val="none"/>
            </w:rPr>
            <w:fldChar w:fldCharType="begin"/>
          </w:r>
          <w:r>
            <w:rPr>
              <w:color w:val="auto"/>
              <w:highlight w:val="none"/>
            </w:rPr>
            <w:instrText xml:space="preserve"> PAGEREF _Toc11657 \h </w:instrText>
          </w:r>
          <w:r>
            <w:rPr>
              <w:color w:val="auto"/>
              <w:highlight w:val="none"/>
            </w:rPr>
            <w:fldChar w:fldCharType="separate"/>
          </w:r>
          <w:r>
            <w:rPr>
              <w:color w:val="auto"/>
              <w:highlight w:val="none"/>
            </w:rPr>
            <w:t>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_Toc24012 </w:instrText>
          </w:r>
          <w:r>
            <w:rPr>
              <w:rFonts w:cs="Times New Roman"/>
              <w:bCs/>
              <w:color w:val="auto"/>
              <w:highlight w:val="none"/>
              <w:lang w:val="zh-CN"/>
            </w:rPr>
            <w:fldChar w:fldCharType="separate"/>
          </w:r>
          <w:r>
            <w:rPr>
              <w:color w:val="auto"/>
              <w:highlight w:val="none"/>
              <w:lang w:val="en-US"/>
            </w:rPr>
            <w:t>1.1.2社会经济</w:t>
          </w:r>
          <w:r>
            <w:rPr>
              <w:color w:val="auto"/>
              <w:highlight w:val="none"/>
            </w:rPr>
            <w:tab/>
          </w:r>
          <w:r>
            <w:rPr>
              <w:color w:val="auto"/>
              <w:highlight w:val="none"/>
            </w:rPr>
            <w:fldChar w:fldCharType="begin"/>
          </w:r>
          <w:r>
            <w:rPr>
              <w:color w:val="auto"/>
              <w:highlight w:val="none"/>
            </w:rPr>
            <w:instrText xml:space="preserve"> PAGEREF _Toc24012 \h </w:instrText>
          </w:r>
          <w:r>
            <w:rPr>
              <w:color w:val="auto"/>
              <w:highlight w:val="none"/>
            </w:rPr>
            <w:fldChar w:fldCharType="separate"/>
          </w:r>
          <w:r>
            <w:rPr>
              <w:color w:val="auto"/>
              <w:highlight w:val="none"/>
            </w:rPr>
            <w:t>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_Toc11791 </w:instrText>
          </w:r>
          <w:r>
            <w:rPr>
              <w:rFonts w:cs="Times New Roman"/>
              <w:bCs/>
              <w:color w:val="auto"/>
              <w:highlight w:val="none"/>
              <w:lang w:val="zh-CN"/>
            </w:rPr>
            <w:fldChar w:fldCharType="separate"/>
          </w:r>
          <w:r>
            <w:rPr>
              <w:color w:val="auto"/>
              <w:highlight w:val="none"/>
              <w:lang w:val="en-GB"/>
            </w:rPr>
            <w:t>1.1.</w:t>
          </w:r>
          <w:r>
            <w:rPr>
              <w:color w:val="auto"/>
              <w:highlight w:val="none"/>
              <w:lang w:val="en-US"/>
            </w:rPr>
            <w:t>3</w:t>
          </w:r>
          <w:r>
            <w:rPr>
              <w:color w:val="auto"/>
              <w:highlight w:val="none"/>
              <w:lang w:val="en-GB"/>
            </w:rPr>
            <w:t>水土流失现状</w:t>
          </w:r>
          <w:r>
            <w:rPr>
              <w:color w:val="auto"/>
              <w:highlight w:val="none"/>
            </w:rPr>
            <w:tab/>
          </w:r>
          <w:r>
            <w:rPr>
              <w:color w:val="auto"/>
              <w:highlight w:val="none"/>
            </w:rPr>
            <w:fldChar w:fldCharType="begin"/>
          </w:r>
          <w:r>
            <w:rPr>
              <w:color w:val="auto"/>
              <w:highlight w:val="none"/>
            </w:rPr>
            <w:instrText xml:space="preserve"> PAGEREF _Toc11791 \h </w:instrText>
          </w:r>
          <w:r>
            <w:rPr>
              <w:color w:val="auto"/>
              <w:highlight w:val="none"/>
            </w:rPr>
            <w:fldChar w:fldCharType="separate"/>
          </w:r>
          <w:r>
            <w:rPr>
              <w:color w:val="auto"/>
              <w:highlight w:val="none"/>
            </w:rPr>
            <w:t>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_Toc5587 </w:instrText>
          </w:r>
          <w:r>
            <w:rPr>
              <w:rFonts w:cs="Times New Roman"/>
              <w:bCs/>
              <w:color w:val="auto"/>
              <w:highlight w:val="none"/>
              <w:lang w:val="zh-CN"/>
            </w:rPr>
            <w:fldChar w:fldCharType="separate"/>
          </w:r>
          <w:r>
            <w:rPr>
              <w:color w:val="auto"/>
              <w:highlight w:val="none"/>
              <w:lang w:val="en-GB"/>
            </w:rPr>
            <w:t>1.1.</w:t>
          </w:r>
          <w:r>
            <w:rPr>
              <w:color w:val="auto"/>
              <w:highlight w:val="none"/>
              <w:lang w:val="en-US"/>
            </w:rPr>
            <w:t>4水土保持</w:t>
          </w:r>
          <w:r>
            <w:rPr>
              <w:color w:val="auto"/>
              <w:highlight w:val="none"/>
              <w:lang w:val="en-GB"/>
            </w:rPr>
            <w:t>现状</w:t>
          </w:r>
          <w:r>
            <w:rPr>
              <w:color w:val="auto"/>
              <w:highlight w:val="none"/>
            </w:rPr>
            <w:tab/>
          </w:r>
          <w:r>
            <w:rPr>
              <w:color w:val="auto"/>
              <w:highlight w:val="none"/>
            </w:rPr>
            <w:fldChar w:fldCharType="begin"/>
          </w:r>
          <w:r>
            <w:rPr>
              <w:color w:val="auto"/>
              <w:highlight w:val="none"/>
            </w:rPr>
            <w:instrText xml:space="preserve"> PAGEREF _Toc5587 \h </w:instrText>
          </w:r>
          <w:r>
            <w:rPr>
              <w:color w:val="auto"/>
              <w:highlight w:val="none"/>
            </w:rPr>
            <w:fldChar w:fldCharType="separate"/>
          </w:r>
          <w:r>
            <w:rPr>
              <w:color w:val="auto"/>
              <w:highlight w:val="none"/>
            </w:rPr>
            <w:t>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_Toc8652 </w:instrText>
          </w:r>
          <w:r>
            <w:rPr>
              <w:rFonts w:cs="Times New Roman"/>
              <w:bCs/>
              <w:color w:val="auto"/>
              <w:highlight w:val="none"/>
              <w:lang w:val="zh-CN"/>
            </w:rPr>
            <w:fldChar w:fldCharType="separate"/>
          </w:r>
          <w:r>
            <w:rPr>
              <w:color w:val="auto"/>
              <w:highlight w:val="none"/>
            </w:rPr>
            <w:t>1.2水土保持现状评价与需求分析</w:t>
          </w:r>
          <w:r>
            <w:rPr>
              <w:color w:val="auto"/>
              <w:highlight w:val="none"/>
            </w:rPr>
            <w:tab/>
          </w:r>
          <w:r>
            <w:rPr>
              <w:color w:val="auto"/>
              <w:highlight w:val="none"/>
            </w:rPr>
            <w:fldChar w:fldCharType="begin"/>
          </w:r>
          <w:r>
            <w:rPr>
              <w:color w:val="auto"/>
              <w:highlight w:val="none"/>
            </w:rPr>
            <w:instrText xml:space="preserve"> PAGEREF _Toc8652 \h </w:instrText>
          </w:r>
          <w:r>
            <w:rPr>
              <w:color w:val="auto"/>
              <w:highlight w:val="none"/>
            </w:rPr>
            <w:fldChar w:fldCharType="separate"/>
          </w:r>
          <w:r>
            <w:rPr>
              <w:color w:val="auto"/>
              <w:highlight w:val="none"/>
            </w:rPr>
            <w:t>4</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_Toc3397 </w:instrText>
          </w:r>
          <w:r>
            <w:rPr>
              <w:rFonts w:cs="Times New Roman"/>
              <w:bCs/>
              <w:color w:val="auto"/>
              <w:highlight w:val="none"/>
              <w:lang w:val="zh-CN"/>
            </w:rPr>
            <w:fldChar w:fldCharType="separate"/>
          </w:r>
          <w:r>
            <w:rPr>
              <w:color w:val="auto"/>
              <w:highlight w:val="none"/>
            </w:rPr>
            <w:t>1.3规划</w:t>
          </w:r>
          <w:r>
            <w:rPr>
              <w:color w:val="auto"/>
              <w:highlight w:val="none"/>
              <w:lang w:val="en-US"/>
            </w:rPr>
            <w:t>水平年及</w:t>
          </w:r>
          <w:r>
            <w:rPr>
              <w:color w:val="auto"/>
              <w:highlight w:val="none"/>
            </w:rPr>
            <w:t>目标</w:t>
          </w:r>
          <w:r>
            <w:rPr>
              <w:color w:val="auto"/>
              <w:highlight w:val="none"/>
              <w:lang w:val="en-US"/>
            </w:rPr>
            <w:t>任务</w:t>
          </w:r>
          <w:r>
            <w:rPr>
              <w:color w:val="auto"/>
              <w:highlight w:val="none"/>
            </w:rPr>
            <w:tab/>
          </w:r>
          <w:r>
            <w:rPr>
              <w:color w:val="auto"/>
              <w:highlight w:val="none"/>
            </w:rPr>
            <w:fldChar w:fldCharType="begin"/>
          </w:r>
          <w:r>
            <w:rPr>
              <w:color w:val="auto"/>
              <w:highlight w:val="none"/>
            </w:rPr>
            <w:instrText xml:space="preserve"> PAGEREF _Toc3397 \h </w:instrText>
          </w:r>
          <w:r>
            <w:rPr>
              <w:color w:val="auto"/>
              <w:highlight w:val="none"/>
            </w:rPr>
            <w:fldChar w:fldCharType="separate"/>
          </w:r>
          <w:r>
            <w:rPr>
              <w:color w:val="auto"/>
              <w:highlight w:val="none"/>
            </w:rPr>
            <w:t>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_Toc20770 </w:instrText>
          </w:r>
          <w:r>
            <w:rPr>
              <w:rFonts w:cs="Times New Roman"/>
              <w:bCs/>
              <w:color w:val="auto"/>
              <w:highlight w:val="none"/>
              <w:lang w:val="zh-CN"/>
            </w:rPr>
            <w:fldChar w:fldCharType="separate"/>
          </w:r>
          <w:r>
            <w:rPr>
              <w:color w:val="auto"/>
              <w:highlight w:val="none"/>
              <w:lang w:val="en-GB"/>
            </w:rPr>
            <w:t>1.3.</w:t>
          </w:r>
          <w:r>
            <w:rPr>
              <w:color w:val="auto"/>
              <w:highlight w:val="none"/>
              <w:lang w:val="en-US"/>
            </w:rPr>
            <w:t>1</w:t>
          </w:r>
          <w:r>
            <w:rPr>
              <w:color w:val="auto"/>
              <w:highlight w:val="none"/>
              <w:lang w:val="en-GB"/>
            </w:rPr>
            <w:t>规划水平年</w:t>
          </w:r>
          <w:r>
            <w:rPr>
              <w:color w:val="auto"/>
              <w:highlight w:val="none"/>
            </w:rPr>
            <w:tab/>
          </w:r>
          <w:r>
            <w:rPr>
              <w:color w:val="auto"/>
              <w:highlight w:val="none"/>
            </w:rPr>
            <w:fldChar w:fldCharType="begin"/>
          </w:r>
          <w:r>
            <w:rPr>
              <w:color w:val="auto"/>
              <w:highlight w:val="none"/>
            </w:rPr>
            <w:instrText xml:space="preserve"> PAGEREF _Toc20770 \h </w:instrText>
          </w:r>
          <w:r>
            <w:rPr>
              <w:color w:val="auto"/>
              <w:highlight w:val="none"/>
            </w:rPr>
            <w:fldChar w:fldCharType="separate"/>
          </w:r>
          <w:r>
            <w:rPr>
              <w:color w:val="auto"/>
              <w:highlight w:val="none"/>
            </w:rPr>
            <w:t>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_Toc5472 </w:instrText>
          </w:r>
          <w:r>
            <w:rPr>
              <w:rFonts w:cs="Times New Roman"/>
              <w:bCs/>
              <w:color w:val="auto"/>
              <w:highlight w:val="none"/>
              <w:lang w:val="zh-CN"/>
            </w:rPr>
            <w:fldChar w:fldCharType="separate"/>
          </w:r>
          <w:r>
            <w:rPr>
              <w:color w:val="auto"/>
              <w:highlight w:val="none"/>
              <w:lang w:val="en-GB"/>
            </w:rPr>
            <w:t>1.3.</w:t>
          </w:r>
          <w:r>
            <w:rPr>
              <w:color w:val="auto"/>
              <w:highlight w:val="none"/>
              <w:lang w:val="en-US"/>
            </w:rPr>
            <w:t>2目标任务</w:t>
          </w:r>
          <w:r>
            <w:rPr>
              <w:color w:val="auto"/>
              <w:highlight w:val="none"/>
            </w:rPr>
            <w:tab/>
          </w:r>
          <w:r>
            <w:rPr>
              <w:color w:val="auto"/>
              <w:highlight w:val="none"/>
            </w:rPr>
            <w:fldChar w:fldCharType="begin"/>
          </w:r>
          <w:r>
            <w:rPr>
              <w:color w:val="auto"/>
              <w:highlight w:val="none"/>
            </w:rPr>
            <w:instrText xml:space="preserve"> PAGEREF _Toc5472 \h </w:instrText>
          </w:r>
          <w:r>
            <w:rPr>
              <w:color w:val="auto"/>
              <w:highlight w:val="none"/>
            </w:rPr>
            <w:fldChar w:fldCharType="separate"/>
          </w:r>
          <w:r>
            <w:rPr>
              <w:color w:val="auto"/>
              <w:highlight w:val="none"/>
            </w:rPr>
            <w:t>6</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_Toc28950 </w:instrText>
          </w:r>
          <w:r>
            <w:rPr>
              <w:rFonts w:cs="Times New Roman"/>
              <w:bCs/>
              <w:color w:val="auto"/>
              <w:highlight w:val="none"/>
              <w:lang w:val="zh-CN"/>
            </w:rPr>
            <w:fldChar w:fldCharType="separate"/>
          </w:r>
          <w:r>
            <w:rPr>
              <w:color w:val="auto"/>
              <w:highlight w:val="none"/>
            </w:rPr>
            <w:t>1.4总体布局</w:t>
          </w:r>
          <w:r>
            <w:rPr>
              <w:color w:val="auto"/>
              <w:highlight w:val="none"/>
            </w:rPr>
            <w:tab/>
          </w:r>
          <w:r>
            <w:rPr>
              <w:color w:val="auto"/>
              <w:highlight w:val="none"/>
            </w:rPr>
            <w:fldChar w:fldCharType="begin"/>
          </w:r>
          <w:r>
            <w:rPr>
              <w:color w:val="auto"/>
              <w:highlight w:val="none"/>
            </w:rPr>
            <w:instrText xml:space="preserve"> PAGEREF _Toc28950 \h </w:instrText>
          </w:r>
          <w:r>
            <w:rPr>
              <w:color w:val="auto"/>
              <w:highlight w:val="none"/>
            </w:rPr>
            <w:fldChar w:fldCharType="separate"/>
          </w:r>
          <w:r>
            <w:rPr>
              <w:color w:val="auto"/>
              <w:highlight w:val="none"/>
            </w:rPr>
            <w:t>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_Toc7378 </w:instrText>
          </w:r>
          <w:r>
            <w:rPr>
              <w:rFonts w:cs="Times New Roman"/>
              <w:bCs/>
              <w:color w:val="auto"/>
              <w:highlight w:val="none"/>
              <w:lang w:val="zh-CN"/>
            </w:rPr>
            <w:fldChar w:fldCharType="separate"/>
          </w:r>
          <w:r>
            <w:rPr>
              <w:color w:val="auto"/>
              <w:highlight w:val="none"/>
              <w:lang w:val="en-GB"/>
            </w:rPr>
            <w:t>1.4.1区域布局</w:t>
          </w:r>
          <w:r>
            <w:rPr>
              <w:color w:val="auto"/>
              <w:highlight w:val="none"/>
            </w:rPr>
            <w:tab/>
          </w:r>
          <w:r>
            <w:rPr>
              <w:color w:val="auto"/>
              <w:highlight w:val="none"/>
            </w:rPr>
            <w:fldChar w:fldCharType="begin"/>
          </w:r>
          <w:r>
            <w:rPr>
              <w:color w:val="auto"/>
              <w:highlight w:val="none"/>
            </w:rPr>
            <w:instrText xml:space="preserve"> PAGEREF _Toc7378 \h </w:instrText>
          </w:r>
          <w:r>
            <w:rPr>
              <w:color w:val="auto"/>
              <w:highlight w:val="none"/>
            </w:rPr>
            <w:fldChar w:fldCharType="separate"/>
          </w:r>
          <w:r>
            <w:rPr>
              <w:color w:val="auto"/>
              <w:highlight w:val="none"/>
            </w:rPr>
            <w:t>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_Toc29810 </w:instrText>
          </w:r>
          <w:r>
            <w:rPr>
              <w:rFonts w:cs="Times New Roman"/>
              <w:bCs/>
              <w:color w:val="auto"/>
              <w:highlight w:val="none"/>
              <w:lang w:val="zh-CN"/>
            </w:rPr>
            <w:fldChar w:fldCharType="separate"/>
          </w:r>
          <w:r>
            <w:rPr>
              <w:color w:val="auto"/>
              <w:highlight w:val="none"/>
              <w:lang w:val="en-GB"/>
            </w:rPr>
            <w:t>1.4.2重点布局</w:t>
          </w:r>
          <w:r>
            <w:rPr>
              <w:color w:val="auto"/>
              <w:highlight w:val="none"/>
            </w:rPr>
            <w:tab/>
          </w:r>
          <w:r>
            <w:rPr>
              <w:color w:val="auto"/>
              <w:highlight w:val="none"/>
            </w:rPr>
            <w:fldChar w:fldCharType="begin"/>
          </w:r>
          <w:r>
            <w:rPr>
              <w:color w:val="auto"/>
              <w:highlight w:val="none"/>
            </w:rPr>
            <w:instrText xml:space="preserve"> PAGEREF _Toc29810 \h </w:instrText>
          </w:r>
          <w:r>
            <w:rPr>
              <w:color w:val="auto"/>
              <w:highlight w:val="none"/>
            </w:rPr>
            <w:fldChar w:fldCharType="separate"/>
          </w:r>
          <w:r>
            <w:rPr>
              <w:color w:val="auto"/>
              <w:highlight w:val="none"/>
            </w:rPr>
            <w:t>8</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_Toc22217 </w:instrText>
          </w:r>
          <w:r>
            <w:rPr>
              <w:rFonts w:cs="Times New Roman"/>
              <w:bCs/>
              <w:color w:val="auto"/>
              <w:highlight w:val="none"/>
              <w:lang w:val="zh-CN"/>
            </w:rPr>
            <w:fldChar w:fldCharType="separate"/>
          </w:r>
          <w:r>
            <w:rPr>
              <w:color w:val="auto"/>
              <w:highlight w:val="none"/>
            </w:rPr>
            <w:t>1.5</w:t>
          </w:r>
          <w:r>
            <w:rPr>
              <w:color w:val="auto"/>
              <w:highlight w:val="none"/>
              <w:lang w:val="en-US"/>
            </w:rPr>
            <w:t>预防保护</w:t>
          </w:r>
          <w:r>
            <w:rPr>
              <w:color w:val="auto"/>
              <w:highlight w:val="none"/>
            </w:rPr>
            <w:tab/>
          </w:r>
          <w:r>
            <w:rPr>
              <w:color w:val="auto"/>
              <w:highlight w:val="none"/>
            </w:rPr>
            <w:fldChar w:fldCharType="begin"/>
          </w:r>
          <w:r>
            <w:rPr>
              <w:color w:val="auto"/>
              <w:highlight w:val="none"/>
            </w:rPr>
            <w:instrText xml:space="preserve"> PAGEREF _Toc22217 \h </w:instrText>
          </w:r>
          <w:r>
            <w:rPr>
              <w:color w:val="auto"/>
              <w:highlight w:val="none"/>
            </w:rPr>
            <w:fldChar w:fldCharType="separate"/>
          </w:r>
          <w:r>
            <w:rPr>
              <w:color w:val="auto"/>
              <w:highlight w:val="none"/>
            </w:rPr>
            <w:t>9</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_Toc18190 </w:instrText>
          </w:r>
          <w:r>
            <w:rPr>
              <w:rFonts w:cs="Times New Roman"/>
              <w:bCs/>
              <w:color w:val="auto"/>
              <w:highlight w:val="none"/>
              <w:lang w:val="zh-CN"/>
            </w:rPr>
            <w:fldChar w:fldCharType="separate"/>
          </w:r>
          <w:r>
            <w:rPr>
              <w:color w:val="auto"/>
              <w:highlight w:val="none"/>
            </w:rPr>
            <w:t>1.6</w:t>
          </w:r>
          <w:r>
            <w:rPr>
              <w:color w:val="auto"/>
              <w:highlight w:val="none"/>
              <w:lang w:val="en-US"/>
            </w:rPr>
            <w:t>综合治理</w:t>
          </w:r>
          <w:r>
            <w:rPr>
              <w:color w:val="auto"/>
              <w:highlight w:val="none"/>
            </w:rPr>
            <w:tab/>
          </w:r>
          <w:r>
            <w:rPr>
              <w:color w:val="auto"/>
              <w:highlight w:val="none"/>
            </w:rPr>
            <w:fldChar w:fldCharType="begin"/>
          </w:r>
          <w:r>
            <w:rPr>
              <w:color w:val="auto"/>
              <w:highlight w:val="none"/>
            </w:rPr>
            <w:instrText xml:space="preserve"> PAGEREF _Toc18190 \h </w:instrText>
          </w:r>
          <w:r>
            <w:rPr>
              <w:color w:val="auto"/>
              <w:highlight w:val="none"/>
            </w:rPr>
            <w:fldChar w:fldCharType="separate"/>
          </w:r>
          <w:r>
            <w:rPr>
              <w:color w:val="auto"/>
              <w:highlight w:val="none"/>
            </w:rPr>
            <w:t>10</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_Toc30614 </w:instrText>
          </w:r>
          <w:r>
            <w:rPr>
              <w:rFonts w:cs="Times New Roman"/>
              <w:bCs/>
              <w:color w:val="auto"/>
              <w:highlight w:val="none"/>
              <w:lang w:val="zh-CN"/>
            </w:rPr>
            <w:fldChar w:fldCharType="separate"/>
          </w:r>
          <w:r>
            <w:rPr>
              <w:color w:val="auto"/>
              <w:highlight w:val="none"/>
            </w:rPr>
            <w:t>1.7监测规划</w:t>
          </w:r>
          <w:r>
            <w:rPr>
              <w:color w:val="auto"/>
              <w:highlight w:val="none"/>
            </w:rPr>
            <w:tab/>
          </w:r>
          <w:r>
            <w:rPr>
              <w:color w:val="auto"/>
              <w:highlight w:val="none"/>
            </w:rPr>
            <w:fldChar w:fldCharType="begin"/>
          </w:r>
          <w:r>
            <w:rPr>
              <w:color w:val="auto"/>
              <w:highlight w:val="none"/>
            </w:rPr>
            <w:instrText xml:space="preserve"> PAGEREF _Toc30614 \h </w:instrText>
          </w:r>
          <w:r>
            <w:rPr>
              <w:color w:val="auto"/>
              <w:highlight w:val="none"/>
            </w:rPr>
            <w:fldChar w:fldCharType="separate"/>
          </w:r>
          <w:r>
            <w:rPr>
              <w:color w:val="auto"/>
              <w:highlight w:val="none"/>
            </w:rPr>
            <w:t>11</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_Toc19559 </w:instrText>
          </w:r>
          <w:r>
            <w:rPr>
              <w:rFonts w:cs="Times New Roman"/>
              <w:bCs/>
              <w:color w:val="auto"/>
              <w:highlight w:val="none"/>
              <w:lang w:val="zh-CN"/>
            </w:rPr>
            <w:fldChar w:fldCharType="separate"/>
          </w:r>
          <w:r>
            <w:rPr>
              <w:color w:val="auto"/>
              <w:highlight w:val="none"/>
            </w:rPr>
            <w:t>1.8综合监管</w:t>
          </w:r>
          <w:r>
            <w:rPr>
              <w:color w:val="auto"/>
              <w:highlight w:val="none"/>
            </w:rPr>
            <w:tab/>
          </w:r>
          <w:r>
            <w:rPr>
              <w:color w:val="auto"/>
              <w:highlight w:val="none"/>
            </w:rPr>
            <w:fldChar w:fldCharType="begin"/>
          </w:r>
          <w:r>
            <w:rPr>
              <w:color w:val="auto"/>
              <w:highlight w:val="none"/>
            </w:rPr>
            <w:instrText xml:space="preserve"> PAGEREF _Toc19559 \h </w:instrText>
          </w:r>
          <w:r>
            <w:rPr>
              <w:color w:val="auto"/>
              <w:highlight w:val="none"/>
            </w:rPr>
            <w:fldChar w:fldCharType="separate"/>
          </w:r>
          <w:r>
            <w:rPr>
              <w:color w:val="auto"/>
              <w:highlight w:val="none"/>
            </w:rPr>
            <w:t>11</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_Toc7018 </w:instrText>
          </w:r>
          <w:r>
            <w:rPr>
              <w:rFonts w:cs="Times New Roman"/>
              <w:bCs/>
              <w:color w:val="auto"/>
              <w:highlight w:val="none"/>
              <w:lang w:val="zh-CN"/>
            </w:rPr>
            <w:fldChar w:fldCharType="separate"/>
          </w:r>
          <w:r>
            <w:rPr>
              <w:color w:val="auto"/>
              <w:highlight w:val="none"/>
            </w:rPr>
            <w:t>1.9实施进度及投资匡算</w:t>
          </w:r>
          <w:r>
            <w:rPr>
              <w:color w:val="auto"/>
              <w:highlight w:val="none"/>
            </w:rPr>
            <w:tab/>
          </w:r>
          <w:r>
            <w:rPr>
              <w:color w:val="auto"/>
              <w:highlight w:val="none"/>
            </w:rPr>
            <w:fldChar w:fldCharType="begin"/>
          </w:r>
          <w:r>
            <w:rPr>
              <w:color w:val="auto"/>
              <w:highlight w:val="none"/>
            </w:rPr>
            <w:instrText xml:space="preserve"> PAGEREF _Toc7018 \h </w:instrText>
          </w:r>
          <w:r>
            <w:rPr>
              <w:color w:val="auto"/>
              <w:highlight w:val="none"/>
            </w:rPr>
            <w:fldChar w:fldCharType="separate"/>
          </w:r>
          <w:r>
            <w:rPr>
              <w:color w:val="auto"/>
              <w:highlight w:val="none"/>
            </w:rPr>
            <w:t>12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_Toc1004 </w:instrText>
          </w:r>
          <w:r>
            <w:rPr>
              <w:rFonts w:cs="Times New Roman"/>
              <w:bCs/>
              <w:color w:val="auto"/>
              <w:highlight w:val="none"/>
              <w:lang w:val="zh-CN"/>
            </w:rPr>
            <w:fldChar w:fldCharType="separate"/>
          </w:r>
          <w:r>
            <w:rPr>
              <w:color w:val="auto"/>
              <w:highlight w:val="none"/>
              <w:lang w:val="en-GB"/>
            </w:rPr>
            <w:t>1.9.1实施进度及重点项目安排</w:t>
          </w:r>
          <w:r>
            <w:rPr>
              <w:color w:val="auto"/>
              <w:highlight w:val="none"/>
            </w:rPr>
            <w:tab/>
          </w:r>
          <w:r>
            <w:rPr>
              <w:color w:val="auto"/>
              <w:highlight w:val="none"/>
            </w:rPr>
            <w:fldChar w:fldCharType="begin"/>
          </w:r>
          <w:r>
            <w:rPr>
              <w:color w:val="auto"/>
              <w:highlight w:val="none"/>
            </w:rPr>
            <w:instrText xml:space="preserve"> PAGEREF _Toc1004 \h </w:instrText>
          </w:r>
          <w:r>
            <w:rPr>
              <w:color w:val="auto"/>
              <w:highlight w:val="none"/>
            </w:rPr>
            <w:fldChar w:fldCharType="separate"/>
          </w:r>
          <w:r>
            <w:rPr>
              <w:color w:val="auto"/>
              <w:highlight w:val="none"/>
            </w:rPr>
            <w:t>12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_Toc20468 </w:instrText>
          </w:r>
          <w:r>
            <w:rPr>
              <w:rFonts w:cs="Times New Roman"/>
              <w:bCs/>
              <w:color w:val="auto"/>
              <w:highlight w:val="none"/>
              <w:lang w:val="zh-CN"/>
            </w:rPr>
            <w:fldChar w:fldCharType="separate"/>
          </w:r>
          <w:r>
            <w:rPr>
              <w:color w:val="auto"/>
              <w:highlight w:val="none"/>
              <w:lang w:val="en-GB"/>
            </w:rPr>
            <w:t>1.9.</w:t>
          </w:r>
          <w:r>
            <w:rPr>
              <w:color w:val="auto"/>
              <w:highlight w:val="none"/>
              <w:lang w:val="en-US"/>
            </w:rPr>
            <w:t>2</w:t>
          </w:r>
          <w:r>
            <w:rPr>
              <w:color w:val="auto"/>
              <w:highlight w:val="none"/>
              <w:lang w:val="en-GB"/>
            </w:rPr>
            <w:t>投资匡算</w:t>
          </w:r>
          <w:r>
            <w:rPr>
              <w:color w:val="auto"/>
              <w:highlight w:val="none"/>
            </w:rPr>
            <w:tab/>
          </w:r>
          <w:r>
            <w:rPr>
              <w:color w:val="auto"/>
              <w:highlight w:val="none"/>
            </w:rPr>
            <w:fldChar w:fldCharType="begin"/>
          </w:r>
          <w:r>
            <w:rPr>
              <w:color w:val="auto"/>
              <w:highlight w:val="none"/>
            </w:rPr>
            <w:instrText xml:space="preserve"> PAGEREF _Toc20468 \h </w:instrText>
          </w:r>
          <w:r>
            <w:rPr>
              <w:color w:val="auto"/>
              <w:highlight w:val="none"/>
            </w:rPr>
            <w:fldChar w:fldCharType="separate"/>
          </w:r>
          <w:r>
            <w:rPr>
              <w:color w:val="auto"/>
              <w:highlight w:val="none"/>
            </w:rPr>
            <w:t>13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_Toc2213 </w:instrText>
          </w:r>
          <w:r>
            <w:rPr>
              <w:rFonts w:cs="Times New Roman"/>
              <w:bCs/>
              <w:color w:val="auto"/>
              <w:highlight w:val="none"/>
              <w:lang w:val="zh-CN"/>
            </w:rPr>
            <w:fldChar w:fldCharType="separate"/>
          </w:r>
          <w:r>
            <w:rPr>
              <w:color w:val="auto"/>
              <w:highlight w:val="none"/>
            </w:rPr>
            <w:t>1.10实施效果分析</w:t>
          </w:r>
          <w:r>
            <w:rPr>
              <w:color w:val="auto"/>
              <w:highlight w:val="none"/>
            </w:rPr>
            <w:tab/>
          </w:r>
          <w:r>
            <w:rPr>
              <w:color w:val="auto"/>
              <w:highlight w:val="none"/>
            </w:rPr>
            <w:fldChar w:fldCharType="begin"/>
          </w:r>
          <w:r>
            <w:rPr>
              <w:color w:val="auto"/>
              <w:highlight w:val="none"/>
            </w:rPr>
            <w:instrText xml:space="preserve"> PAGEREF _Toc2213 \h </w:instrText>
          </w:r>
          <w:r>
            <w:rPr>
              <w:color w:val="auto"/>
              <w:highlight w:val="none"/>
            </w:rPr>
            <w:fldChar w:fldCharType="separate"/>
          </w:r>
          <w:r>
            <w:rPr>
              <w:color w:val="auto"/>
              <w:highlight w:val="none"/>
            </w:rPr>
            <w:t>13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_Toc16356 </w:instrText>
          </w:r>
          <w:r>
            <w:rPr>
              <w:rFonts w:cs="Times New Roman"/>
              <w:bCs/>
              <w:color w:val="auto"/>
              <w:highlight w:val="none"/>
              <w:lang w:val="zh-CN"/>
            </w:rPr>
            <w:fldChar w:fldCharType="separate"/>
          </w:r>
          <w:r>
            <w:rPr>
              <w:color w:val="auto"/>
              <w:highlight w:val="none"/>
            </w:rPr>
            <w:t>1.11实施保障措施</w:t>
          </w:r>
          <w:r>
            <w:rPr>
              <w:color w:val="auto"/>
              <w:highlight w:val="none"/>
            </w:rPr>
            <w:tab/>
          </w:r>
          <w:r>
            <w:rPr>
              <w:color w:val="auto"/>
              <w:highlight w:val="none"/>
            </w:rPr>
            <w:fldChar w:fldCharType="begin"/>
          </w:r>
          <w:r>
            <w:rPr>
              <w:color w:val="auto"/>
              <w:highlight w:val="none"/>
            </w:rPr>
            <w:instrText xml:space="preserve"> PAGEREF _Toc16356 \h </w:instrText>
          </w:r>
          <w:r>
            <w:rPr>
              <w:color w:val="auto"/>
              <w:highlight w:val="none"/>
            </w:rPr>
            <w:fldChar w:fldCharType="separate"/>
          </w:r>
          <w:r>
            <w:rPr>
              <w:color w:val="auto"/>
              <w:highlight w:val="none"/>
            </w:rPr>
            <w:t>14</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_Toc3874 </w:instrText>
          </w:r>
          <w:r>
            <w:rPr>
              <w:rFonts w:cs="Times New Roman"/>
              <w:bCs/>
              <w:color w:val="auto"/>
              <w:highlight w:val="none"/>
              <w:lang w:val="zh-CN"/>
            </w:rPr>
            <w:fldChar w:fldCharType="separate"/>
          </w:r>
          <w:r>
            <w:rPr>
              <w:color w:val="auto"/>
              <w:highlight w:val="none"/>
              <w:lang w:val="en-GB"/>
            </w:rPr>
            <w:t>2基本情况</w:t>
          </w:r>
          <w:r>
            <w:rPr>
              <w:color w:val="auto"/>
              <w:highlight w:val="none"/>
            </w:rPr>
            <w:tab/>
          </w:r>
          <w:r>
            <w:rPr>
              <w:color w:val="auto"/>
              <w:highlight w:val="none"/>
            </w:rPr>
            <w:fldChar w:fldCharType="begin"/>
          </w:r>
          <w:r>
            <w:rPr>
              <w:color w:val="auto"/>
              <w:highlight w:val="none"/>
            </w:rPr>
            <w:instrText xml:space="preserve"> PAGEREF _Toc3874 \h </w:instrText>
          </w:r>
          <w:r>
            <w:rPr>
              <w:color w:val="auto"/>
              <w:highlight w:val="none"/>
            </w:rPr>
            <w:fldChar w:fldCharType="separate"/>
          </w:r>
          <w:r>
            <w:rPr>
              <w:color w:val="auto"/>
              <w:highlight w:val="none"/>
            </w:rPr>
            <w:t>15</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_Toc14245 </w:instrText>
          </w:r>
          <w:r>
            <w:rPr>
              <w:rFonts w:cs="Times New Roman"/>
              <w:bCs/>
              <w:color w:val="auto"/>
              <w:highlight w:val="none"/>
              <w:lang w:val="zh-CN"/>
            </w:rPr>
            <w:fldChar w:fldCharType="separate"/>
          </w:r>
          <w:r>
            <w:rPr>
              <w:color w:val="auto"/>
              <w:highlight w:val="none"/>
              <w:lang w:val="en-GB"/>
            </w:rPr>
            <w:t>2.1自然条件</w:t>
          </w:r>
          <w:r>
            <w:rPr>
              <w:color w:val="auto"/>
              <w:highlight w:val="none"/>
            </w:rPr>
            <w:tab/>
          </w:r>
          <w:r>
            <w:rPr>
              <w:color w:val="auto"/>
              <w:highlight w:val="none"/>
            </w:rPr>
            <w:fldChar w:fldCharType="begin"/>
          </w:r>
          <w:r>
            <w:rPr>
              <w:color w:val="auto"/>
              <w:highlight w:val="none"/>
            </w:rPr>
            <w:instrText xml:space="preserve"> PAGEREF _Toc14245 \h </w:instrText>
          </w:r>
          <w:r>
            <w:rPr>
              <w:color w:val="auto"/>
              <w:highlight w:val="none"/>
            </w:rPr>
            <w:fldChar w:fldCharType="separate"/>
          </w:r>
          <w:r>
            <w:rPr>
              <w:color w:val="auto"/>
              <w:highlight w:val="none"/>
            </w:rPr>
            <w:t>15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_Toc23510 </w:instrText>
          </w:r>
          <w:r>
            <w:rPr>
              <w:rFonts w:cs="Times New Roman"/>
              <w:bCs/>
              <w:color w:val="auto"/>
              <w:highlight w:val="none"/>
              <w:lang w:val="zh-CN"/>
            </w:rPr>
            <w:fldChar w:fldCharType="separate"/>
          </w:r>
          <w:r>
            <w:rPr>
              <w:color w:val="auto"/>
              <w:highlight w:val="none"/>
              <w:lang w:val="en-GB"/>
            </w:rPr>
            <w:t>2.1.1</w:t>
          </w:r>
          <w:r>
            <w:rPr>
              <w:color w:val="auto"/>
              <w:highlight w:val="none"/>
              <w:lang w:val="en-US"/>
            </w:rPr>
            <w:t>地形</w:t>
          </w:r>
          <w:r>
            <w:rPr>
              <w:color w:val="auto"/>
              <w:highlight w:val="none"/>
              <w:lang w:val="en-GB"/>
            </w:rPr>
            <w:t>地貌</w:t>
          </w:r>
          <w:r>
            <w:rPr>
              <w:color w:val="auto"/>
              <w:highlight w:val="none"/>
            </w:rPr>
            <w:tab/>
          </w:r>
          <w:r>
            <w:rPr>
              <w:color w:val="auto"/>
              <w:highlight w:val="none"/>
            </w:rPr>
            <w:fldChar w:fldCharType="begin"/>
          </w:r>
          <w:r>
            <w:rPr>
              <w:color w:val="auto"/>
              <w:highlight w:val="none"/>
            </w:rPr>
            <w:instrText xml:space="preserve"> PAGEREF _Toc23510 \h </w:instrText>
          </w:r>
          <w:r>
            <w:rPr>
              <w:color w:val="auto"/>
              <w:highlight w:val="none"/>
            </w:rPr>
            <w:fldChar w:fldCharType="separate"/>
          </w:r>
          <w:r>
            <w:rPr>
              <w:color w:val="auto"/>
              <w:highlight w:val="none"/>
            </w:rPr>
            <w:t>15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_Toc13515 </w:instrText>
          </w:r>
          <w:r>
            <w:rPr>
              <w:rFonts w:cs="Times New Roman"/>
              <w:bCs/>
              <w:color w:val="auto"/>
              <w:highlight w:val="none"/>
              <w:lang w:val="zh-CN"/>
            </w:rPr>
            <w:fldChar w:fldCharType="separate"/>
          </w:r>
          <w:r>
            <w:rPr>
              <w:color w:val="auto"/>
              <w:highlight w:val="none"/>
              <w:lang w:val="en-GB"/>
            </w:rPr>
            <w:t>2.1.2气象、水文</w:t>
          </w:r>
          <w:r>
            <w:rPr>
              <w:color w:val="auto"/>
              <w:highlight w:val="none"/>
            </w:rPr>
            <w:tab/>
          </w:r>
          <w:r>
            <w:rPr>
              <w:color w:val="auto"/>
              <w:highlight w:val="none"/>
            </w:rPr>
            <w:fldChar w:fldCharType="begin"/>
          </w:r>
          <w:r>
            <w:rPr>
              <w:color w:val="auto"/>
              <w:highlight w:val="none"/>
            </w:rPr>
            <w:instrText xml:space="preserve"> PAGEREF _Toc13515 \h </w:instrText>
          </w:r>
          <w:r>
            <w:rPr>
              <w:color w:val="auto"/>
              <w:highlight w:val="none"/>
            </w:rPr>
            <w:fldChar w:fldCharType="separate"/>
          </w:r>
          <w:r>
            <w:rPr>
              <w:color w:val="auto"/>
              <w:highlight w:val="none"/>
            </w:rPr>
            <w:t>16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_Toc15682 </w:instrText>
          </w:r>
          <w:r>
            <w:rPr>
              <w:rFonts w:cs="Times New Roman"/>
              <w:bCs/>
              <w:color w:val="auto"/>
              <w:highlight w:val="none"/>
              <w:lang w:val="zh-CN"/>
            </w:rPr>
            <w:fldChar w:fldCharType="separate"/>
          </w:r>
          <w:r>
            <w:rPr>
              <w:color w:val="auto"/>
              <w:highlight w:val="none"/>
              <w:lang w:val="en-GB"/>
            </w:rPr>
            <w:t>2.1.3土壤、植物</w:t>
          </w:r>
          <w:r>
            <w:rPr>
              <w:color w:val="auto"/>
              <w:highlight w:val="none"/>
              <w:lang w:val="en-US"/>
            </w:rPr>
            <w:t>、动物、矿产资源</w:t>
          </w:r>
          <w:r>
            <w:rPr>
              <w:color w:val="auto"/>
              <w:highlight w:val="none"/>
            </w:rPr>
            <w:tab/>
          </w:r>
          <w:r>
            <w:rPr>
              <w:color w:val="auto"/>
              <w:highlight w:val="none"/>
            </w:rPr>
            <w:fldChar w:fldCharType="begin"/>
          </w:r>
          <w:r>
            <w:rPr>
              <w:color w:val="auto"/>
              <w:highlight w:val="none"/>
            </w:rPr>
            <w:instrText xml:space="preserve"> PAGEREF _Toc15682 \h </w:instrText>
          </w:r>
          <w:r>
            <w:rPr>
              <w:color w:val="auto"/>
              <w:highlight w:val="none"/>
            </w:rPr>
            <w:fldChar w:fldCharType="separate"/>
          </w:r>
          <w:r>
            <w:rPr>
              <w:color w:val="auto"/>
              <w:highlight w:val="none"/>
            </w:rPr>
            <w:t>18</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_Toc32263 </w:instrText>
          </w:r>
          <w:r>
            <w:rPr>
              <w:rFonts w:cs="Times New Roman"/>
              <w:bCs/>
              <w:color w:val="auto"/>
              <w:highlight w:val="none"/>
              <w:lang w:val="zh-CN"/>
            </w:rPr>
            <w:fldChar w:fldCharType="separate"/>
          </w:r>
          <w:r>
            <w:rPr>
              <w:color w:val="auto"/>
              <w:highlight w:val="none"/>
              <w:lang w:val="en-GB"/>
            </w:rPr>
            <w:t>2.2社会经济</w:t>
          </w:r>
          <w:r>
            <w:rPr>
              <w:color w:val="auto"/>
              <w:highlight w:val="none"/>
            </w:rPr>
            <w:tab/>
          </w:r>
          <w:r>
            <w:rPr>
              <w:color w:val="auto"/>
              <w:highlight w:val="none"/>
            </w:rPr>
            <w:fldChar w:fldCharType="begin"/>
          </w:r>
          <w:r>
            <w:rPr>
              <w:color w:val="auto"/>
              <w:highlight w:val="none"/>
            </w:rPr>
            <w:instrText xml:space="preserve"> PAGEREF _Toc32263 \h </w:instrText>
          </w:r>
          <w:r>
            <w:rPr>
              <w:color w:val="auto"/>
              <w:highlight w:val="none"/>
            </w:rPr>
            <w:fldChar w:fldCharType="separate"/>
          </w:r>
          <w:r>
            <w:rPr>
              <w:color w:val="auto"/>
              <w:highlight w:val="none"/>
            </w:rPr>
            <w:t>21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_Toc12457 </w:instrText>
          </w:r>
          <w:r>
            <w:rPr>
              <w:rFonts w:cs="Times New Roman"/>
              <w:bCs/>
              <w:color w:val="auto"/>
              <w:highlight w:val="none"/>
              <w:lang w:val="zh-CN"/>
            </w:rPr>
            <w:fldChar w:fldCharType="separate"/>
          </w:r>
          <w:r>
            <w:rPr>
              <w:color w:val="auto"/>
              <w:highlight w:val="none"/>
              <w:lang w:val="en-GB"/>
            </w:rPr>
            <w:t>2.2.1行政区划</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21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_Toc19740 </w:instrText>
          </w:r>
          <w:r>
            <w:rPr>
              <w:rFonts w:cs="Times New Roman"/>
              <w:bCs/>
              <w:color w:val="auto"/>
              <w:highlight w:val="none"/>
              <w:lang w:val="zh-CN"/>
            </w:rPr>
            <w:fldChar w:fldCharType="separate"/>
          </w:r>
          <w:r>
            <w:rPr>
              <w:color w:val="auto"/>
              <w:highlight w:val="none"/>
            </w:rPr>
            <w:t>2.2.2人口</w:t>
          </w:r>
          <w:r>
            <w:rPr>
              <w:color w:val="auto"/>
              <w:highlight w:val="none"/>
            </w:rPr>
            <w:tab/>
          </w:r>
          <w:r>
            <w:rPr>
              <w:color w:val="auto"/>
              <w:highlight w:val="none"/>
            </w:rPr>
            <w:fldChar w:fldCharType="begin"/>
          </w:r>
          <w:r>
            <w:rPr>
              <w:color w:val="auto"/>
              <w:highlight w:val="none"/>
            </w:rPr>
            <w:instrText xml:space="preserve"> PAGEREF _Toc19740 \h </w:instrText>
          </w:r>
          <w:r>
            <w:rPr>
              <w:color w:val="auto"/>
              <w:highlight w:val="none"/>
            </w:rPr>
            <w:fldChar w:fldCharType="separate"/>
          </w:r>
          <w:r>
            <w:rPr>
              <w:color w:val="auto"/>
              <w:highlight w:val="none"/>
            </w:rPr>
            <w:t>21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_Toc18616 </w:instrText>
          </w:r>
          <w:r>
            <w:rPr>
              <w:rFonts w:cs="Times New Roman"/>
              <w:bCs/>
              <w:color w:val="auto"/>
              <w:highlight w:val="none"/>
              <w:lang w:val="zh-CN"/>
            </w:rPr>
            <w:fldChar w:fldCharType="separate"/>
          </w:r>
          <w:r>
            <w:rPr>
              <w:color w:val="auto"/>
              <w:highlight w:val="none"/>
              <w:lang w:val="en-GB"/>
            </w:rPr>
            <w:t>2.2.3</w:t>
          </w:r>
          <w:r>
            <w:rPr>
              <w:color w:val="auto"/>
              <w:highlight w:val="none"/>
              <w:lang w:val="en-US"/>
            </w:rPr>
            <w:t>社会经济情况</w:t>
          </w:r>
          <w:r>
            <w:rPr>
              <w:color w:val="auto"/>
              <w:highlight w:val="none"/>
            </w:rPr>
            <w:tab/>
          </w:r>
          <w:r>
            <w:rPr>
              <w:color w:val="auto"/>
              <w:highlight w:val="none"/>
            </w:rPr>
            <w:fldChar w:fldCharType="begin"/>
          </w:r>
          <w:r>
            <w:rPr>
              <w:color w:val="auto"/>
              <w:highlight w:val="none"/>
            </w:rPr>
            <w:instrText xml:space="preserve"> PAGEREF _Toc18616 \h </w:instrText>
          </w:r>
          <w:r>
            <w:rPr>
              <w:color w:val="auto"/>
              <w:highlight w:val="none"/>
            </w:rPr>
            <w:fldChar w:fldCharType="separate"/>
          </w:r>
          <w:r>
            <w:rPr>
              <w:color w:val="auto"/>
              <w:highlight w:val="none"/>
            </w:rPr>
            <w:t>21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_Toc12314 </w:instrText>
          </w:r>
          <w:r>
            <w:rPr>
              <w:rFonts w:cs="Times New Roman"/>
              <w:bCs/>
              <w:color w:val="auto"/>
              <w:highlight w:val="none"/>
              <w:lang w:val="zh-CN"/>
            </w:rPr>
            <w:fldChar w:fldCharType="separate"/>
          </w:r>
          <w:r>
            <w:rPr>
              <w:color w:val="auto"/>
              <w:highlight w:val="none"/>
              <w:lang w:val="en-GB"/>
            </w:rPr>
            <w:t>2.2.4土地利用现状</w:t>
          </w:r>
          <w:r>
            <w:rPr>
              <w:color w:val="auto"/>
              <w:highlight w:val="none"/>
            </w:rPr>
            <w:tab/>
          </w:r>
          <w:r>
            <w:rPr>
              <w:color w:val="auto"/>
              <w:highlight w:val="none"/>
            </w:rPr>
            <w:fldChar w:fldCharType="begin"/>
          </w:r>
          <w:r>
            <w:rPr>
              <w:color w:val="auto"/>
              <w:highlight w:val="none"/>
            </w:rPr>
            <w:instrText xml:space="preserve"> PAGEREF _Toc12314 \h </w:instrText>
          </w:r>
          <w:r>
            <w:rPr>
              <w:color w:val="auto"/>
              <w:highlight w:val="none"/>
            </w:rPr>
            <w:fldChar w:fldCharType="separate"/>
          </w:r>
          <w:r>
            <w:rPr>
              <w:color w:val="auto"/>
              <w:highlight w:val="none"/>
            </w:rPr>
            <w:t>22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_Toc26622 </w:instrText>
          </w:r>
          <w:r>
            <w:rPr>
              <w:rFonts w:cs="Times New Roman"/>
              <w:bCs/>
              <w:color w:val="auto"/>
              <w:highlight w:val="none"/>
              <w:lang w:val="zh-CN"/>
            </w:rPr>
            <w:fldChar w:fldCharType="separate"/>
          </w:r>
          <w:r>
            <w:rPr>
              <w:color w:val="auto"/>
              <w:highlight w:val="none"/>
            </w:rPr>
            <w:t>2.3水土流失现状</w:t>
          </w:r>
          <w:r>
            <w:rPr>
              <w:color w:val="auto"/>
              <w:highlight w:val="none"/>
            </w:rPr>
            <w:tab/>
          </w:r>
          <w:r>
            <w:rPr>
              <w:color w:val="auto"/>
              <w:highlight w:val="none"/>
            </w:rPr>
            <w:fldChar w:fldCharType="begin"/>
          </w:r>
          <w:r>
            <w:rPr>
              <w:color w:val="auto"/>
              <w:highlight w:val="none"/>
            </w:rPr>
            <w:instrText xml:space="preserve"> PAGEREF _Toc26622 \h </w:instrText>
          </w:r>
          <w:r>
            <w:rPr>
              <w:color w:val="auto"/>
              <w:highlight w:val="none"/>
            </w:rPr>
            <w:fldChar w:fldCharType="separate"/>
          </w:r>
          <w:r>
            <w:rPr>
              <w:color w:val="auto"/>
              <w:highlight w:val="none"/>
            </w:rPr>
            <w:t>27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_Toc16422 </w:instrText>
          </w:r>
          <w:r>
            <w:rPr>
              <w:rFonts w:cs="Times New Roman"/>
              <w:bCs/>
              <w:color w:val="auto"/>
              <w:highlight w:val="none"/>
              <w:lang w:val="zh-CN"/>
            </w:rPr>
            <w:fldChar w:fldCharType="separate"/>
          </w:r>
          <w:r>
            <w:rPr>
              <w:color w:val="auto"/>
              <w:highlight w:val="none"/>
            </w:rPr>
            <w:t>2.3.1水土流失类型</w:t>
          </w:r>
          <w:r>
            <w:rPr>
              <w:color w:val="auto"/>
              <w:highlight w:val="none"/>
            </w:rPr>
            <w:tab/>
          </w:r>
          <w:r>
            <w:rPr>
              <w:color w:val="auto"/>
              <w:highlight w:val="none"/>
            </w:rPr>
            <w:fldChar w:fldCharType="begin"/>
          </w:r>
          <w:r>
            <w:rPr>
              <w:color w:val="auto"/>
              <w:highlight w:val="none"/>
            </w:rPr>
            <w:instrText xml:space="preserve"> PAGEREF _Toc16422 \h </w:instrText>
          </w:r>
          <w:r>
            <w:rPr>
              <w:color w:val="auto"/>
              <w:highlight w:val="none"/>
            </w:rPr>
            <w:fldChar w:fldCharType="separate"/>
          </w:r>
          <w:r>
            <w:rPr>
              <w:color w:val="auto"/>
              <w:highlight w:val="none"/>
            </w:rPr>
            <w:t>27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_Toc6756 </w:instrText>
          </w:r>
          <w:r>
            <w:rPr>
              <w:rFonts w:cs="Times New Roman"/>
              <w:bCs/>
              <w:color w:val="auto"/>
              <w:highlight w:val="none"/>
              <w:lang w:val="zh-CN"/>
            </w:rPr>
            <w:fldChar w:fldCharType="separate"/>
          </w:r>
          <w:r>
            <w:rPr>
              <w:color w:val="auto"/>
              <w:highlight w:val="none"/>
            </w:rPr>
            <w:t>2.3.2水土流失强度分析</w:t>
          </w:r>
          <w:r>
            <w:rPr>
              <w:color w:val="auto"/>
              <w:highlight w:val="none"/>
            </w:rPr>
            <w:tab/>
          </w:r>
          <w:r>
            <w:rPr>
              <w:color w:val="auto"/>
              <w:highlight w:val="none"/>
            </w:rPr>
            <w:fldChar w:fldCharType="begin"/>
          </w:r>
          <w:r>
            <w:rPr>
              <w:color w:val="auto"/>
              <w:highlight w:val="none"/>
            </w:rPr>
            <w:instrText xml:space="preserve"> PAGEREF _Toc6756 \h </w:instrText>
          </w:r>
          <w:r>
            <w:rPr>
              <w:color w:val="auto"/>
              <w:highlight w:val="none"/>
            </w:rPr>
            <w:fldChar w:fldCharType="separate"/>
          </w:r>
          <w:r>
            <w:rPr>
              <w:color w:val="auto"/>
              <w:highlight w:val="none"/>
            </w:rPr>
            <w:t>27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_Toc31989 </w:instrText>
          </w:r>
          <w:r>
            <w:rPr>
              <w:rFonts w:cs="Times New Roman"/>
              <w:bCs/>
              <w:color w:val="auto"/>
              <w:highlight w:val="none"/>
              <w:lang w:val="zh-CN"/>
            </w:rPr>
            <w:fldChar w:fldCharType="separate"/>
          </w:r>
          <w:r>
            <w:rPr>
              <w:bCs w:val="0"/>
              <w:color w:val="auto"/>
              <w:highlight w:val="none"/>
            </w:rPr>
            <w:t>2.3.3水土流失面积分布</w:t>
          </w:r>
          <w:r>
            <w:rPr>
              <w:color w:val="auto"/>
              <w:highlight w:val="none"/>
            </w:rPr>
            <w:tab/>
          </w:r>
          <w:r>
            <w:rPr>
              <w:color w:val="auto"/>
              <w:highlight w:val="none"/>
            </w:rPr>
            <w:fldChar w:fldCharType="begin"/>
          </w:r>
          <w:r>
            <w:rPr>
              <w:color w:val="auto"/>
              <w:highlight w:val="none"/>
            </w:rPr>
            <w:instrText xml:space="preserve"> PAGEREF _Toc31989 \h </w:instrText>
          </w:r>
          <w:r>
            <w:rPr>
              <w:color w:val="auto"/>
              <w:highlight w:val="none"/>
            </w:rPr>
            <w:fldChar w:fldCharType="separate"/>
          </w:r>
          <w:r>
            <w:rPr>
              <w:color w:val="auto"/>
              <w:highlight w:val="none"/>
            </w:rPr>
            <w:t>28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_Toc29975 </w:instrText>
          </w:r>
          <w:r>
            <w:rPr>
              <w:rFonts w:cs="Times New Roman"/>
              <w:bCs/>
              <w:color w:val="auto"/>
              <w:highlight w:val="none"/>
              <w:lang w:val="zh-CN"/>
            </w:rPr>
            <w:fldChar w:fldCharType="separate"/>
          </w:r>
          <w:r>
            <w:rPr>
              <w:color w:val="auto"/>
              <w:highlight w:val="none"/>
            </w:rPr>
            <w:t>2.3.4水土流失危害</w:t>
          </w:r>
          <w:r>
            <w:rPr>
              <w:color w:val="auto"/>
              <w:highlight w:val="none"/>
            </w:rPr>
            <w:tab/>
          </w:r>
          <w:r>
            <w:rPr>
              <w:color w:val="auto"/>
              <w:highlight w:val="none"/>
            </w:rPr>
            <w:fldChar w:fldCharType="begin"/>
          </w:r>
          <w:r>
            <w:rPr>
              <w:color w:val="auto"/>
              <w:highlight w:val="none"/>
            </w:rPr>
            <w:instrText xml:space="preserve"> PAGEREF _Toc29975 \h </w:instrText>
          </w:r>
          <w:r>
            <w:rPr>
              <w:color w:val="auto"/>
              <w:highlight w:val="none"/>
            </w:rPr>
            <w:fldChar w:fldCharType="separate"/>
          </w:r>
          <w:r>
            <w:rPr>
              <w:color w:val="auto"/>
              <w:highlight w:val="none"/>
            </w:rPr>
            <w:t>29</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_Toc4642 </w:instrText>
          </w:r>
          <w:r>
            <w:rPr>
              <w:rFonts w:cs="Times New Roman"/>
              <w:bCs/>
              <w:color w:val="auto"/>
              <w:highlight w:val="none"/>
              <w:lang w:val="zh-CN"/>
            </w:rPr>
            <w:fldChar w:fldCharType="separate"/>
          </w:r>
          <w:r>
            <w:rPr>
              <w:color w:val="auto"/>
              <w:highlight w:val="none"/>
              <w:lang w:val="en-US"/>
            </w:rPr>
            <w:t>2.4水土保持现状</w:t>
          </w:r>
          <w:r>
            <w:rPr>
              <w:color w:val="auto"/>
              <w:highlight w:val="none"/>
            </w:rPr>
            <w:tab/>
          </w:r>
          <w:r>
            <w:rPr>
              <w:color w:val="auto"/>
              <w:highlight w:val="none"/>
            </w:rPr>
            <w:fldChar w:fldCharType="begin"/>
          </w:r>
          <w:r>
            <w:rPr>
              <w:color w:val="auto"/>
              <w:highlight w:val="none"/>
            </w:rPr>
            <w:instrText xml:space="preserve"> PAGEREF _Toc4642 \h </w:instrText>
          </w:r>
          <w:r>
            <w:rPr>
              <w:color w:val="auto"/>
              <w:highlight w:val="none"/>
            </w:rPr>
            <w:fldChar w:fldCharType="separate"/>
          </w:r>
          <w:r>
            <w:rPr>
              <w:color w:val="auto"/>
              <w:highlight w:val="none"/>
            </w:rPr>
            <w:t>31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_Toc15323 </w:instrText>
          </w:r>
          <w:r>
            <w:rPr>
              <w:rFonts w:cs="Times New Roman"/>
              <w:bCs/>
              <w:color w:val="auto"/>
              <w:highlight w:val="none"/>
              <w:lang w:val="zh-CN"/>
            </w:rPr>
            <w:fldChar w:fldCharType="separate"/>
          </w:r>
          <w:r>
            <w:rPr>
              <w:color w:val="auto"/>
              <w:highlight w:val="none"/>
            </w:rPr>
            <w:t>2.4.1水土流失治理情况</w:t>
          </w:r>
          <w:r>
            <w:rPr>
              <w:color w:val="auto"/>
              <w:highlight w:val="none"/>
            </w:rPr>
            <w:tab/>
          </w:r>
          <w:r>
            <w:rPr>
              <w:color w:val="auto"/>
              <w:highlight w:val="none"/>
            </w:rPr>
            <w:fldChar w:fldCharType="begin"/>
          </w:r>
          <w:r>
            <w:rPr>
              <w:color w:val="auto"/>
              <w:highlight w:val="none"/>
            </w:rPr>
            <w:instrText xml:space="preserve"> PAGEREF _Toc15323 \h </w:instrText>
          </w:r>
          <w:r>
            <w:rPr>
              <w:color w:val="auto"/>
              <w:highlight w:val="none"/>
            </w:rPr>
            <w:fldChar w:fldCharType="separate"/>
          </w:r>
          <w:r>
            <w:rPr>
              <w:color w:val="auto"/>
              <w:highlight w:val="none"/>
            </w:rPr>
            <w:t>31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_Toc18581 </w:instrText>
          </w:r>
          <w:r>
            <w:rPr>
              <w:rFonts w:cs="Times New Roman"/>
              <w:bCs/>
              <w:color w:val="auto"/>
              <w:highlight w:val="none"/>
              <w:lang w:val="zh-CN"/>
            </w:rPr>
            <w:fldChar w:fldCharType="separate"/>
          </w:r>
          <w:r>
            <w:rPr>
              <w:color w:val="auto"/>
              <w:highlight w:val="none"/>
              <w:lang w:val="en-US"/>
            </w:rPr>
            <w:t>2.4.2水土保持监督管理情况</w:t>
          </w:r>
          <w:r>
            <w:rPr>
              <w:color w:val="auto"/>
              <w:highlight w:val="none"/>
            </w:rPr>
            <w:tab/>
          </w:r>
          <w:r>
            <w:rPr>
              <w:color w:val="auto"/>
              <w:highlight w:val="none"/>
            </w:rPr>
            <w:fldChar w:fldCharType="begin"/>
          </w:r>
          <w:r>
            <w:rPr>
              <w:color w:val="auto"/>
              <w:highlight w:val="none"/>
            </w:rPr>
            <w:instrText xml:space="preserve"> PAGEREF _Toc18581 \h </w:instrText>
          </w:r>
          <w:r>
            <w:rPr>
              <w:color w:val="auto"/>
              <w:highlight w:val="none"/>
            </w:rPr>
            <w:fldChar w:fldCharType="separate"/>
          </w:r>
          <w:r>
            <w:rPr>
              <w:color w:val="auto"/>
              <w:highlight w:val="none"/>
            </w:rPr>
            <w:t>32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_Toc8034 </w:instrText>
          </w:r>
          <w:r>
            <w:rPr>
              <w:rFonts w:cs="Times New Roman"/>
              <w:bCs/>
              <w:color w:val="auto"/>
              <w:highlight w:val="none"/>
              <w:lang w:val="zh-CN"/>
            </w:rPr>
            <w:fldChar w:fldCharType="separate"/>
          </w:r>
          <w:r>
            <w:rPr>
              <w:color w:val="auto"/>
              <w:highlight w:val="none"/>
              <w:lang w:val="en-US"/>
            </w:rPr>
            <w:t>2.4.3水土保持监测工作情况</w:t>
          </w:r>
          <w:r>
            <w:rPr>
              <w:color w:val="auto"/>
              <w:highlight w:val="none"/>
            </w:rPr>
            <w:tab/>
          </w:r>
          <w:r>
            <w:rPr>
              <w:color w:val="auto"/>
              <w:highlight w:val="none"/>
            </w:rPr>
            <w:fldChar w:fldCharType="begin"/>
          </w:r>
          <w:r>
            <w:rPr>
              <w:color w:val="auto"/>
              <w:highlight w:val="none"/>
            </w:rPr>
            <w:instrText xml:space="preserve"> PAGEREF _Toc8034 \h </w:instrText>
          </w:r>
          <w:r>
            <w:rPr>
              <w:color w:val="auto"/>
              <w:highlight w:val="none"/>
            </w:rPr>
            <w:fldChar w:fldCharType="separate"/>
          </w:r>
          <w:r>
            <w:rPr>
              <w:color w:val="auto"/>
              <w:highlight w:val="none"/>
            </w:rPr>
            <w:t>34</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_Toc5114 </w:instrText>
          </w:r>
          <w:r>
            <w:rPr>
              <w:rFonts w:cs="Times New Roman"/>
              <w:bCs/>
              <w:color w:val="auto"/>
              <w:highlight w:val="none"/>
              <w:lang w:val="zh-CN"/>
            </w:rPr>
            <w:fldChar w:fldCharType="separate"/>
          </w:r>
          <w:r>
            <w:rPr>
              <w:color w:val="auto"/>
              <w:highlight w:val="none"/>
              <w:lang w:val="en-US"/>
            </w:rPr>
            <w:t>2.5</w:t>
          </w:r>
          <w:r>
            <w:rPr>
              <w:rFonts w:hint="eastAsia"/>
              <w:color w:val="auto"/>
              <w:highlight w:val="none"/>
              <w:lang w:val="en-US"/>
            </w:rPr>
            <w:t>相关规划情况</w:t>
          </w:r>
          <w:r>
            <w:rPr>
              <w:color w:val="auto"/>
              <w:highlight w:val="none"/>
            </w:rPr>
            <w:tab/>
          </w:r>
          <w:r>
            <w:rPr>
              <w:color w:val="auto"/>
              <w:highlight w:val="none"/>
            </w:rPr>
            <w:fldChar w:fldCharType="begin"/>
          </w:r>
          <w:r>
            <w:rPr>
              <w:color w:val="auto"/>
              <w:highlight w:val="none"/>
            </w:rPr>
            <w:instrText xml:space="preserve"> PAGEREF _Toc5114 \h </w:instrText>
          </w:r>
          <w:r>
            <w:rPr>
              <w:color w:val="auto"/>
              <w:highlight w:val="none"/>
            </w:rPr>
            <w:fldChar w:fldCharType="separate"/>
          </w:r>
          <w:r>
            <w:rPr>
              <w:color w:val="auto"/>
              <w:highlight w:val="none"/>
            </w:rPr>
            <w:t>34</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_Toc15207 </w:instrText>
          </w:r>
          <w:r>
            <w:rPr>
              <w:rFonts w:cs="Times New Roman"/>
              <w:bCs/>
              <w:color w:val="auto"/>
              <w:highlight w:val="none"/>
              <w:lang w:val="zh-CN"/>
            </w:rPr>
            <w:fldChar w:fldCharType="separate"/>
          </w:r>
          <w:r>
            <w:rPr>
              <w:color w:val="auto"/>
              <w:highlight w:val="none"/>
            </w:rPr>
            <w:t>3水土保持现状评价与需求分析</w:t>
          </w:r>
          <w:r>
            <w:rPr>
              <w:color w:val="auto"/>
              <w:highlight w:val="none"/>
            </w:rPr>
            <w:tab/>
          </w:r>
          <w:r>
            <w:rPr>
              <w:color w:val="auto"/>
              <w:highlight w:val="none"/>
            </w:rPr>
            <w:fldChar w:fldCharType="begin"/>
          </w:r>
          <w:r>
            <w:rPr>
              <w:color w:val="auto"/>
              <w:highlight w:val="none"/>
            </w:rPr>
            <w:instrText xml:space="preserve"> PAGEREF _Toc15207 \h </w:instrText>
          </w:r>
          <w:r>
            <w:rPr>
              <w:color w:val="auto"/>
              <w:highlight w:val="none"/>
            </w:rPr>
            <w:fldChar w:fldCharType="separate"/>
          </w:r>
          <w:r>
            <w:rPr>
              <w:color w:val="auto"/>
              <w:highlight w:val="none"/>
            </w:rPr>
            <w:t>37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_Toc9458 </w:instrText>
          </w:r>
          <w:r>
            <w:rPr>
              <w:rFonts w:cs="Times New Roman"/>
              <w:bCs/>
              <w:color w:val="auto"/>
              <w:highlight w:val="none"/>
              <w:lang w:val="zh-CN"/>
            </w:rPr>
            <w:fldChar w:fldCharType="separate"/>
          </w:r>
          <w:r>
            <w:rPr>
              <w:color w:val="auto"/>
              <w:highlight w:val="none"/>
            </w:rPr>
            <w:t>3.1水土保持现状</w:t>
          </w:r>
          <w:r>
            <w:rPr>
              <w:color w:val="auto"/>
              <w:highlight w:val="none"/>
              <w:lang w:val="en-US"/>
            </w:rPr>
            <w:t>评价</w:t>
          </w:r>
          <w:r>
            <w:rPr>
              <w:color w:val="auto"/>
              <w:highlight w:val="none"/>
            </w:rPr>
            <w:tab/>
          </w:r>
          <w:r>
            <w:rPr>
              <w:color w:val="auto"/>
              <w:highlight w:val="none"/>
            </w:rPr>
            <w:fldChar w:fldCharType="begin"/>
          </w:r>
          <w:r>
            <w:rPr>
              <w:color w:val="auto"/>
              <w:highlight w:val="none"/>
            </w:rPr>
            <w:instrText xml:space="preserve"> PAGEREF _Toc9458 \h </w:instrText>
          </w:r>
          <w:r>
            <w:rPr>
              <w:color w:val="auto"/>
              <w:highlight w:val="none"/>
            </w:rPr>
            <w:fldChar w:fldCharType="separate"/>
          </w:r>
          <w:r>
            <w:rPr>
              <w:color w:val="auto"/>
              <w:highlight w:val="none"/>
            </w:rPr>
            <w:t>37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_Toc14991 </w:instrText>
          </w:r>
          <w:r>
            <w:rPr>
              <w:rFonts w:cs="Times New Roman"/>
              <w:bCs/>
              <w:color w:val="auto"/>
              <w:highlight w:val="none"/>
              <w:lang w:val="zh-CN"/>
            </w:rPr>
            <w:fldChar w:fldCharType="separate"/>
          </w:r>
          <w:r>
            <w:rPr>
              <w:color w:val="auto"/>
              <w:highlight w:val="none"/>
            </w:rPr>
            <w:t>3.1.1土地利用现状评价</w:t>
          </w:r>
          <w:r>
            <w:rPr>
              <w:color w:val="auto"/>
              <w:highlight w:val="none"/>
            </w:rPr>
            <w:tab/>
          </w:r>
          <w:r>
            <w:rPr>
              <w:color w:val="auto"/>
              <w:highlight w:val="none"/>
            </w:rPr>
            <w:fldChar w:fldCharType="begin"/>
          </w:r>
          <w:r>
            <w:rPr>
              <w:color w:val="auto"/>
              <w:highlight w:val="none"/>
            </w:rPr>
            <w:instrText xml:space="preserve"> PAGEREF _Toc14991 \h </w:instrText>
          </w:r>
          <w:r>
            <w:rPr>
              <w:color w:val="auto"/>
              <w:highlight w:val="none"/>
            </w:rPr>
            <w:fldChar w:fldCharType="separate"/>
          </w:r>
          <w:r>
            <w:rPr>
              <w:color w:val="auto"/>
              <w:highlight w:val="none"/>
            </w:rPr>
            <w:t>37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_Toc28143 </w:instrText>
          </w:r>
          <w:r>
            <w:rPr>
              <w:rFonts w:cs="Times New Roman"/>
              <w:bCs/>
              <w:color w:val="auto"/>
              <w:highlight w:val="none"/>
              <w:lang w:val="zh-CN"/>
            </w:rPr>
            <w:fldChar w:fldCharType="separate"/>
          </w:r>
          <w:r>
            <w:rPr>
              <w:color w:val="auto"/>
              <w:highlight w:val="none"/>
            </w:rPr>
            <w:t>3.1.2水土流失消长评价</w:t>
          </w:r>
          <w:r>
            <w:rPr>
              <w:color w:val="auto"/>
              <w:highlight w:val="none"/>
            </w:rPr>
            <w:tab/>
          </w:r>
          <w:r>
            <w:rPr>
              <w:color w:val="auto"/>
              <w:highlight w:val="none"/>
            </w:rPr>
            <w:fldChar w:fldCharType="begin"/>
          </w:r>
          <w:r>
            <w:rPr>
              <w:color w:val="auto"/>
              <w:highlight w:val="none"/>
            </w:rPr>
            <w:instrText xml:space="preserve"> PAGEREF _Toc28143 \h </w:instrText>
          </w:r>
          <w:r>
            <w:rPr>
              <w:color w:val="auto"/>
              <w:highlight w:val="none"/>
            </w:rPr>
            <w:fldChar w:fldCharType="separate"/>
          </w:r>
          <w:r>
            <w:rPr>
              <w:color w:val="auto"/>
              <w:highlight w:val="none"/>
            </w:rPr>
            <w:t>38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_Toc30300 </w:instrText>
          </w:r>
          <w:r>
            <w:rPr>
              <w:rFonts w:cs="Times New Roman"/>
              <w:bCs/>
              <w:color w:val="auto"/>
              <w:highlight w:val="none"/>
              <w:lang w:val="zh-CN"/>
            </w:rPr>
            <w:fldChar w:fldCharType="separate"/>
          </w:r>
          <w:r>
            <w:rPr>
              <w:color w:val="auto"/>
              <w:highlight w:val="none"/>
              <w:lang w:val="en-US"/>
            </w:rPr>
            <w:t>3.1.3水土保持综合治理评价</w:t>
          </w:r>
          <w:r>
            <w:rPr>
              <w:color w:val="auto"/>
              <w:highlight w:val="none"/>
            </w:rPr>
            <w:tab/>
          </w:r>
          <w:r>
            <w:rPr>
              <w:color w:val="auto"/>
              <w:highlight w:val="none"/>
            </w:rPr>
            <w:fldChar w:fldCharType="begin"/>
          </w:r>
          <w:r>
            <w:rPr>
              <w:color w:val="auto"/>
              <w:highlight w:val="none"/>
            </w:rPr>
            <w:instrText xml:space="preserve"> PAGEREF _Toc30300 \h </w:instrText>
          </w:r>
          <w:r>
            <w:rPr>
              <w:color w:val="auto"/>
              <w:highlight w:val="none"/>
            </w:rPr>
            <w:fldChar w:fldCharType="separate"/>
          </w:r>
          <w:r>
            <w:rPr>
              <w:color w:val="auto"/>
              <w:highlight w:val="none"/>
            </w:rPr>
            <w:t>41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_Toc14299 </w:instrText>
          </w:r>
          <w:r>
            <w:rPr>
              <w:rFonts w:cs="Times New Roman"/>
              <w:bCs/>
              <w:color w:val="auto"/>
              <w:highlight w:val="none"/>
              <w:lang w:val="zh-CN"/>
            </w:rPr>
            <w:fldChar w:fldCharType="separate"/>
          </w:r>
          <w:r>
            <w:rPr>
              <w:color w:val="auto"/>
              <w:highlight w:val="none"/>
              <w:lang w:val="en-US"/>
            </w:rPr>
            <w:t>3.1.4水土保持监督管理评价</w:t>
          </w:r>
          <w:r>
            <w:rPr>
              <w:color w:val="auto"/>
              <w:highlight w:val="none"/>
            </w:rPr>
            <w:tab/>
          </w:r>
          <w:r>
            <w:rPr>
              <w:color w:val="auto"/>
              <w:highlight w:val="none"/>
            </w:rPr>
            <w:fldChar w:fldCharType="begin"/>
          </w:r>
          <w:r>
            <w:rPr>
              <w:color w:val="auto"/>
              <w:highlight w:val="none"/>
            </w:rPr>
            <w:instrText xml:space="preserve"> PAGEREF _Toc14299 \h </w:instrText>
          </w:r>
          <w:r>
            <w:rPr>
              <w:color w:val="auto"/>
              <w:highlight w:val="none"/>
            </w:rPr>
            <w:fldChar w:fldCharType="separate"/>
          </w:r>
          <w:r>
            <w:rPr>
              <w:color w:val="auto"/>
              <w:highlight w:val="none"/>
            </w:rPr>
            <w:t>42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_Toc23484 </w:instrText>
          </w:r>
          <w:r>
            <w:rPr>
              <w:rFonts w:cs="Times New Roman"/>
              <w:bCs/>
              <w:color w:val="auto"/>
              <w:highlight w:val="none"/>
              <w:lang w:val="zh-CN"/>
            </w:rPr>
            <w:fldChar w:fldCharType="separate"/>
          </w:r>
          <w:r>
            <w:rPr>
              <w:color w:val="auto"/>
              <w:highlight w:val="none"/>
            </w:rPr>
            <w:t>3.1.5生态状况评价</w:t>
          </w:r>
          <w:r>
            <w:rPr>
              <w:color w:val="auto"/>
              <w:highlight w:val="none"/>
            </w:rPr>
            <w:tab/>
          </w:r>
          <w:r>
            <w:rPr>
              <w:color w:val="auto"/>
              <w:highlight w:val="none"/>
            </w:rPr>
            <w:fldChar w:fldCharType="begin"/>
          </w:r>
          <w:r>
            <w:rPr>
              <w:color w:val="auto"/>
              <w:highlight w:val="none"/>
            </w:rPr>
            <w:instrText xml:space="preserve"> PAGEREF _Toc23484 \h </w:instrText>
          </w:r>
          <w:r>
            <w:rPr>
              <w:color w:val="auto"/>
              <w:highlight w:val="none"/>
            </w:rPr>
            <w:fldChar w:fldCharType="separate"/>
          </w:r>
          <w:r>
            <w:rPr>
              <w:color w:val="auto"/>
              <w:highlight w:val="none"/>
            </w:rPr>
            <w:t>43</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_Toc3314 </w:instrText>
          </w:r>
          <w:r>
            <w:rPr>
              <w:rFonts w:cs="Times New Roman"/>
              <w:bCs/>
              <w:color w:val="auto"/>
              <w:highlight w:val="none"/>
              <w:lang w:val="zh-CN"/>
            </w:rPr>
            <w:fldChar w:fldCharType="separate"/>
          </w:r>
          <w:r>
            <w:rPr>
              <w:color w:val="auto"/>
              <w:highlight w:val="none"/>
            </w:rPr>
            <w:t>3.1.6水资源丰缺程度评价</w:t>
          </w:r>
          <w:r>
            <w:rPr>
              <w:color w:val="auto"/>
              <w:highlight w:val="none"/>
            </w:rPr>
            <w:tab/>
          </w:r>
          <w:r>
            <w:rPr>
              <w:color w:val="auto"/>
              <w:highlight w:val="none"/>
            </w:rPr>
            <w:fldChar w:fldCharType="begin"/>
          </w:r>
          <w:r>
            <w:rPr>
              <w:color w:val="auto"/>
              <w:highlight w:val="none"/>
            </w:rPr>
            <w:instrText xml:space="preserve"> PAGEREF _Toc3314 \h </w:instrText>
          </w:r>
          <w:r>
            <w:rPr>
              <w:color w:val="auto"/>
              <w:highlight w:val="none"/>
            </w:rPr>
            <w:fldChar w:fldCharType="separate"/>
          </w:r>
          <w:r>
            <w:rPr>
              <w:color w:val="auto"/>
              <w:highlight w:val="none"/>
            </w:rPr>
            <w:t>44</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_Toc24816 </w:instrText>
          </w:r>
          <w:r>
            <w:rPr>
              <w:rFonts w:cs="Times New Roman"/>
              <w:bCs/>
              <w:color w:val="auto"/>
              <w:highlight w:val="none"/>
              <w:lang w:val="zh-CN"/>
            </w:rPr>
            <w:fldChar w:fldCharType="separate"/>
          </w:r>
          <w:r>
            <w:rPr>
              <w:color w:val="auto"/>
              <w:highlight w:val="none"/>
            </w:rPr>
            <w:t>3.1.7饮用水水源地面源污染评价</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45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_Toc13183 </w:instrText>
          </w:r>
          <w:r>
            <w:rPr>
              <w:rFonts w:cs="Times New Roman"/>
              <w:bCs/>
              <w:color w:val="auto"/>
              <w:highlight w:val="none"/>
              <w:lang w:val="zh-CN"/>
            </w:rPr>
            <w:fldChar w:fldCharType="separate"/>
          </w:r>
          <w:r>
            <w:rPr>
              <w:color w:val="auto"/>
              <w:highlight w:val="none"/>
              <w:lang w:val="en-US"/>
            </w:rPr>
            <w:t>3.1.8水土保持监测工作评价</w:t>
          </w:r>
          <w:r>
            <w:rPr>
              <w:color w:val="auto"/>
              <w:highlight w:val="none"/>
            </w:rPr>
            <w:tab/>
          </w:r>
          <w:r>
            <w:rPr>
              <w:color w:val="auto"/>
              <w:highlight w:val="none"/>
            </w:rPr>
            <w:fldChar w:fldCharType="begin"/>
          </w:r>
          <w:r>
            <w:rPr>
              <w:color w:val="auto"/>
              <w:highlight w:val="none"/>
            </w:rPr>
            <w:instrText xml:space="preserve"> PAGEREF _Toc13183 \h </w:instrText>
          </w:r>
          <w:r>
            <w:rPr>
              <w:color w:val="auto"/>
              <w:highlight w:val="none"/>
            </w:rPr>
            <w:fldChar w:fldCharType="separate"/>
          </w:r>
          <w:r>
            <w:rPr>
              <w:color w:val="auto"/>
              <w:highlight w:val="none"/>
            </w:rPr>
            <w:t>46</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_Toc32746 </w:instrText>
          </w:r>
          <w:r>
            <w:rPr>
              <w:rFonts w:cs="Times New Roman"/>
              <w:bCs/>
              <w:color w:val="auto"/>
              <w:highlight w:val="none"/>
              <w:lang w:val="zh-CN"/>
            </w:rPr>
            <w:fldChar w:fldCharType="separate"/>
          </w:r>
          <w:r>
            <w:rPr>
              <w:color w:val="auto"/>
              <w:highlight w:val="none"/>
            </w:rPr>
            <w:t>3.2水土保持需求分析</w:t>
          </w:r>
          <w:r>
            <w:rPr>
              <w:color w:val="auto"/>
              <w:highlight w:val="none"/>
            </w:rPr>
            <w:tab/>
          </w:r>
          <w:r>
            <w:rPr>
              <w:color w:val="auto"/>
              <w:highlight w:val="none"/>
            </w:rPr>
            <w:fldChar w:fldCharType="begin"/>
          </w:r>
          <w:r>
            <w:rPr>
              <w:color w:val="auto"/>
              <w:highlight w:val="none"/>
            </w:rPr>
            <w:instrText xml:space="preserve"> PAGEREF _Toc32746 \h </w:instrText>
          </w:r>
          <w:r>
            <w:rPr>
              <w:color w:val="auto"/>
              <w:highlight w:val="none"/>
            </w:rPr>
            <w:fldChar w:fldCharType="separate"/>
          </w:r>
          <w:r>
            <w:rPr>
              <w:color w:val="auto"/>
              <w:highlight w:val="none"/>
            </w:rPr>
            <w:t>46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_Toc32594 </w:instrText>
          </w:r>
          <w:r>
            <w:rPr>
              <w:rFonts w:cs="Times New Roman"/>
              <w:bCs/>
              <w:color w:val="auto"/>
              <w:highlight w:val="none"/>
              <w:lang w:val="zh-CN"/>
            </w:rPr>
            <w:fldChar w:fldCharType="separate"/>
          </w:r>
          <w:r>
            <w:rPr>
              <w:color w:val="auto"/>
              <w:highlight w:val="none"/>
            </w:rPr>
            <w:t>3.2.1</w:t>
          </w:r>
          <w:r>
            <w:rPr>
              <w:rFonts w:hint="default" w:ascii="Arial" w:hAnsi="Arial" w:cs="Arial"/>
              <w:color w:val="auto"/>
              <w:highlight w:val="none"/>
            </w:rPr>
            <w:t>改善水环境、治理水生态</w:t>
          </w:r>
          <w:r>
            <w:rPr>
              <w:color w:val="auto"/>
              <w:highlight w:val="none"/>
            </w:rPr>
            <w:tab/>
          </w:r>
          <w:r>
            <w:rPr>
              <w:color w:val="auto"/>
              <w:highlight w:val="none"/>
            </w:rPr>
            <w:fldChar w:fldCharType="begin"/>
          </w:r>
          <w:r>
            <w:rPr>
              <w:color w:val="auto"/>
              <w:highlight w:val="none"/>
            </w:rPr>
            <w:instrText xml:space="preserve"> PAGEREF _Toc32594 \h </w:instrText>
          </w:r>
          <w:r>
            <w:rPr>
              <w:color w:val="auto"/>
              <w:highlight w:val="none"/>
            </w:rPr>
            <w:fldChar w:fldCharType="separate"/>
          </w:r>
          <w:r>
            <w:rPr>
              <w:color w:val="auto"/>
              <w:highlight w:val="none"/>
            </w:rPr>
            <w:t>46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_Toc77 </w:instrText>
          </w:r>
          <w:r>
            <w:rPr>
              <w:rFonts w:cs="Times New Roman"/>
              <w:bCs/>
              <w:color w:val="auto"/>
              <w:highlight w:val="none"/>
              <w:lang w:val="zh-CN"/>
            </w:rPr>
            <w:fldChar w:fldCharType="separate"/>
          </w:r>
          <w:r>
            <w:rPr>
              <w:color w:val="auto"/>
              <w:highlight w:val="none"/>
            </w:rPr>
            <w:t>3.2.2水土保持</w:t>
          </w:r>
          <w:r>
            <w:rPr>
              <w:rFonts w:hint="default" w:ascii="Arial" w:hAnsi="Arial" w:cs="Arial"/>
              <w:color w:val="auto"/>
              <w:highlight w:val="none"/>
            </w:rPr>
            <w:t>保护农田生态系统</w:t>
          </w:r>
          <w:r>
            <w:rPr>
              <w:color w:val="auto"/>
              <w:highlight w:val="none"/>
            </w:rPr>
            <w:t>、</w:t>
          </w:r>
          <w:r>
            <w:rPr>
              <w:rFonts w:hint="default" w:ascii="Arial" w:hAnsi="Arial" w:cs="Arial"/>
              <w:color w:val="auto"/>
              <w:highlight w:val="none"/>
            </w:rPr>
            <w:t>提升土壤保持能力</w:t>
          </w:r>
          <w:r>
            <w:rPr>
              <w:rFonts w:hint="eastAsia" w:ascii="Arial" w:hAnsi="Arial" w:cs="Arial"/>
              <w:color w:val="auto"/>
              <w:highlight w:val="none"/>
              <w:lang w:eastAsia="zh-CN"/>
            </w:rPr>
            <w:t>、</w:t>
          </w:r>
          <w:r>
            <w:rPr>
              <w:color w:val="auto"/>
              <w:highlight w:val="none"/>
            </w:rPr>
            <w:t>促进农业增收</w:t>
          </w:r>
          <w:r>
            <w:rPr>
              <w:color w:val="auto"/>
              <w:highlight w:val="none"/>
            </w:rPr>
            <w:tab/>
          </w:r>
          <w:r>
            <w:rPr>
              <w:color w:val="auto"/>
              <w:highlight w:val="none"/>
            </w:rPr>
            <w:fldChar w:fldCharType="begin"/>
          </w:r>
          <w:r>
            <w:rPr>
              <w:color w:val="auto"/>
              <w:highlight w:val="none"/>
            </w:rPr>
            <w:instrText xml:space="preserve"> PAGEREF _Toc77 \h </w:instrText>
          </w:r>
          <w:r>
            <w:rPr>
              <w:color w:val="auto"/>
              <w:highlight w:val="none"/>
            </w:rPr>
            <w:fldChar w:fldCharType="separate"/>
          </w:r>
          <w:r>
            <w:rPr>
              <w:color w:val="auto"/>
              <w:highlight w:val="none"/>
            </w:rPr>
            <w:t>47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_Toc14386 </w:instrText>
          </w:r>
          <w:r>
            <w:rPr>
              <w:rFonts w:cs="Times New Roman"/>
              <w:bCs/>
              <w:color w:val="auto"/>
              <w:highlight w:val="none"/>
              <w:lang w:val="zh-CN"/>
            </w:rPr>
            <w:fldChar w:fldCharType="separate"/>
          </w:r>
          <w:r>
            <w:rPr>
              <w:color w:val="auto"/>
              <w:highlight w:val="none"/>
            </w:rPr>
            <w:t>3.2.3</w:t>
          </w:r>
          <w:r>
            <w:rPr>
              <w:rFonts w:hint="eastAsia"/>
              <w:color w:val="auto"/>
              <w:highlight w:val="none"/>
              <w:lang w:val="en-US" w:eastAsia="zh-CN"/>
            </w:rPr>
            <w:t>区域发展战略对水土保持提出了更高的要求</w:t>
          </w:r>
          <w:r>
            <w:rPr>
              <w:color w:val="auto"/>
              <w:highlight w:val="none"/>
            </w:rPr>
            <w:tab/>
          </w:r>
          <w:r>
            <w:rPr>
              <w:color w:val="auto"/>
              <w:highlight w:val="none"/>
            </w:rPr>
            <w:fldChar w:fldCharType="begin"/>
          </w:r>
          <w:r>
            <w:rPr>
              <w:color w:val="auto"/>
              <w:highlight w:val="none"/>
            </w:rPr>
            <w:instrText xml:space="preserve"> PAGEREF _Toc14386 \h </w:instrText>
          </w:r>
          <w:r>
            <w:rPr>
              <w:color w:val="auto"/>
              <w:highlight w:val="none"/>
            </w:rPr>
            <w:fldChar w:fldCharType="separate"/>
          </w:r>
          <w:r>
            <w:rPr>
              <w:color w:val="auto"/>
              <w:highlight w:val="none"/>
            </w:rPr>
            <w:t>48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_Toc30386 </w:instrText>
          </w:r>
          <w:r>
            <w:rPr>
              <w:rFonts w:cs="Times New Roman"/>
              <w:bCs/>
              <w:color w:val="auto"/>
              <w:highlight w:val="none"/>
              <w:lang w:val="zh-CN"/>
            </w:rPr>
            <w:fldChar w:fldCharType="separate"/>
          </w:r>
          <w:r>
            <w:rPr>
              <w:color w:val="auto"/>
              <w:highlight w:val="none"/>
            </w:rPr>
            <w:t>3.2.4乡村振兴要求水土保持发挥积极作用</w:t>
          </w:r>
          <w:r>
            <w:rPr>
              <w:color w:val="auto"/>
              <w:highlight w:val="none"/>
            </w:rPr>
            <w:tab/>
          </w:r>
          <w:r>
            <w:rPr>
              <w:color w:val="auto"/>
              <w:highlight w:val="none"/>
            </w:rPr>
            <w:fldChar w:fldCharType="begin"/>
          </w:r>
          <w:r>
            <w:rPr>
              <w:color w:val="auto"/>
              <w:highlight w:val="none"/>
            </w:rPr>
            <w:instrText xml:space="preserve"> PAGEREF _Toc30386 \h </w:instrText>
          </w:r>
          <w:r>
            <w:rPr>
              <w:color w:val="auto"/>
              <w:highlight w:val="none"/>
            </w:rPr>
            <w:fldChar w:fldCharType="separate"/>
          </w:r>
          <w:r>
            <w:rPr>
              <w:color w:val="auto"/>
              <w:highlight w:val="none"/>
            </w:rPr>
            <w:t>49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_Toc1176 </w:instrText>
          </w:r>
          <w:r>
            <w:rPr>
              <w:rFonts w:cs="Times New Roman"/>
              <w:bCs/>
              <w:color w:val="auto"/>
              <w:highlight w:val="none"/>
              <w:lang w:val="zh-CN"/>
            </w:rPr>
            <w:fldChar w:fldCharType="separate"/>
          </w:r>
          <w:r>
            <w:rPr>
              <w:color w:val="auto"/>
              <w:highlight w:val="none"/>
            </w:rPr>
            <w:t>3.2.5“美丽</w:t>
          </w:r>
          <w:r>
            <w:rPr>
              <w:rFonts w:hint="eastAsia"/>
              <w:color w:val="auto"/>
              <w:highlight w:val="none"/>
              <w:lang w:val="en-US" w:eastAsia="zh-CN"/>
            </w:rPr>
            <w:t>中国</w:t>
          </w:r>
          <w:r>
            <w:rPr>
              <w:color w:val="auto"/>
              <w:highlight w:val="none"/>
            </w:rPr>
            <w:t>”建设要求</w:t>
          </w:r>
          <w:r>
            <w:rPr>
              <w:rFonts w:hint="eastAsia"/>
              <w:color w:val="auto"/>
              <w:highlight w:val="none"/>
              <w:lang w:val="en-US" w:eastAsia="zh-CN"/>
            </w:rPr>
            <w:t>发挥水土保持作用</w:t>
          </w:r>
          <w:r>
            <w:rPr>
              <w:color w:val="auto"/>
              <w:highlight w:val="none"/>
            </w:rPr>
            <w:tab/>
          </w:r>
          <w:r>
            <w:rPr>
              <w:color w:val="auto"/>
              <w:highlight w:val="none"/>
            </w:rPr>
            <w:fldChar w:fldCharType="begin"/>
          </w:r>
          <w:r>
            <w:rPr>
              <w:color w:val="auto"/>
              <w:highlight w:val="none"/>
            </w:rPr>
            <w:instrText xml:space="preserve"> PAGEREF _Toc1176 \h </w:instrText>
          </w:r>
          <w:r>
            <w:rPr>
              <w:color w:val="auto"/>
              <w:highlight w:val="none"/>
            </w:rPr>
            <w:fldChar w:fldCharType="separate"/>
          </w:r>
          <w:r>
            <w:rPr>
              <w:color w:val="auto"/>
              <w:highlight w:val="none"/>
            </w:rPr>
            <w:t>50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_Toc19173 </w:instrText>
          </w:r>
          <w:r>
            <w:rPr>
              <w:rFonts w:cs="Times New Roman"/>
              <w:bCs/>
              <w:color w:val="auto"/>
              <w:highlight w:val="none"/>
              <w:lang w:val="zh-CN"/>
            </w:rPr>
            <w:fldChar w:fldCharType="separate"/>
          </w:r>
          <w:r>
            <w:rPr>
              <w:color w:val="auto"/>
              <w:highlight w:val="none"/>
            </w:rPr>
            <w:t>3.2.6加强政府的社会管理和公共服务能力，要求水土保持不断深化改革，全面加强行业能力建设</w:t>
          </w:r>
          <w:r>
            <w:rPr>
              <w:color w:val="auto"/>
              <w:highlight w:val="none"/>
            </w:rPr>
            <w:tab/>
          </w:r>
          <w:r>
            <w:rPr>
              <w:color w:val="auto"/>
              <w:highlight w:val="none"/>
            </w:rPr>
            <w:fldChar w:fldCharType="begin"/>
          </w:r>
          <w:r>
            <w:rPr>
              <w:color w:val="auto"/>
              <w:highlight w:val="none"/>
            </w:rPr>
            <w:instrText xml:space="preserve"> PAGEREF _Toc19173 \h </w:instrText>
          </w:r>
          <w:r>
            <w:rPr>
              <w:color w:val="auto"/>
              <w:highlight w:val="none"/>
            </w:rPr>
            <w:fldChar w:fldCharType="separate"/>
          </w:r>
          <w:r>
            <w:rPr>
              <w:color w:val="auto"/>
              <w:highlight w:val="none"/>
            </w:rPr>
            <w:t>50</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_Toc878 </w:instrText>
          </w:r>
          <w:r>
            <w:rPr>
              <w:rFonts w:cs="Times New Roman"/>
              <w:bCs/>
              <w:color w:val="auto"/>
              <w:highlight w:val="none"/>
              <w:lang w:val="zh-CN"/>
            </w:rPr>
            <w:fldChar w:fldCharType="separate"/>
          </w:r>
          <w:r>
            <w:rPr>
              <w:color w:val="auto"/>
              <w:highlight w:val="none"/>
              <w:lang w:val="en-US"/>
            </w:rPr>
            <w:t>4</w:t>
          </w:r>
          <w:r>
            <w:rPr>
              <w:color w:val="auto"/>
              <w:highlight w:val="none"/>
              <w:lang w:val="en-GB"/>
            </w:rPr>
            <w:t>规划依据、目标和</w:t>
          </w:r>
          <w:r>
            <w:rPr>
              <w:color w:val="auto"/>
              <w:highlight w:val="none"/>
              <w:lang w:val="en-US"/>
            </w:rPr>
            <w:t>任务</w:t>
          </w:r>
          <w:r>
            <w:rPr>
              <w:color w:val="auto"/>
              <w:highlight w:val="none"/>
            </w:rPr>
            <w:tab/>
          </w:r>
          <w:r>
            <w:rPr>
              <w:color w:val="auto"/>
              <w:highlight w:val="none"/>
            </w:rPr>
            <w:fldChar w:fldCharType="begin"/>
          </w:r>
          <w:r>
            <w:rPr>
              <w:color w:val="auto"/>
              <w:highlight w:val="none"/>
            </w:rPr>
            <w:instrText xml:space="preserve"> PAGEREF _Toc878 \h </w:instrText>
          </w:r>
          <w:r>
            <w:rPr>
              <w:color w:val="auto"/>
              <w:highlight w:val="none"/>
            </w:rPr>
            <w:fldChar w:fldCharType="separate"/>
          </w:r>
          <w:r>
            <w:rPr>
              <w:color w:val="auto"/>
              <w:highlight w:val="none"/>
            </w:rPr>
            <w:t>51</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_Toc25908 </w:instrText>
          </w:r>
          <w:r>
            <w:rPr>
              <w:rFonts w:cs="Times New Roman"/>
              <w:bCs/>
              <w:color w:val="auto"/>
              <w:highlight w:val="none"/>
              <w:lang w:val="zh-CN"/>
            </w:rPr>
            <w:fldChar w:fldCharType="separate"/>
          </w:r>
          <w:r>
            <w:rPr>
              <w:color w:val="auto"/>
              <w:highlight w:val="none"/>
              <w:lang w:val="en-US"/>
            </w:rPr>
            <w:t>4.1</w:t>
          </w:r>
          <w:r>
            <w:rPr>
              <w:color w:val="auto"/>
              <w:highlight w:val="none"/>
              <w:lang w:val="en-GB"/>
            </w:rPr>
            <w:t>指导思想和原则</w:t>
          </w:r>
          <w:r>
            <w:rPr>
              <w:color w:val="auto"/>
              <w:highlight w:val="none"/>
            </w:rPr>
            <w:tab/>
          </w:r>
          <w:r>
            <w:rPr>
              <w:color w:val="auto"/>
              <w:highlight w:val="none"/>
            </w:rPr>
            <w:fldChar w:fldCharType="begin"/>
          </w:r>
          <w:r>
            <w:rPr>
              <w:color w:val="auto"/>
              <w:highlight w:val="none"/>
            </w:rPr>
            <w:instrText xml:space="preserve"> PAGEREF _Toc25908 \h </w:instrText>
          </w:r>
          <w:r>
            <w:rPr>
              <w:color w:val="auto"/>
              <w:highlight w:val="none"/>
            </w:rPr>
            <w:fldChar w:fldCharType="separate"/>
          </w:r>
          <w:r>
            <w:rPr>
              <w:color w:val="auto"/>
              <w:highlight w:val="none"/>
            </w:rPr>
            <w:t>51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_Toc21680 </w:instrText>
          </w:r>
          <w:r>
            <w:rPr>
              <w:rFonts w:cs="Times New Roman"/>
              <w:bCs/>
              <w:color w:val="auto"/>
              <w:highlight w:val="none"/>
              <w:lang w:val="zh-CN"/>
            </w:rPr>
            <w:fldChar w:fldCharType="separate"/>
          </w:r>
          <w:r>
            <w:rPr>
              <w:color w:val="auto"/>
              <w:highlight w:val="none"/>
              <w:lang w:val="en-US"/>
            </w:rPr>
            <w:t>4.1.1</w:t>
          </w:r>
          <w:r>
            <w:rPr>
              <w:color w:val="auto"/>
              <w:highlight w:val="none"/>
              <w:lang w:val="en-GB"/>
            </w:rPr>
            <w:t>指导思想</w:t>
          </w:r>
          <w:r>
            <w:rPr>
              <w:color w:val="auto"/>
              <w:highlight w:val="none"/>
            </w:rPr>
            <w:tab/>
          </w:r>
          <w:r>
            <w:rPr>
              <w:color w:val="auto"/>
              <w:highlight w:val="none"/>
            </w:rPr>
            <w:fldChar w:fldCharType="begin"/>
          </w:r>
          <w:r>
            <w:rPr>
              <w:color w:val="auto"/>
              <w:highlight w:val="none"/>
            </w:rPr>
            <w:instrText xml:space="preserve"> PAGEREF _Toc21680 \h </w:instrText>
          </w:r>
          <w:r>
            <w:rPr>
              <w:color w:val="auto"/>
              <w:highlight w:val="none"/>
            </w:rPr>
            <w:fldChar w:fldCharType="separate"/>
          </w:r>
          <w:r>
            <w:rPr>
              <w:color w:val="auto"/>
              <w:highlight w:val="none"/>
            </w:rPr>
            <w:t>51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_Toc25350 </w:instrText>
          </w:r>
          <w:r>
            <w:rPr>
              <w:rFonts w:cs="Times New Roman"/>
              <w:bCs/>
              <w:color w:val="auto"/>
              <w:highlight w:val="none"/>
              <w:lang w:val="zh-CN"/>
            </w:rPr>
            <w:fldChar w:fldCharType="separate"/>
          </w:r>
          <w:r>
            <w:rPr>
              <w:color w:val="auto"/>
              <w:highlight w:val="none"/>
              <w:lang w:val="en-US"/>
            </w:rPr>
            <w:t>4.1.2</w:t>
          </w:r>
          <w:r>
            <w:rPr>
              <w:color w:val="auto"/>
              <w:highlight w:val="none"/>
              <w:lang w:val="en-GB"/>
            </w:rPr>
            <w:t>基本原则</w:t>
          </w:r>
          <w:r>
            <w:rPr>
              <w:color w:val="auto"/>
              <w:highlight w:val="none"/>
            </w:rPr>
            <w:tab/>
          </w:r>
          <w:r>
            <w:rPr>
              <w:color w:val="auto"/>
              <w:highlight w:val="none"/>
            </w:rPr>
            <w:fldChar w:fldCharType="begin"/>
          </w:r>
          <w:r>
            <w:rPr>
              <w:color w:val="auto"/>
              <w:highlight w:val="none"/>
            </w:rPr>
            <w:instrText xml:space="preserve"> PAGEREF _Toc25350 \h </w:instrText>
          </w:r>
          <w:r>
            <w:rPr>
              <w:color w:val="auto"/>
              <w:highlight w:val="none"/>
            </w:rPr>
            <w:fldChar w:fldCharType="separate"/>
          </w:r>
          <w:r>
            <w:rPr>
              <w:color w:val="auto"/>
              <w:highlight w:val="none"/>
            </w:rPr>
            <w:t>52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_Toc4120 </w:instrText>
          </w:r>
          <w:r>
            <w:rPr>
              <w:rFonts w:cs="Times New Roman"/>
              <w:bCs/>
              <w:color w:val="auto"/>
              <w:highlight w:val="none"/>
              <w:lang w:val="zh-CN"/>
            </w:rPr>
            <w:fldChar w:fldCharType="separate"/>
          </w:r>
          <w:r>
            <w:rPr>
              <w:color w:val="auto"/>
              <w:highlight w:val="none"/>
              <w:lang w:val="en-US"/>
            </w:rPr>
            <w:t>4.2</w:t>
          </w:r>
          <w:r>
            <w:rPr>
              <w:color w:val="auto"/>
              <w:highlight w:val="none"/>
              <w:lang w:val="en-GB"/>
            </w:rPr>
            <w:t>编制依据</w:t>
          </w:r>
          <w:r>
            <w:rPr>
              <w:color w:val="auto"/>
              <w:highlight w:val="none"/>
            </w:rPr>
            <w:tab/>
          </w:r>
          <w:r>
            <w:rPr>
              <w:color w:val="auto"/>
              <w:highlight w:val="none"/>
            </w:rPr>
            <w:fldChar w:fldCharType="begin"/>
          </w:r>
          <w:r>
            <w:rPr>
              <w:color w:val="auto"/>
              <w:highlight w:val="none"/>
            </w:rPr>
            <w:instrText xml:space="preserve"> PAGEREF _Toc4120 \h </w:instrText>
          </w:r>
          <w:r>
            <w:rPr>
              <w:color w:val="auto"/>
              <w:highlight w:val="none"/>
            </w:rPr>
            <w:fldChar w:fldCharType="separate"/>
          </w:r>
          <w:r>
            <w:rPr>
              <w:color w:val="auto"/>
              <w:highlight w:val="none"/>
            </w:rPr>
            <w:t>53</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_Toc30033 </w:instrText>
          </w:r>
          <w:r>
            <w:rPr>
              <w:rFonts w:cs="Times New Roman"/>
              <w:bCs/>
              <w:color w:val="auto"/>
              <w:highlight w:val="none"/>
              <w:lang w:val="zh-CN"/>
            </w:rPr>
            <w:fldChar w:fldCharType="separate"/>
          </w:r>
          <w:r>
            <w:rPr>
              <w:color w:val="auto"/>
              <w:highlight w:val="none"/>
              <w:lang w:val="en-US"/>
            </w:rPr>
            <w:t>4.2.1</w:t>
          </w:r>
          <w:r>
            <w:rPr>
              <w:color w:val="auto"/>
              <w:highlight w:val="none"/>
              <w:lang w:val="en-GB"/>
            </w:rPr>
            <w:t>主要法律法规及规范性文件</w:t>
          </w:r>
          <w:r>
            <w:rPr>
              <w:color w:val="auto"/>
              <w:highlight w:val="none"/>
            </w:rPr>
            <w:tab/>
          </w:r>
          <w:r>
            <w:rPr>
              <w:color w:val="auto"/>
              <w:highlight w:val="none"/>
            </w:rPr>
            <w:fldChar w:fldCharType="begin"/>
          </w:r>
          <w:r>
            <w:rPr>
              <w:color w:val="auto"/>
              <w:highlight w:val="none"/>
            </w:rPr>
            <w:instrText xml:space="preserve"> PAGEREF _Toc30033 \h </w:instrText>
          </w:r>
          <w:r>
            <w:rPr>
              <w:color w:val="auto"/>
              <w:highlight w:val="none"/>
            </w:rPr>
            <w:fldChar w:fldCharType="separate"/>
          </w:r>
          <w:r>
            <w:rPr>
              <w:color w:val="auto"/>
              <w:highlight w:val="none"/>
            </w:rPr>
            <w:t>53</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_Toc25161 </w:instrText>
          </w:r>
          <w:r>
            <w:rPr>
              <w:rFonts w:cs="Times New Roman"/>
              <w:bCs/>
              <w:color w:val="auto"/>
              <w:highlight w:val="none"/>
              <w:lang w:val="zh-CN"/>
            </w:rPr>
            <w:fldChar w:fldCharType="separate"/>
          </w:r>
          <w:r>
            <w:rPr>
              <w:color w:val="auto"/>
              <w:highlight w:val="none"/>
              <w:lang w:val="en-US"/>
            </w:rPr>
            <w:t>4.2.2</w:t>
          </w:r>
          <w:r>
            <w:rPr>
              <w:color w:val="auto"/>
              <w:highlight w:val="none"/>
              <w:lang w:val="en-GB"/>
            </w:rPr>
            <w:t>主要技术标准、规程、规范</w:t>
          </w:r>
          <w:r>
            <w:rPr>
              <w:color w:val="auto"/>
              <w:highlight w:val="none"/>
            </w:rPr>
            <w:tab/>
          </w:r>
          <w:r>
            <w:rPr>
              <w:color w:val="auto"/>
              <w:highlight w:val="none"/>
            </w:rPr>
            <w:fldChar w:fldCharType="begin"/>
          </w:r>
          <w:r>
            <w:rPr>
              <w:color w:val="auto"/>
              <w:highlight w:val="none"/>
            </w:rPr>
            <w:instrText xml:space="preserve"> PAGEREF _Toc25161 \h </w:instrText>
          </w:r>
          <w:r>
            <w:rPr>
              <w:color w:val="auto"/>
              <w:highlight w:val="none"/>
            </w:rPr>
            <w:fldChar w:fldCharType="separate"/>
          </w:r>
          <w:r>
            <w:rPr>
              <w:color w:val="auto"/>
              <w:highlight w:val="none"/>
            </w:rPr>
            <w:t>55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_Toc24494 </w:instrText>
          </w:r>
          <w:r>
            <w:rPr>
              <w:rFonts w:cs="Times New Roman"/>
              <w:bCs/>
              <w:color w:val="auto"/>
              <w:highlight w:val="none"/>
              <w:lang w:val="zh-CN"/>
            </w:rPr>
            <w:fldChar w:fldCharType="separate"/>
          </w:r>
          <w:r>
            <w:rPr>
              <w:color w:val="auto"/>
              <w:highlight w:val="none"/>
              <w:lang w:val="en-US"/>
            </w:rPr>
            <w:t>4.2.3</w:t>
          </w:r>
          <w:r>
            <w:rPr>
              <w:color w:val="auto"/>
              <w:highlight w:val="none"/>
              <w:lang w:val="en-GB"/>
            </w:rPr>
            <w:t>主要相关规划及资料</w:t>
          </w:r>
          <w:r>
            <w:rPr>
              <w:color w:val="auto"/>
              <w:highlight w:val="none"/>
            </w:rPr>
            <w:tab/>
          </w:r>
          <w:r>
            <w:rPr>
              <w:color w:val="auto"/>
              <w:highlight w:val="none"/>
            </w:rPr>
            <w:fldChar w:fldCharType="begin"/>
          </w:r>
          <w:r>
            <w:rPr>
              <w:color w:val="auto"/>
              <w:highlight w:val="none"/>
            </w:rPr>
            <w:instrText xml:space="preserve"> PAGEREF _Toc24494 \h </w:instrText>
          </w:r>
          <w:r>
            <w:rPr>
              <w:color w:val="auto"/>
              <w:highlight w:val="none"/>
            </w:rPr>
            <w:fldChar w:fldCharType="separate"/>
          </w:r>
          <w:r>
            <w:rPr>
              <w:color w:val="auto"/>
              <w:highlight w:val="none"/>
            </w:rPr>
            <w:t>56</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_Toc3077 </w:instrText>
          </w:r>
          <w:r>
            <w:rPr>
              <w:rFonts w:cs="Times New Roman"/>
              <w:bCs/>
              <w:color w:val="auto"/>
              <w:highlight w:val="none"/>
              <w:lang w:val="zh-CN"/>
            </w:rPr>
            <w:fldChar w:fldCharType="separate"/>
          </w:r>
          <w:r>
            <w:rPr>
              <w:color w:val="auto"/>
              <w:highlight w:val="none"/>
              <w:lang w:val="en-US"/>
            </w:rPr>
            <w:t>4.3规划水平年</w:t>
          </w:r>
          <w:r>
            <w:rPr>
              <w:color w:val="auto"/>
              <w:highlight w:val="none"/>
            </w:rPr>
            <w:tab/>
          </w:r>
          <w:r>
            <w:rPr>
              <w:color w:val="auto"/>
              <w:highlight w:val="none"/>
            </w:rPr>
            <w:fldChar w:fldCharType="begin"/>
          </w:r>
          <w:r>
            <w:rPr>
              <w:color w:val="auto"/>
              <w:highlight w:val="none"/>
            </w:rPr>
            <w:instrText xml:space="preserve"> PAGEREF _Toc3077 \h </w:instrText>
          </w:r>
          <w:r>
            <w:rPr>
              <w:color w:val="auto"/>
              <w:highlight w:val="none"/>
            </w:rPr>
            <w:fldChar w:fldCharType="separate"/>
          </w:r>
          <w:r>
            <w:rPr>
              <w:color w:val="auto"/>
              <w:highlight w:val="none"/>
            </w:rPr>
            <w:t>57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_Toc1306 </w:instrText>
          </w:r>
          <w:r>
            <w:rPr>
              <w:rFonts w:cs="Times New Roman"/>
              <w:bCs/>
              <w:color w:val="auto"/>
              <w:highlight w:val="none"/>
              <w:lang w:val="zh-CN"/>
            </w:rPr>
            <w:fldChar w:fldCharType="separate"/>
          </w:r>
          <w:r>
            <w:rPr>
              <w:color w:val="auto"/>
              <w:highlight w:val="none"/>
              <w:lang w:val="en-US"/>
            </w:rPr>
            <w:t>4.4规划目标任务</w:t>
          </w:r>
          <w:r>
            <w:rPr>
              <w:color w:val="auto"/>
              <w:highlight w:val="none"/>
            </w:rPr>
            <w:tab/>
          </w:r>
          <w:r>
            <w:rPr>
              <w:color w:val="auto"/>
              <w:highlight w:val="none"/>
            </w:rPr>
            <w:fldChar w:fldCharType="begin"/>
          </w:r>
          <w:r>
            <w:rPr>
              <w:color w:val="auto"/>
              <w:highlight w:val="none"/>
            </w:rPr>
            <w:instrText xml:space="preserve"> PAGEREF _Toc1306 \h </w:instrText>
          </w:r>
          <w:r>
            <w:rPr>
              <w:color w:val="auto"/>
              <w:highlight w:val="none"/>
            </w:rPr>
            <w:fldChar w:fldCharType="separate"/>
          </w:r>
          <w:r>
            <w:rPr>
              <w:color w:val="auto"/>
              <w:highlight w:val="none"/>
            </w:rPr>
            <w:t>57</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_Toc7293 </w:instrText>
          </w:r>
          <w:r>
            <w:rPr>
              <w:rFonts w:cs="Times New Roman"/>
              <w:bCs/>
              <w:color w:val="auto"/>
              <w:highlight w:val="none"/>
              <w:lang w:val="zh-CN"/>
            </w:rPr>
            <w:fldChar w:fldCharType="separate"/>
          </w:r>
          <w:r>
            <w:rPr>
              <w:color w:val="auto"/>
              <w:highlight w:val="none"/>
              <w:lang w:val="en-US"/>
            </w:rPr>
            <w:t>5</w:t>
          </w:r>
          <w:r>
            <w:rPr>
              <w:color w:val="auto"/>
              <w:highlight w:val="none"/>
              <w:lang w:val="en-GB"/>
            </w:rPr>
            <w:t>总体布局</w:t>
          </w:r>
          <w:r>
            <w:rPr>
              <w:color w:val="auto"/>
              <w:highlight w:val="none"/>
            </w:rPr>
            <w:tab/>
          </w:r>
          <w:r>
            <w:rPr>
              <w:color w:val="auto"/>
              <w:highlight w:val="none"/>
            </w:rPr>
            <w:fldChar w:fldCharType="begin"/>
          </w:r>
          <w:r>
            <w:rPr>
              <w:color w:val="auto"/>
              <w:highlight w:val="none"/>
            </w:rPr>
            <w:instrText xml:space="preserve"> PAGEREF _Toc7293 \h </w:instrText>
          </w:r>
          <w:r>
            <w:rPr>
              <w:color w:val="auto"/>
              <w:highlight w:val="none"/>
            </w:rPr>
            <w:fldChar w:fldCharType="separate"/>
          </w:r>
          <w:r>
            <w:rPr>
              <w:color w:val="auto"/>
              <w:highlight w:val="none"/>
            </w:rPr>
            <w:t>60</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_Toc6048 </w:instrText>
          </w:r>
          <w:r>
            <w:rPr>
              <w:rFonts w:cs="Times New Roman"/>
              <w:bCs/>
              <w:color w:val="auto"/>
              <w:highlight w:val="none"/>
              <w:lang w:val="zh-CN"/>
            </w:rPr>
            <w:fldChar w:fldCharType="separate"/>
          </w:r>
          <w:r>
            <w:rPr>
              <w:color w:val="auto"/>
              <w:highlight w:val="none"/>
              <w:lang w:val="en-US"/>
            </w:rPr>
            <w:t>5.1区域布局</w:t>
          </w:r>
          <w:r>
            <w:rPr>
              <w:color w:val="auto"/>
              <w:highlight w:val="none"/>
            </w:rPr>
            <w:tab/>
          </w:r>
          <w:r>
            <w:rPr>
              <w:color w:val="auto"/>
              <w:highlight w:val="none"/>
            </w:rPr>
            <w:fldChar w:fldCharType="begin"/>
          </w:r>
          <w:r>
            <w:rPr>
              <w:color w:val="auto"/>
              <w:highlight w:val="none"/>
            </w:rPr>
            <w:instrText xml:space="preserve"> PAGEREF _Toc6048 \h </w:instrText>
          </w:r>
          <w:r>
            <w:rPr>
              <w:color w:val="auto"/>
              <w:highlight w:val="none"/>
            </w:rPr>
            <w:fldChar w:fldCharType="separate"/>
          </w:r>
          <w:r>
            <w:rPr>
              <w:color w:val="auto"/>
              <w:highlight w:val="none"/>
            </w:rPr>
            <w:t>60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_Toc18109 </w:instrText>
          </w:r>
          <w:r>
            <w:rPr>
              <w:rFonts w:cs="Times New Roman"/>
              <w:bCs/>
              <w:color w:val="auto"/>
              <w:highlight w:val="none"/>
              <w:lang w:val="zh-CN"/>
            </w:rPr>
            <w:fldChar w:fldCharType="separate"/>
          </w:r>
          <w:r>
            <w:rPr>
              <w:color w:val="auto"/>
              <w:highlight w:val="none"/>
              <w:lang w:val="en-US"/>
            </w:rPr>
            <w:t>5.1.1</w:t>
          </w:r>
          <w:r>
            <w:rPr>
              <w:color w:val="auto"/>
              <w:highlight w:val="none"/>
            </w:rPr>
            <w:t>上</w:t>
          </w:r>
          <w:r>
            <w:rPr>
              <w:color w:val="auto"/>
              <w:highlight w:val="none"/>
              <w:lang w:val="en-US"/>
            </w:rPr>
            <w:t>级</w:t>
          </w:r>
          <w:r>
            <w:rPr>
              <w:color w:val="auto"/>
              <w:highlight w:val="none"/>
            </w:rPr>
            <w:t>水土保持区划情况</w:t>
          </w:r>
          <w:r>
            <w:rPr>
              <w:color w:val="auto"/>
              <w:highlight w:val="none"/>
            </w:rPr>
            <w:tab/>
          </w:r>
          <w:r>
            <w:rPr>
              <w:color w:val="auto"/>
              <w:highlight w:val="none"/>
            </w:rPr>
            <w:fldChar w:fldCharType="begin"/>
          </w:r>
          <w:r>
            <w:rPr>
              <w:color w:val="auto"/>
              <w:highlight w:val="none"/>
            </w:rPr>
            <w:instrText xml:space="preserve"> PAGEREF _Toc18109 \h </w:instrText>
          </w:r>
          <w:r>
            <w:rPr>
              <w:color w:val="auto"/>
              <w:highlight w:val="none"/>
            </w:rPr>
            <w:fldChar w:fldCharType="separate"/>
          </w:r>
          <w:r>
            <w:rPr>
              <w:color w:val="auto"/>
              <w:highlight w:val="none"/>
            </w:rPr>
            <w:t>60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_Toc27271 </w:instrText>
          </w:r>
          <w:r>
            <w:rPr>
              <w:rFonts w:cs="Times New Roman"/>
              <w:bCs/>
              <w:color w:val="auto"/>
              <w:highlight w:val="none"/>
              <w:lang w:val="zh-CN"/>
            </w:rPr>
            <w:fldChar w:fldCharType="separate"/>
          </w:r>
          <w:r>
            <w:rPr>
              <w:color w:val="auto"/>
              <w:highlight w:val="none"/>
              <w:lang w:val="en-US"/>
            </w:rPr>
            <w:t>5.1.2水土保持区划方法</w:t>
          </w:r>
          <w:r>
            <w:rPr>
              <w:color w:val="auto"/>
              <w:highlight w:val="none"/>
            </w:rPr>
            <w:tab/>
          </w:r>
          <w:r>
            <w:rPr>
              <w:color w:val="auto"/>
              <w:highlight w:val="none"/>
            </w:rPr>
            <w:fldChar w:fldCharType="begin"/>
          </w:r>
          <w:r>
            <w:rPr>
              <w:color w:val="auto"/>
              <w:highlight w:val="none"/>
            </w:rPr>
            <w:instrText xml:space="preserve"> PAGEREF _Toc27271 \h </w:instrText>
          </w:r>
          <w:r>
            <w:rPr>
              <w:color w:val="auto"/>
              <w:highlight w:val="none"/>
            </w:rPr>
            <w:fldChar w:fldCharType="separate"/>
          </w:r>
          <w:r>
            <w:rPr>
              <w:color w:val="auto"/>
              <w:highlight w:val="none"/>
            </w:rPr>
            <w:t>61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_Toc29621 </w:instrText>
          </w:r>
          <w:r>
            <w:rPr>
              <w:rFonts w:cs="Times New Roman"/>
              <w:bCs/>
              <w:color w:val="auto"/>
              <w:highlight w:val="none"/>
              <w:lang w:val="zh-CN"/>
            </w:rPr>
            <w:fldChar w:fldCharType="separate"/>
          </w:r>
          <w:r>
            <w:rPr>
              <w:color w:val="auto"/>
              <w:highlight w:val="none"/>
              <w:lang w:val="en-US"/>
            </w:rPr>
            <w:t>5.1.3区划成果</w:t>
          </w:r>
          <w:r>
            <w:rPr>
              <w:color w:val="auto"/>
              <w:highlight w:val="none"/>
            </w:rPr>
            <w:t>与布局</w:t>
          </w:r>
          <w:r>
            <w:rPr>
              <w:color w:val="auto"/>
              <w:highlight w:val="none"/>
            </w:rPr>
            <w:tab/>
          </w:r>
          <w:r>
            <w:rPr>
              <w:color w:val="auto"/>
              <w:highlight w:val="none"/>
            </w:rPr>
            <w:fldChar w:fldCharType="begin"/>
          </w:r>
          <w:r>
            <w:rPr>
              <w:color w:val="auto"/>
              <w:highlight w:val="none"/>
            </w:rPr>
            <w:instrText xml:space="preserve"> PAGEREF _Toc29621 \h </w:instrText>
          </w:r>
          <w:r>
            <w:rPr>
              <w:color w:val="auto"/>
              <w:highlight w:val="none"/>
            </w:rPr>
            <w:fldChar w:fldCharType="separate"/>
          </w:r>
          <w:r>
            <w:rPr>
              <w:color w:val="auto"/>
              <w:highlight w:val="none"/>
            </w:rPr>
            <w:t>62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_Toc8887 </w:instrText>
          </w:r>
          <w:r>
            <w:rPr>
              <w:rFonts w:cs="Times New Roman"/>
              <w:bCs/>
              <w:color w:val="auto"/>
              <w:highlight w:val="none"/>
              <w:lang w:val="zh-CN"/>
            </w:rPr>
            <w:fldChar w:fldCharType="separate"/>
          </w:r>
          <w:r>
            <w:rPr>
              <w:color w:val="auto"/>
              <w:highlight w:val="none"/>
              <w:lang w:val="en-US"/>
            </w:rPr>
            <w:t>5.2</w:t>
          </w:r>
          <w:r>
            <w:rPr>
              <w:color w:val="auto"/>
              <w:highlight w:val="none"/>
            </w:rPr>
            <w:t>重点布局</w:t>
          </w:r>
          <w:r>
            <w:rPr>
              <w:color w:val="auto"/>
              <w:highlight w:val="none"/>
            </w:rPr>
            <w:tab/>
          </w:r>
          <w:r>
            <w:rPr>
              <w:color w:val="auto"/>
              <w:highlight w:val="none"/>
            </w:rPr>
            <w:fldChar w:fldCharType="begin"/>
          </w:r>
          <w:r>
            <w:rPr>
              <w:color w:val="auto"/>
              <w:highlight w:val="none"/>
            </w:rPr>
            <w:instrText xml:space="preserve"> PAGEREF _Toc8887 \h </w:instrText>
          </w:r>
          <w:r>
            <w:rPr>
              <w:color w:val="auto"/>
              <w:highlight w:val="none"/>
            </w:rPr>
            <w:fldChar w:fldCharType="separate"/>
          </w:r>
          <w:r>
            <w:rPr>
              <w:color w:val="auto"/>
              <w:highlight w:val="none"/>
            </w:rPr>
            <w:t>67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_Toc32127 </w:instrText>
          </w:r>
          <w:r>
            <w:rPr>
              <w:rFonts w:cs="Times New Roman"/>
              <w:bCs/>
              <w:color w:val="auto"/>
              <w:highlight w:val="none"/>
              <w:lang w:val="zh-CN"/>
            </w:rPr>
            <w:fldChar w:fldCharType="separate"/>
          </w:r>
          <w:r>
            <w:rPr>
              <w:color w:val="auto"/>
              <w:highlight w:val="none"/>
              <w:lang w:val="en-US"/>
            </w:rPr>
            <w:t>5.2.1</w:t>
          </w:r>
          <w:r>
            <w:rPr>
              <w:color w:val="auto"/>
              <w:highlight w:val="none"/>
            </w:rPr>
            <w:t>水土流失重点防治区划分</w:t>
          </w:r>
          <w:r>
            <w:rPr>
              <w:color w:val="auto"/>
              <w:highlight w:val="none"/>
            </w:rPr>
            <w:tab/>
          </w:r>
          <w:r>
            <w:rPr>
              <w:color w:val="auto"/>
              <w:highlight w:val="none"/>
            </w:rPr>
            <w:fldChar w:fldCharType="begin"/>
          </w:r>
          <w:r>
            <w:rPr>
              <w:color w:val="auto"/>
              <w:highlight w:val="none"/>
            </w:rPr>
            <w:instrText xml:space="preserve"> PAGEREF _Toc32127 \h </w:instrText>
          </w:r>
          <w:r>
            <w:rPr>
              <w:color w:val="auto"/>
              <w:highlight w:val="none"/>
            </w:rPr>
            <w:fldChar w:fldCharType="separate"/>
          </w:r>
          <w:r>
            <w:rPr>
              <w:color w:val="auto"/>
              <w:highlight w:val="none"/>
            </w:rPr>
            <w:t>68</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_Toc8045 </w:instrText>
          </w:r>
          <w:r>
            <w:rPr>
              <w:rFonts w:cs="Times New Roman"/>
              <w:bCs/>
              <w:color w:val="auto"/>
              <w:highlight w:val="none"/>
              <w:lang w:val="zh-CN"/>
            </w:rPr>
            <w:fldChar w:fldCharType="separate"/>
          </w:r>
          <w:r>
            <w:rPr>
              <w:color w:val="auto"/>
              <w:highlight w:val="none"/>
              <w:lang w:val="en-US"/>
            </w:rPr>
            <w:t>6</w:t>
          </w:r>
          <w:r>
            <w:rPr>
              <w:color w:val="auto"/>
              <w:highlight w:val="none"/>
            </w:rPr>
            <w:t>预防</w:t>
          </w:r>
          <w:r>
            <w:rPr>
              <w:color w:val="auto"/>
              <w:highlight w:val="none"/>
              <w:lang w:val="en-US"/>
            </w:rPr>
            <w:t>保护</w:t>
          </w:r>
          <w:r>
            <w:rPr>
              <w:color w:val="auto"/>
              <w:highlight w:val="none"/>
            </w:rPr>
            <w:tab/>
          </w:r>
          <w:r>
            <w:rPr>
              <w:color w:val="auto"/>
              <w:highlight w:val="none"/>
            </w:rPr>
            <w:fldChar w:fldCharType="begin"/>
          </w:r>
          <w:r>
            <w:rPr>
              <w:color w:val="auto"/>
              <w:highlight w:val="none"/>
            </w:rPr>
            <w:instrText xml:space="preserve"> PAGEREF _Toc8045 \h </w:instrText>
          </w:r>
          <w:r>
            <w:rPr>
              <w:color w:val="auto"/>
              <w:highlight w:val="none"/>
            </w:rPr>
            <w:fldChar w:fldCharType="separate"/>
          </w:r>
          <w:r>
            <w:rPr>
              <w:color w:val="auto"/>
              <w:highlight w:val="none"/>
            </w:rPr>
            <w:t>69</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_Toc9671 </w:instrText>
          </w:r>
          <w:r>
            <w:rPr>
              <w:rFonts w:cs="Times New Roman"/>
              <w:bCs/>
              <w:color w:val="auto"/>
              <w:highlight w:val="none"/>
              <w:lang w:val="zh-CN"/>
            </w:rPr>
            <w:fldChar w:fldCharType="separate"/>
          </w:r>
          <w:r>
            <w:rPr>
              <w:color w:val="auto"/>
              <w:highlight w:val="none"/>
              <w:lang w:val="en-US"/>
            </w:rPr>
            <w:t>6.</w:t>
          </w:r>
          <w:r>
            <w:rPr>
              <w:color w:val="auto"/>
              <w:highlight w:val="none"/>
            </w:rPr>
            <w:t>1预防范围、对象及规模</w:t>
          </w:r>
          <w:r>
            <w:rPr>
              <w:color w:val="auto"/>
              <w:highlight w:val="none"/>
            </w:rPr>
            <w:tab/>
          </w:r>
          <w:r>
            <w:rPr>
              <w:color w:val="auto"/>
              <w:highlight w:val="none"/>
            </w:rPr>
            <w:fldChar w:fldCharType="begin"/>
          </w:r>
          <w:r>
            <w:rPr>
              <w:color w:val="auto"/>
              <w:highlight w:val="none"/>
            </w:rPr>
            <w:instrText xml:space="preserve"> PAGEREF _Toc9671 \h </w:instrText>
          </w:r>
          <w:r>
            <w:rPr>
              <w:color w:val="auto"/>
              <w:highlight w:val="none"/>
            </w:rPr>
            <w:fldChar w:fldCharType="separate"/>
          </w:r>
          <w:r>
            <w:rPr>
              <w:color w:val="auto"/>
              <w:highlight w:val="none"/>
            </w:rPr>
            <w:t>69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_Toc1403 </w:instrText>
          </w:r>
          <w:r>
            <w:rPr>
              <w:rFonts w:cs="Times New Roman"/>
              <w:bCs/>
              <w:color w:val="auto"/>
              <w:highlight w:val="none"/>
              <w:lang w:val="zh-CN"/>
            </w:rPr>
            <w:fldChar w:fldCharType="separate"/>
          </w:r>
          <w:r>
            <w:rPr>
              <w:color w:val="auto"/>
              <w:highlight w:val="none"/>
              <w:lang w:val="en-US"/>
            </w:rPr>
            <w:t>6.</w:t>
          </w:r>
          <w:r>
            <w:rPr>
              <w:color w:val="auto"/>
              <w:highlight w:val="none"/>
            </w:rPr>
            <w:t>1.1确定原则</w:t>
          </w:r>
          <w:r>
            <w:rPr>
              <w:color w:val="auto"/>
              <w:highlight w:val="none"/>
            </w:rPr>
            <w:tab/>
          </w:r>
          <w:r>
            <w:rPr>
              <w:color w:val="auto"/>
              <w:highlight w:val="none"/>
            </w:rPr>
            <w:fldChar w:fldCharType="begin"/>
          </w:r>
          <w:r>
            <w:rPr>
              <w:color w:val="auto"/>
              <w:highlight w:val="none"/>
            </w:rPr>
            <w:instrText xml:space="preserve"> PAGEREF _Toc1403 \h </w:instrText>
          </w:r>
          <w:r>
            <w:rPr>
              <w:color w:val="auto"/>
              <w:highlight w:val="none"/>
            </w:rPr>
            <w:fldChar w:fldCharType="separate"/>
          </w:r>
          <w:r>
            <w:rPr>
              <w:color w:val="auto"/>
              <w:highlight w:val="none"/>
            </w:rPr>
            <w:t>69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_Toc10373 </w:instrText>
          </w:r>
          <w:r>
            <w:rPr>
              <w:rFonts w:cs="Times New Roman"/>
              <w:bCs/>
              <w:color w:val="auto"/>
              <w:highlight w:val="none"/>
              <w:lang w:val="zh-CN"/>
            </w:rPr>
            <w:fldChar w:fldCharType="separate"/>
          </w:r>
          <w:r>
            <w:rPr>
              <w:color w:val="auto"/>
              <w:highlight w:val="none"/>
              <w:lang w:val="en-US"/>
            </w:rPr>
            <w:t>6.</w:t>
          </w:r>
          <w:r>
            <w:rPr>
              <w:color w:val="auto"/>
              <w:highlight w:val="none"/>
            </w:rPr>
            <w:t>1.2</w:t>
          </w:r>
          <w:r>
            <w:rPr>
              <w:rFonts w:hint="eastAsia"/>
              <w:color w:val="auto"/>
              <w:highlight w:val="none"/>
              <w:lang w:val="en-US" w:eastAsia="zh-CN"/>
            </w:rPr>
            <w:t>柳江区基本情况</w:t>
          </w:r>
          <w:r>
            <w:rPr>
              <w:color w:val="auto"/>
              <w:highlight w:val="none"/>
            </w:rPr>
            <w:tab/>
          </w:r>
          <w:r>
            <w:rPr>
              <w:color w:val="auto"/>
              <w:highlight w:val="none"/>
            </w:rPr>
            <w:fldChar w:fldCharType="begin"/>
          </w:r>
          <w:r>
            <w:rPr>
              <w:color w:val="auto"/>
              <w:highlight w:val="none"/>
            </w:rPr>
            <w:instrText xml:space="preserve"> PAGEREF _Toc10373 \h </w:instrText>
          </w:r>
          <w:r>
            <w:rPr>
              <w:color w:val="auto"/>
              <w:highlight w:val="none"/>
            </w:rPr>
            <w:fldChar w:fldCharType="separate"/>
          </w:r>
          <w:r>
            <w:rPr>
              <w:color w:val="auto"/>
              <w:highlight w:val="none"/>
            </w:rPr>
            <w:t>69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_Toc27050 </w:instrText>
          </w:r>
          <w:r>
            <w:rPr>
              <w:rFonts w:cs="Times New Roman"/>
              <w:bCs/>
              <w:color w:val="auto"/>
              <w:highlight w:val="none"/>
              <w:lang w:val="zh-CN"/>
            </w:rPr>
            <w:fldChar w:fldCharType="separate"/>
          </w:r>
          <w:r>
            <w:rPr>
              <w:color w:val="auto"/>
              <w:highlight w:val="none"/>
              <w:lang w:val="en-US"/>
            </w:rPr>
            <w:t>6.</w:t>
          </w:r>
          <w:r>
            <w:rPr>
              <w:color w:val="auto"/>
              <w:highlight w:val="none"/>
            </w:rPr>
            <w:t>1.2预防保护对象</w:t>
          </w:r>
          <w:r>
            <w:rPr>
              <w:color w:val="auto"/>
              <w:highlight w:val="none"/>
            </w:rPr>
            <w:tab/>
          </w:r>
          <w:r>
            <w:rPr>
              <w:color w:val="auto"/>
              <w:highlight w:val="none"/>
            </w:rPr>
            <w:fldChar w:fldCharType="begin"/>
          </w:r>
          <w:r>
            <w:rPr>
              <w:color w:val="auto"/>
              <w:highlight w:val="none"/>
            </w:rPr>
            <w:instrText xml:space="preserve"> PAGEREF _Toc27050 \h </w:instrText>
          </w:r>
          <w:r>
            <w:rPr>
              <w:color w:val="auto"/>
              <w:highlight w:val="none"/>
            </w:rPr>
            <w:fldChar w:fldCharType="separate"/>
          </w:r>
          <w:r>
            <w:rPr>
              <w:color w:val="auto"/>
              <w:highlight w:val="none"/>
            </w:rPr>
            <w:t>73</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_Toc5474 </w:instrText>
          </w:r>
          <w:r>
            <w:rPr>
              <w:rFonts w:cs="Times New Roman"/>
              <w:bCs/>
              <w:color w:val="auto"/>
              <w:highlight w:val="none"/>
              <w:lang w:val="zh-CN"/>
            </w:rPr>
            <w:fldChar w:fldCharType="separate"/>
          </w:r>
          <w:r>
            <w:rPr>
              <w:color w:val="auto"/>
              <w:highlight w:val="none"/>
              <w:lang w:val="en-US"/>
            </w:rPr>
            <w:t>6.1.3</w:t>
          </w:r>
          <w:r>
            <w:rPr>
              <w:color w:val="auto"/>
              <w:highlight w:val="none"/>
            </w:rPr>
            <w:t>预防范围与规模</w:t>
          </w:r>
          <w:r>
            <w:rPr>
              <w:color w:val="auto"/>
              <w:highlight w:val="none"/>
            </w:rPr>
            <w:tab/>
          </w:r>
          <w:r>
            <w:rPr>
              <w:color w:val="auto"/>
              <w:highlight w:val="none"/>
            </w:rPr>
            <w:fldChar w:fldCharType="begin"/>
          </w:r>
          <w:r>
            <w:rPr>
              <w:color w:val="auto"/>
              <w:highlight w:val="none"/>
            </w:rPr>
            <w:instrText xml:space="preserve"> PAGEREF _Toc5474 \h </w:instrText>
          </w:r>
          <w:r>
            <w:rPr>
              <w:color w:val="auto"/>
              <w:highlight w:val="none"/>
            </w:rPr>
            <w:fldChar w:fldCharType="separate"/>
          </w:r>
          <w:r>
            <w:rPr>
              <w:color w:val="auto"/>
              <w:highlight w:val="none"/>
            </w:rPr>
            <w:t>73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_Toc15090 </w:instrText>
          </w:r>
          <w:r>
            <w:rPr>
              <w:rFonts w:cs="Times New Roman"/>
              <w:bCs/>
              <w:color w:val="auto"/>
              <w:highlight w:val="none"/>
              <w:lang w:val="zh-CN"/>
            </w:rPr>
            <w:fldChar w:fldCharType="separate"/>
          </w:r>
          <w:r>
            <w:rPr>
              <w:color w:val="auto"/>
              <w:highlight w:val="none"/>
              <w:lang w:val="en-US"/>
            </w:rPr>
            <w:t>6.</w:t>
          </w:r>
          <w:r>
            <w:rPr>
              <w:color w:val="auto"/>
              <w:highlight w:val="none"/>
            </w:rPr>
            <w:t>2预防措施体系</w:t>
          </w:r>
          <w:r>
            <w:rPr>
              <w:color w:val="auto"/>
              <w:highlight w:val="none"/>
            </w:rPr>
            <w:tab/>
          </w:r>
          <w:r>
            <w:rPr>
              <w:color w:val="auto"/>
              <w:highlight w:val="none"/>
            </w:rPr>
            <w:fldChar w:fldCharType="begin"/>
          </w:r>
          <w:r>
            <w:rPr>
              <w:color w:val="auto"/>
              <w:highlight w:val="none"/>
            </w:rPr>
            <w:instrText xml:space="preserve"> PAGEREF _Toc15090 \h </w:instrText>
          </w:r>
          <w:r>
            <w:rPr>
              <w:color w:val="auto"/>
              <w:highlight w:val="none"/>
            </w:rPr>
            <w:fldChar w:fldCharType="separate"/>
          </w:r>
          <w:r>
            <w:rPr>
              <w:color w:val="auto"/>
              <w:highlight w:val="none"/>
            </w:rPr>
            <w:t>74</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_Toc11656 </w:instrText>
          </w:r>
          <w:r>
            <w:rPr>
              <w:rFonts w:cs="Times New Roman"/>
              <w:bCs/>
              <w:color w:val="auto"/>
              <w:highlight w:val="none"/>
              <w:lang w:val="zh-CN"/>
            </w:rPr>
            <w:fldChar w:fldCharType="separate"/>
          </w:r>
          <w:r>
            <w:rPr>
              <w:bCs w:val="0"/>
              <w:color w:val="auto"/>
              <w:highlight w:val="none"/>
              <w:lang w:val="en-US"/>
            </w:rPr>
            <w:t>6.</w:t>
          </w:r>
          <w:r>
            <w:rPr>
              <w:bCs w:val="0"/>
              <w:color w:val="auto"/>
              <w:highlight w:val="none"/>
            </w:rPr>
            <w:t>2.1管理措施</w:t>
          </w:r>
          <w:r>
            <w:rPr>
              <w:color w:val="auto"/>
              <w:highlight w:val="none"/>
            </w:rPr>
            <w:tab/>
          </w:r>
          <w:r>
            <w:rPr>
              <w:color w:val="auto"/>
              <w:highlight w:val="none"/>
            </w:rPr>
            <w:fldChar w:fldCharType="begin"/>
          </w:r>
          <w:r>
            <w:rPr>
              <w:color w:val="auto"/>
              <w:highlight w:val="none"/>
            </w:rPr>
            <w:instrText xml:space="preserve"> PAGEREF _Toc11656 \h </w:instrText>
          </w:r>
          <w:r>
            <w:rPr>
              <w:color w:val="auto"/>
              <w:highlight w:val="none"/>
            </w:rPr>
            <w:fldChar w:fldCharType="separate"/>
          </w:r>
          <w:r>
            <w:rPr>
              <w:color w:val="auto"/>
              <w:highlight w:val="none"/>
            </w:rPr>
            <w:t>75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_Toc21410 </w:instrText>
          </w:r>
          <w:r>
            <w:rPr>
              <w:rFonts w:cs="Times New Roman"/>
              <w:bCs/>
              <w:color w:val="auto"/>
              <w:highlight w:val="none"/>
              <w:lang w:val="zh-CN"/>
            </w:rPr>
            <w:fldChar w:fldCharType="separate"/>
          </w:r>
          <w:r>
            <w:rPr>
              <w:color w:val="auto"/>
              <w:highlight w:val="none"/>
              <w:lang w:val="en-US"/>
            </w:rPr>
            <w:t>6.2.2技术措施</w:t>
          </w:r>
          <w:r>
            <w:rPr>
              <w:color w:val="auto"/>
              <w:highlight w:val="none"/>
            </w:rPr>
            <w:tab/>
          </w:r>
          <w:r>
            <w:rPr>
              <w:color w:val="auto"/>
              <w:highlight w:val="none"/>
            </w:rPr>
            <w:fldChar w:fldCharType="begin"/>
          </w:r>
          <w:r>
            <w:rPr>
              <w:color w:val="auto"/>
              <w:highlight w:val="none"/>
            </w:rPr>
            <w:instrText xml:space="preserve"> PAGEREF _Toc21410 \h </w:instrText>
          </w:r>
          <w:r>
            <w:rPr>
              <w:color w:val="auto"/>
              <w:highlight w:val="none"/>
            </w:rPr>
            <w:fldChar w:fldCharType="separate"/>
          </w:r>
          <w:r>
            <w:rPr>
              <w:color w:val="auto"/>
              <w:highlight w:val="none"/>
            </w:rPr>
            <w:t>76</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_Toc12460 </w:instrText>
          </w:r>
          <w:r>
            <w:rPr>
              <w:rFonts w:cs="Times New Roman"/>
              <w:bCs/>
              <w:color w:val="auto"/>
              <w:highlight w:val="none"/>
              <w:lang w:val="zh-CN"/>
            </w:rPr>
            <w:fldChar w:fldCharType="separate"/>
          </w:r>
          <w:r>
            <w:rPr>
              <w:color w:val="auto"/>
              <w:highlight w:val="none"/>
              <w:lang w:val="en-US"/>
            </w:rPr>
            <w:t>6.3重点预防项目布局</w:t>
          </w:r>
          <w:r>
            <w:rPr>
              <w:color w:val="auto"/>
              <w:highlight w:val="none"/>
            </w:rPr>
            <w:tab/>
          </w:r>
          <w:r>
            <w:rPr>
              <w:color w:val="auto"/>
              <w:highlight w:val="none"/>
            </w:rPr>
            <w:fldChar w:fldCharType="begin"/>
          </w:r>
          <w:r>
            <w:rPr>
              <w:color w:val="auto"/>
              <w:highlight w:val="none"/>
            </w:rPr>
            <w:instrText xml:space="preserve"> PAGEREF _Toc12460 \h </w:instrText>
          </w:r>
          <w:r>
            <w:rPr>
              <w:color w:val="auto"/>
              <w:highlight w:val="none"/>
            </w:rPr>
            <w:fldChar w:fldCharType="separate"/>
          </w:r>
          <w:r>
            <w:rPr>
              <w:color w:val="auto"/>
              <w:highlight w:val="none"/>
            </w:rPr>
            <w:t>80</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_Toc4281 </w:instrText>
          </w:r>
          <w:r>
            <w:rPr>
              <w:rFonts w:cs="Times New Roman"/>
              <w:bCs/>
              <w:color w:val="auto"/>
              <w:highlight w:val="none"/>
              <w:lang w:val="zh-CN"/>
            </w:rPr>
            <w:fldChar w:fldCharType="separate"/>
          </w:r>
          <w:r>
            <w:rPr>
              <w:color w:val="auto"/>
              <w:highlight w:val="none"/>
              <w:lang w:val="en-US"/>
            </w:rPr>
            <w:t>7综合治理</w:t>
          </w:r>
          <w:r>
            <w:rPr>
              <w:color w:val="auto"/>
              <w:highlight w:val="none"/>
            </w:rPr>
            <w:tab/>
          </w:r>
          <w:r>
            <w:rPr>
              <w:color w:val="auto"/>
              <w:highlight w:val="none"/>
            </w:rPr>
            <w:fldChar w:fldCharType="begin"/>
          </w:r>
          <w:r>
            <w:rPr>
              <w:color w:val="auto"/>
              <w:highlight w:val="none"/>
            </w:rPr>
            <w:instrText xml:space="preserve"> PAGEREF _Toc4281 \h </w:instrText>
          </w:r>
          <w:r>
            <w:rPr>
              <w:color w:val="auto"/>
              <w:highlight w:val="none"/>
            </w:rPr>
            <w:fldChar w:fldCharType="separate"/>
          </w:r>
          <w:r>
            <w:rPr>
              <w:color w:val="auto"/>
              <w:highlight w:val="none"/>
            </w:rPr>
            <w:t>82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_Toc7047 </w:instrText>
          </w:r>
          <w:r>
            <w:rPr>
              <w:rFonts w:cs="Times New Roman"/>
              <w:bCs/>
              <w:color w:val="auto"/>
              <w:highlight w:val="none"/>
              <w:lang w:val="zh-CN"/>
            </w:rPr>
            <w:fldChar w:fldCharType="separate"/>
          </w:r>
          <w:r>
            <w:rPr>
              <w:color w:val="auto"/>
              <w:highlight w:val="none"/>
              <w:lang w:val="en-US"/>
            </w:rPr>
            <w:t>7.</w:t>
          </w:r>
          <w:r>
            <w:rPr>
              <w:color w:val="auto"/>
              <w:highlight w:val="none"/>
            </w:rPr>
            <w:t>1治理范围、对象及规模</w:t>
          </w:r>
          <w:r>
            <w:rPr>
              <w:color w:val="auto"/>
              <w:highlight w:val="none"/>
            </w:rPr>
            <w:tab/>
          </w:r>
          <w:r>
            <w:rPr>
              <w:color w:val="auto"/>
              <w:highlight w:val="none"/>
            </w:rPr>
            <w:fldChar w:fldCharType="begin"/>
          </w:r>
          <w:r>
            <w:rPr>
              <w:color w:val="auto"/>
              <w:highlight w:val="none"/>
            </w:rPr>
            <w:instrText xml:space="preserve"> PAGEREF _Toc7047 \h </w:instrText>
          </w:r>
          <w:r>
            <w:rPr>
              <w:color w:val="auto"/>
              <w:highlight w:val="none"/>
            </w:rPr>
            <w:fldChar w:fldCharType="separate"/>
          </w:r>
          <w:r>
            <w:rPr>
              <w:color w:val="auto"/>
              <w:highlight w:val="none"/>
            </w:rPr>
            <w:t>82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_Toc2288 </w:instrText>
          </w:r>
          <w:r>
            <w:rPr>
              <w:rFonts w:cs="Times New Roman"/>
              <w:bCs/>
              <w:color w:val="auto"/>
              <w:highlight w:val="none"/>
              <w:lang w:val="zh-CN"/>
            </w:rPr>
            <w:fldChar w:fldCharType="separate"/>
          </w:r>
          <w:r>
            <w:rPr>
              <w:color w:val="auto"/>
              <w:highlight w:val="none"/>
              <w:lang w:val="en-US"/>
            </w:rPr>
            <w:t>7.</w:t>
          </w:r>
          <w:r>
            <w:rPr>
              <w:color w:val="auto"/>
              <w:highlight w:val="none"/>
            </w:rPr>
            <w:t>1.1确定原则</w:t>
          </w:r>
          <w:r>
            <w:rPr>
              <w:color w:val="auto"/>
              <w:highlight w:val="none"/>
            </w:rPr>
            <w:tab/>
          </w:r>
          <w:r>
            <w:rPr>
              <w:color w:val="auto"/>
              <w:highlight w:val="none"/>
            </w:rPr>
            <w:fldChar w:fldCharType="begin"/>
          </w:r>
          <w:r>
            <w:rPr>
              <w:color w:val="auto"/>
              <w:highlight w:val="none"/>
            </w:rPr>
            <w:instrText xml:space="preserve"> PAGEREF _Toc2288 \h </w:instrText>
          </w:r>
          <w:r>
            <w:rPr>
              <w:color w:val="auto"/>
              <w:highlight w:val="none"/>
            </w:rPr>
            <w:fldChar w:fldCharType="separate"/>
          </w:r>
          <w:r>
            <w:rPr>
              <w:color w:val="auto"/>
              <w:highlight w:val="none"/>
            </w:rPr>
            <w:t>82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_Toc11049 </w:instrText>
          </w:r>
          <w:r>
            <w:rPr>
              <w:rFonts w:cs="Times New Roman"/>
              <w:bCs/>
              <w:color w:val="auto"/>
              <w:highlight w:val="none"/>
              <w:lang w:val="zh-CN"/>
            </w:rPr>
            <w:fldChar w:fldCharType="separate"/>
          </w:r>
          <w:r>
            <w:rPr>
              <w:color w:val="auto"/>
              <w:highlight w:val="none"/>
              <w:lang w:val="en-US"/>
            </w:rPr>
            <w:t>7.</w:t>
          </w:r>
          <w:r>
            <w:rPr>
              <w:color w:val="auto"/>
              <w:highlight w:val="none"/>
            </w:rPr>
            <w:t>1.</w:t>
          </w:r>
          <w:r>
            <w:rPr>
              <w:color w:val="auto"/>
              <w:highlight w:val="none"/>
              <w:lang w:val="en-US"/>
            </w:rPr>
            <w:t>2</w:t>
          </w:r>
          <w:r>
            <w:rPr>
              <w:color w:val="auto"/>
              <w:highlight w:val="none"/>
            </w:rPr>
            <w:t>治理对象</w:t>
          </w:r>
          <w:r>
            <w:rPr>
              <w:color w:val="auto"/>
              <w:highlight w:val="none"/>
            </w:rPr>
            <w:tab/>
          </w:r>
          <w:r>
            <w:rPr>
              <w:color w:val="auto"/>
              <w:highlight w:val="none"/>
            </w:rPr>
            <w:fldChar w:fldCharType="begin"/>
          </w:r>
          <w:r>
            <w:rPr>
              <w:color w:val="auto"/>
              <w:highlight w:val="none"/>
            </w:rPr>
            <w:instrText xml:space="preserve"> PAGEREF _Toc11049 \h </w:instrText>
          </w:r>
          <w:r>
            <w:rPr>
              <w:color w:val="auto"/>
              <w:highlight w:val="none"/>
            </w:rPr>
            <w:fldChar w:fldCharType="separate"/>
          </w:r>
          <w:r>
            <w:rPr>
              <w:color w:val="auto"/>
              <w:highlight w:val="none"/>
            </w:rPr>
            <w:t>82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_Toc2386 </w:instrText>
          </w:r>
          <w:r>
            <w:rPr>
              <w:rFonts w:cs="Times New Roman"/>
              <w:bCs/>
              <w:color w:val="auto"/>
              <w:highlight w:val="none"/>
              <w:lang w:val="zh-CN"/>
            </w:rPr>
            <w:fldChar w:fldCharType="separate"/>
          </w:r>
          <w:r>
            <w:rPr>
              <w:color w:val="auto"/>
              <w:highlight w:val="none"/>
              <w:lang w:val="en-US"/>
            </w:rPr>
            <w:t>7.</w:t>
          </w:r>
          <w:r>
            <w:rPr>
              <w:color w:val="auto"/>
              <w:highlight w:val="none"/>
            </w:rPr>
            <w:t>1.</w:t>
          </w:r>
          <w:r>
            <w:rPr>
              <w:color w:val="auto"/>
              <w:highlight w:val="none"/>
              <w:lang w:val="en-US"/>
            </w:rPr>
            <w:t>3</w:t>
          </w:r>
          <w:r>
            <w:rPr>
              <w:color w:val="auto"/>
              <w:highlight w:val="none"/>
            </w:rPr>
            <w:t>治理范围与规模</w:t>
          </w:r>
          <w:r>
            <w:rPr>
              <w:color w:val="auto"/>
              <w:highlight w:val="none"/>
            </w:rPr>
            <w:tab/>
          </w:r>
          <w:r>
            <w:rPr>
              <w:color w:val="auto"/>
              <w:highlight w:val="none"/>
            </w:rPr>
            <w:fldChar w:fldCharType="begin"/>
          </w:r>
          <w:r>
            <w:rPr>
              <w:color w:val="auto"/>
              <w:highlight w:val="none"/>
            </w:rPr>
            <w:instrText xml:space="preserve"> PAGEREF _Toc2386 \h </w:instrText>
          </w:r>
          <w:r>
            <w:rPr>
              <w:color w:val="auto"/>
              <w:highlight w:val="none"/>
            </w:rPr>
            <w:fldChar w:fldCharType="separate"/>
          </w:r>
          <w:r>
            <w:rPr>
              <w:color w:val="auto"/>
              <w:highlight w:val="none"/>
            </w:rPr>
            <w:t>83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_Toc21445 </w:instrText>
          </w:r>
          <w:r>
            <w:rPr>
              <w:rFonts w:cs="Times New Roman"/>
              <w:bCs/>
              <w:color w:val="auto"/>
              <w:highlight w:val="none"/>
              <w:lang w:val="zh-CN"/>
            </w:rPr>
            <w:fldChar w:fldCharType="separate"/>
          </w:r>
          <w:r>
            <w:rPr>
              <w:color w:val="auto"/>
              <w:highlight w:val="none"/>
              <w:lang w:val="en-US"/>
            </w:rPr>
            <w:t>7.2治理措施体系</w:t>
          </w:r>
          <w:r>
            <w:rPr>
              <w:color w:val="auto"/>
              <w:highlight w:val="none"/>
            </w:rPr>
            <w:tab/>
          </w:r>
          <w:r>
            <w:rPr>
              <w:color w:val="auto"/>
              <w:highlight w:val="none"/>
            </w:rPr>
            <w:fldChar w:fldCharType="begin"/>
          </w:r>
          <w:r>
            <w:rPr>
              <w:color w:val="auto"/>
              <w:highlight w:val="none"/>
            </w:rPr>
            <w:instrText xml:space="preserve"> PAGEREF _Toc21445 \h </w:instrText>
          </w:r>
          <w:r>
            <w:rPr>
              <w:color w:val="auto"/>
              <w:highlight w:val="none"/>
            </w:rPr>
            <w:fldChar w:fldCharType="separate"/>
          </w:r>
          <w:r>
            <w:rPr>
              <w:color w:val="auto"/>
              <w:highlight w:val="none"/>
            </w:rPr>
            <w:t>84</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_Toc27477 </w:instrText>
          </w:r>
          <w:r>
            <w:rPr>
              <w:rFonts w:cs="Times New Roman"/>
              <w:bCs/>
              <w:color w:val="auto"/>
              <w:highlight w:val="none"/>
              <w:lang w:val="zh-CN"/>
            </w:rPr>
            <w:fldChar w:fldCharType="separate"/>
          </w:r>
          <w:r>
            <w:rPr>
              <w:color w:val="auto"/>
              <w:highlight w:val="none"/>
              <w:lang w:val="en-US"/>
            </w:rPr>
            <w:t>7.2.1水土保持林</w:t>
          </w:r>
          <w:r>
            <w:rPr>
              <w:color w:val="auto"/>
              <w:highlight w:val="none"/>
            </w:rPr>
            <w:tab/>
          </w:r>
          <w:r>
            <w:rPr>
              <w:color w:val="auto"/>
              <w:highlight w:val="none"/>
            </w:rPr>
            <w:fldChar w:fldCharType="begin"/>
          </w:r>
          <w:r>
            <w:rPr>
              <w:color w:val="auto"/>
              <w:highlight w:val="none"/>
            </w:rPr>
            <w:instrText xml:space="preserve"> PAGEREF _Toc27477 \h </w:instrText>
          </w:r>
          <w:r>
            <w:rPr>
              <w:color w:val="auto"/>
              <w:highlight w:val="none"/>
            </w:rPr>
            <w:fldChar w:fldCharType="separate"/>
          </w:r>
          <w:r>
            <w:rPr>
              <w:color w:val="auto"/>
              <w:highlight w:val="none"/>
            </w:rPr>
            <w:t>84</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_Toc3807 </w:instrText>
          </w:r>
          <w:r>
            <w:rPr>
              <w:rFonts w:cs="Times New Roman"/>
              <w:bCs/>
              <w:color w:val="auto"/>
              <w:highlight w:val="none"/>
              <w:lang w:val="zh-CN"/>
            </w:rPr>
            <w:fldChar w:fldCharType="separate"/>
          </w:r>
          <w:r>
            <w:rPr>
              <w:color w:val="auto"/>
              <w:highlight w:val="none"/>
              <w:lang w:val="en-US"/>
            </w:rPr>
            <w:t>7.2.2经济果木林</w:t>
          </w:r>
          <w:r>
            <w:rPr>
              <w:color w:val="auto"/>
              <w:highlight w:val="none"/>
            </w:rPr>
            <w:tab/>
          </w:r>
          <w:r>
            <w:rPr>
              <w:color w:val="auto"/>
              <w:highlight w:val="none"/>
            </w:rPr>
            <w:fldChar w:fldCharType="begin"/>
          </w:r>
          <w:r>
            <w:rPr>
              <w:color w:val="auto"/>
              <w:highlight w:val="none"/>
            </w:rPr>
            <w:instrText xml:space="preserve"> PAGEREF _Toc3807 \h </w:instrText>
          </w:r>
          <w:r>
            <w:rPr>
              <w:color w:val="auto"/>
              <w:highlight w:val="none"/>
            </w:rPr>
            <w:fldChar w:fldCharType="separate"/>
          </w:r>
          <w:r>
            <w:rPr>
              <w:color w:val="auto"/>
              <w:highlight w:val="none"/>
            </w:rPr>
            <w:t>84</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_Toc14528 </w:instrText>
          </w:r>
          <w:r>
            <w:rPr>
              <w:rFonts w:cs="Times New Roman"/>
              <w:bCs/>
              <w:color w:val="auto"/>
              <w:highlight w:val="none"/>
              <w:lang w:val="zh-CN"/>
            </w:rPr>
            <w:fldChar w:fldCharType="separate"/>
          </w:r>
          <w:r>
            <w:rPr>
              <w:color w:val="auto"/>
              <w:highlight w:val="none"/>
              <w:lang w:val="en-US"/>
            </w:rPr>
            <w:t>7.2.3封禁治理</w:t>
          </w:r>
          <w:r>
            <w:rPr>
              <w:color w:val="auto"/>
              <w:highlight w:val="none"/>
            </w:rPr>
            <w:tab/>
          </w:r>
          <w:r>
            <w:rPr>
              <w:color w:val="auto"/>
              <w:highlight w:val="none"/>
            </w:rPr>
            <w:fldChar w:fldCharType="begin"/>
          </w:r>
          <w:r>
            <w:rPr>
              <w:color w:val="auto"/>
              <w:highlight w:val="none"/>
            </w:rPr>
            <w:instrText xml:space="preserve"> PAGEREF _Toc14528 \h </w:instrText>
          </w:r>
          <w:r>
            <w:rPr>
              <w:color w:val="auto"/>
              <w:highlight w:val="none"/>
            </w:rPr>
            <w:fldChar w:fldCharType="separate"/>
          </w:r>
          <w:r>
            <w:rPr>
              <w:color w:val="auto"/>
              <w:highlight w:val="none"/>
            </w:rPr>
            <w:t>85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_Toc17425 </w:instrText>
          </w:r>
          <w:r>
            <w:rPr>
              <w:rFonts w:cs="Times New Roman"/>
              <w:bCs/>
              <w:color w:val="auto"/>
              <w:highlight w:val="none"/>
              <w:lang w:val="zh-CN"/>
            </w:rPr>
            <w:fldChar w:fldCharType="separate"/>
          </w:r>
          <w:r>
            <w:rPr>
              <w:color w:val="auto"/>
              <w:highlight w:val="none"/>
              <w:lang w:val="en-US"/>
            </w:rPr>
            <w:t>7.2.4</w:t>
          </w:r>
          <w:r>
            <w:rPr>
              <w:rFonts w:hint="eastAsia"/>
              <w:color w:val="auto"/>
              <w:highlight w:val="none"/>
              <w:lang w:val="en-US" w:eastAsia="zh-CN"/>
            </w:rPr>
            <w:t>坡耕地治理及配套</w:t>
          </w:r>
          <w:r>
            <w:rPr>
              <w:color w:val="auto"/>
              <w:highlight w:val="none"/>
              <w:lang w:val="en-US"/>
            </w:rPr>
            <w:t>工程</w:t>
          </w:r>
          <w:r>
            <w:rPr>
              <w:color w:val="auto"/>
              <w:highlight w:val="none"/>
            </w:rPr>
            <w:tab/>
          </w:r>
          <w:r>
            <w:rPr>
              <w:color w:val="auto"/>
              <w:highlight w:val="none"/>
            </w:rPr>
            <w:fldChar w:fldCharType="begin"/>
          </w:r>
          <w:r>
            <w:rPr>
              <w:color w:val="auto"/>
              <w:highlight w:val="none"/>
            </w:rPr>
            <w:instrText xml:space="preserve"> PAGEREF _Toc17425 \h </w:instrText>
          </w:r>
          <w:r>
            <w:rPr>
              <w:color w:val="auto"/>
              <w:highlight w:val="none"/>
            </w:rPr>
            <w:fldChar w:fldCharType="separate"/>
          </w:r>
          <w:r>
            <w:rPr>
              <w:color w:val="auto"/>
              <w:highlight w:val="none"/>
            </w:rPr>
            <w:t>86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_Toc29684 </w:instrText>
          </w:r>
          <w:r>
            <w:rPr>
              <w:rFonts w:cs="Times New Roman"/>
              <w:bCs/>
              <w:color w:val="auto"/>
              <w:highlight w:val="none"/>
              <w:lang w:val="zh-CN"/>
            </w:rPr>
            <w:fldChar w:fldCharType="separate"/>
          </w:r>
          <w:r>
            <w:rPr>
              <w:color w:val="auto"/>
              <w:highlight w:val="none"/>
              <w:lang w:val="en-US"/>
            </w:rPr>
            <w:t>7.2.5</w:t>
          </w:r>
          <w:r>
            <w:rPr>
              <w:rFonts w:hint="eastAsia"/>
              <w:color w:val="auto"/>
              <w:highlight w:val="none"/>
              <w:lang w:val="en-US" w:eastAsia="zh-CN"/>
            </w:rPr>
            <w:t>石漠化治理</w:t>
          </w:r>
          <w:r>
            <w:rPr>
              <w:color w:val="auto"/>
              <w:highlight w:val="none"/>
            </w:rPr>
            <w:tab/>
          </w:r>
          <w:r>
            <w:rPr>
              <w:color w:val="auto"/>
              <w:highlight w:val="none"/>
            </w:rPr>
            <w:fldChar w:fldCharType="begin"/>
          </w:r>
          <w:r>
            <w:rPr>
              <w:color w:val="auto"/>
              <w:highlight w:val="none"/>
            </w:rPr>
            <w:instrText xml:space="preserve"> PAGEREF _Toc29684 \h </w:instrText>
          </w:r>
          <w:r>
            <w:rPr>
              <w:color w:val="auto"/>
              <w:highlight w:val="none"/>
            </w:rPr>
            <w:fldChar w:fldCharType="separate"/>
          </w:r>
          <w:r>
            <w:rPr>
              <w:color w:val="auto"/>
              <w:highlight w:val="none"/>
            </w:rPr>
            <w:t>87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_Toc26808 </w:instrText>
          </w:r>
          <w:r>
            <w:rPr>
              <w:rFonts w:cs="Times New Roman"/>
              <w:bCs/>
              <w:color w:val="auto"/>
              <w:highlight w:val="none"/>
              <w:lang w:val="zh-CN"/>
            </w:rPr>
            <w:fldChar w:fldCharType="separate"/>
          </w:r>
          <w:r>
            <w:rPr>
              <w:color w:val="auto"/>
              <w:highlight w:val="none"/>
              <w:lang w:val="en-US"/>
            </w:rPr>
            <w:t>7.2.</w:t>
          </w:r>
          <w:r>
            <w:rPr>
              <w:rFonts w:hint="eastAsia"/>
              <w:color w:val="auto"/>
              <w:highlight w:val="none"/>
              <w:lang w:val="en-US" w:eastAsia="zh-CN"/>
            </w:rPr>
            <w:t>6</w:t>
          </w:r>
          <w:r>
            <w:rPr>
              <w:color w:val="auto"/>
              <w:highlight w:val="none"/>
              <w:lang w:val="en-US"/>
            </w:rPr>
            <w:t>河（沟）道及湖库周边整治</w:t>
          </w:r>
          <w:r>
            <w:rPr>
              <w:color w:val="auto"/>
              <w:highlight w:val="none"/>
            </w:rPr>
            <w:tab/>
          </w:r>
          <w:r>
            <w:rPr>
              <w:color w:val="auto"/>
              <w:highlight w:val="none"/>
            </w:rPr>
            <w:fldChar w:fldCharType="begin"/>
          </w:r>
          <w:r>
            <w:rPr>
              <w:color w:val="auto"/>
              <w:highlight w:val="none"/>
            </w:rPr>
            <w:instrText xml:space="preserve"> PAGEREF _Toc26808 \h </w:instrText>
          </w:r>
          <w:r>
            <w:rPr>
              <w:color w:val="auto"/>
              <w:highlight w:val="none"/>
            </w:rPr>
            <w:fldChar w:fldCharType="separate"/>
          </w:r>
          <w:r>
            <w:rPr>
              <w:color w:val="auto"/>
              <w:highlight w:val="none"/>
            </w:rPr>
            <w:t>87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_Toc20305 </w:instrText>
          </w:r>
          <w:r>
            <w:rPr>
              <w:rFonts w:cs="Times New Roman"/>
              <w:bCs/>
              <w:color w:val="auto"/>
              <w:highlight w:val="none"/>
              <w:lang w:val="zh-CN"/>
            </w:rPr>
            <w:fldChar w:fldCharType="separate"/>
          </w:r>
          <w:r>
            <w:rPr>
              <w:color w:val="auto"/>
              <w:highlight w:val="none"/>
              <w:lang w:val="en-US"/>
            </w:rPr>
            <w:t>7.2.</w:t>
          </w:r>
          <w:r>
            <w:rPr>
              <w:rFonts w:hint="eastAsia"/>
              <w:color w:val="auto"/>
              <w:highlight w:val="none"/>
              <w:lang w:val="en-US" w:eastAsia="zh-CN"/>
            </w:rPr>
            <w:t>7</w:t>
          </w:r>
          <w:r>
            <w:rPr>
              <w:color w:val="auto"/>
              <w:highlight w:val="none"/>
              <w:lang w:val="en-US"/>
            </w:rPr>
            <w:t>生态农业</w:t>
          </w:r>
          <w:r>
            <w:rPr>
              <w:color w:val="auto"/>
              <w:highlight w:val="none"/>
            </w:rPr>
            <w:tab/>
          </w:r>
          <w:r>
            <w:rPr>
              <w:color w:val="auto"/>
              <w:highlight w:val="none"/>
            </w:rPr>
            <w:fldChar w:fldCharType="begin"/>
          </w:r>
          <w:r>
            <w:rPr>
              <w:color w:val="auto"/>
              <w:highlight w:val="none"/>
            </w:rPr>
            <w:instrText xml:space="preserve"> PAGEREF _Toc20305 \h </w:instrText>
          </w:r>
          <w:r>
            <w:rPr>
              <w:color w:val="auto"/>
              <w:highlight w:val="none"/>
            </w:rPr>
            <w:fldChar w:fldCharType="separate"/>
          </w:r>
          <w:r>
            <w:rPr>
              <w:color w:val="auto"/>
              <w:highlight w:val="none"/>
            </w:rPr>
            <w:t>89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_Toc5705 </w:instrText>
          </w:r>
          <w:r>
            <w:rPr>
              <w:rFonts w:cs="Times New Roman"/>
              <w:bCs/>
              <w:color w:val="auto"/>
              <w:highlight w:val="none"/>
              <w:lang w:val="zh-CN"/>
            </w:rPr>
            <w:fldChar w:fldCharType="separate"/>
          </w:r>
          <w:r>
            <w:rPr>
              <w:color w:val="auto"/>
              <w:highlight w:val="none"/>
              <w:lang w:val="en-US"/>
            </w:rPr>
            <w:t>7.2.</w:t>
          </w:r>
          <w:r>
            <w:rPr>
              <w:rFonts w:hint="eastAsia"/>
              <w:color w:val="auto"/>
              <w:highlight w:val="none"/>
              <w:lang w:val="en-US" w:eastAsia="zh-CN"/>
            </w:rPr>
            <w:t>8</w:t>
          </w:r>
          <w:r>
            <w:rPr>
              <w:color w:val="auto"/>
              <w:highlight w:val="none"/>
              <w:lang w:val="en-US"/>
            </w:rPr>
            <w:t>面源污染防治</w:t>
          </w:r>
          <w:r>
            <w:rPr>
              <w:color w:val="auto"/>
              <w:highlight w:val="none"/>
            </w:rPr>
            <w:tab/>
          </w:r>
          <w:r>
            <w:rPr>
              <w:color w:val="auto"/>
              <w:highlight w:val="none"/>
            </w:rPr>
            <w:fldChar w:fldCharType="begin"/>
          </w:r>
          <w:r>
            <w:rPr>
              <w:color w:val="auto"/>
              <w:highlight w:val="none"/>
            </w:rPr>
            <w:instrText xml:space="preserve"> PAGEREF _Toc5705 \h </w:instrText>
          </w:r>
          <w:r>
            <w:rPr>
              <w:color w:val="auto"/>
              <w:highlight w:val="none"/>
            </w:rPr>
            <w:fldChar w:fldCharType="separate"/>
          </w:r>
          <w:r>
            <w:rPr>
              <w:color w:val="auto"/>
              <w:highlight w:val="none"/>
            </w:rPr>
            <w:t>89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_Toc13506 </w:instrText>
          </w:r>
          <w:r>
            <w:rPr>
              <w:rFonts w:cs="Times New Roman"/>
              <w:bCs/>
              <w:color w:val="auto"/>
              <w:highlight w:val="none"/>
              <w:lang w:val="zh-CN"/>
            </w:rPr>
            <w:fldChar w:fldCharType="separate"/>
          </w:r>
          <w:r>
            <w:rPr>
              <w:color w:val="auto"/>
              <w:highlight w:val="none"/>
              <w:lang w:val="en-US"/>
            </w:rPr>
            <w:t>7.2.</w:t>
          </w:r>
          <w:r>
            <w:rPr>
              <w:rFonts w:hint="eastAsia"/>
              <w:color w:val="auto"/>
              <w:highlight w:val="none"/>
              <w:lang w:val="en-US" w:eastAsia="zh-CN"/>
            </w:rPr>
            <w:t>9</w:t>
          </w:r>
          <w:r>
            <w:rPr>
              <w:color w:val="auto"/>
              <w:highlight w:val="none"/>
              <w:lang w:val="en-US"/>
            </w:rPr>
            <w:t>人居环境整治</w:t>
          </w:r>
          <w:r>
            <w:rPr>
              <w:color w:val="auto"/>
              <w:highlight w:val="none"/>
            </w:rPr>
            <w:tab/>
          </w:r>
          <w:r>
            <w:rPr>
              <w:color w:val="auto"/>
              <w:highlight w:val="none"/>
            </w:rPr>
            <w:fldChar w:fldCharType="begin"/>
          </w:r>
          <w:r>
            <w:rPr>
              <w:color w:val="auto"/>
              <w:highlight w:val="none"/>
            </w:rPr>
            <w:instrText xml:space="preserve"> PAGEREF _Toc13506 \h </w:instrText>
          </w:r>
          <w:r>
            <w:rPr>
              <w:color w:val="auto"/>
              <w:highlight w:val="none"/>
            </w:rPr>
            <w:fldChar w:fldCharType="separate"/>
          </w:r>
          <w:r>
            <w:rPr>
              <w:color w:val="auto"/>
              <w:highlight w:val="none"/>
            </w:rPr>
            <w:t>90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_Toc5159 </w:instrText>
          </w:r>
          <w:r>
            <w:rPr>
              <w:rFonts w:cs="Times New Roman"/>
              <w:bCs/>
              <w:color w:val="auto"/>
              <w:highlight w:val="none"/>
              <w:lang w:val="zh-CN"/>
            </w:rPr>
            <w:fldChar w:fldCharType="separate"/>
          </w:r>
          <w:r>
            <w:rPr>
              <w:color w:val="auto"/>
              <w:highlight w:val="none"/>
              <w:lang w:val="en-US"/>
            </w:rPr>
            <w:t>7.2.</w:t>
          </w:r>
          <w:r>
            <w:rPr>
              <w:rFonts w:hint="eastAsia"/>
              <w:color w:val="auto"/>
              <w:highlight w:val="none"/>
              <w:lang w:val="en-US" w:eastAsia="zh-CN"/>
            </w:rPr>
            <w:t>10</w:t>
          </w:r>
          <w:r>
            <w:rPr>
              <w:color w:val="auto"/>
              <w:highlight w:val="none"/>
              <w:lang w:val="en-US"/>
            </w:rPr>
            <w:t>生态护坡</w:t>
          </w:r>
          <w:r>
            <w:rPr>
              <w:color w:val="auto"/>
              <w:highlight w:val="none"/>
            </w:rPr>
            <w:tab/>
          </w:r>
          <w:r>
            <w:rPr>
              <w:color w:val="auto"/>
              <w:highlight w:val="none"/>
            </w:rPr>
            <w:fldChar w:fldCharType="begin"/>
          </w:r>
          <w:r>
            <w:rPr>
              <w:color w:val="auto"/>
              <w:highlight w:val="none"/>
            </w:rPr>
            <w:instrText xml:space="preserve"> PAGEREF _Toc5159 \h </w:instrText>
          </w:r>
          <w:r>
            <w:rPr>
              <w:color w:val="auto"/>
              <w:highlight w:val="none"/>
            </w:rPr>
            <w:fldChar w:fldCharType="separate"/>
          </w:r>
          <w:r>
            <w:rPr>
              <w:color w:val="auto"/>
              <w:highlight w:val="none"/>
            </w:rPr>
            <w:t>91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_Toc18108 </w:instrText>
          </w:r>
          <w:r>
            <w:rPr>
              <w:rFonts w:cs="Times New Roman"/>
              <w:bCs/>
              <w:color w:val="auto"/>
              <w:highlight w:val="none"/>
              <w:lang w:val="zh-CN"/>
            </w:rPr>
            <w:fldChar w:fldCharType="separate"/>
          </w:r>
          <w:r>
            <w:rPr>
              <w:color w:val="auto"/>
              <w:highlight w:val="none"/>
              <w:lang w:val="en-US"/>
            </w:rPr>
            <w:t>7.2.1</w:t>
          </w:r>
          <w:r>
            <w:rPr>
              <w:rFonts w:hint="eastAsia"/>
              <w:color w:val="auto"/>
              <w:highlight w:val="none"/>
              <w:lang w:val="en-US" w:eastAsia="zh-CN"/>
            </w:rPr>
            <w:t>1生产建设</w:t>
          </w:r>
          <w:r>
            <w:rPr>
              <w:color w:val="auto"/>
              <w:highlight w:val="none"/>
              <w:lang w:val="en-US"/>
            </w:rPr>
            <w:t>项目的水土流失治理</w:t>
          </w:r>
          <w:r>
            <w:rPr>
              <w:color w:val="auto"/>
              <w:highlight w:val="none"/>
            </w:rPr>
            <w:tab/>
          </w:r>
          <w:r>
            <w:rPr>
              <w:color w:val="auto"/>
              <w:highlight w:val="none"/>
            </w:rPr>
            <w:fldChar w:fldCharType="begin"/>
          </w:r>
          <w:r>
            <w:rPr>
              <w:color w:val="auto"/>
              <w:highlight w:val="none"/>
            </w:rPr>
            <w:instrText xml:space="preserve"> PAGEREF _Toc18108 \h </w:instrText>
          </w:r>
          <w:r>
            <w:rPr>
              <w:color w:val="auto"/>
              <w:highlight w:val="none"/>
            </w:rPr>
            <w:fldChar w:fldCharType="separate"/>
          </w:r>
          <w:r>
            <w:rPr>
              <w:color w:val="auto"/>
              <w:highlight w:val="none"/>
            </w:rPr>
            <w:t>92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_Toc31009 </w:instrText>
          </w:r>
          <w:r>
            <w:rPr>
              <w:rFonts w:cs="Times New Roman"/>
              <w:bCs/>
              <w:color w:val="auto"/>
              <w:highlight w:val="none"/>
              <w:lang w:val="zh-CN"/>
            </w:rPr>
            <w:fldChar w:fldCharType="separate"/>
          </w:r>
          <w:r>
            <w:rPr>
              <w:color w:val="auto"/>
              <w:highlight w:val="none"/>
              <w:lang w:val="en-US"/>
            </w:rPr>
            <w:t>7.3重点治理工程规划</w:t>
          </w:r>
          <w:r>
            <w:rPr>
              <w:color w:val="auto"/>
              <w:highlight w:val="none"/>
            </w:rPr>
            <w:tab/>
          </w:r>
          <w:r>
            <w:rPr>
              <w:color w:val="auto"/>
              <w:highlight w:val="none"/>
            </w:rPr>
            <w:fldChar w:fldCharType="begin"/>
          </w:r>
          <w:r>
            <w:rPr>
              <w:color w:val="auto"/>
              <w:highlight w:val="none"/>
            </w:rPr>
            <w:instrText xml:space="preserve"> PAGEREF _Toc31009 \h </w:instrText>
          </w:r>
          <w:r>
            <w:rPr>
              <w:color w:val="auto"/>
              <w:highlight w:val="none"/>
            </w:rPr>
            <w:fldChar w:fldCharType="separate"/>
          </w:r>
          <w:r>
            <w:rPr>
              <w:color w:val="auto"/>
              <w:highlight w:val="none"/>
            </w:rPr>
            <w:t>93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_Toc3640 </w:instrText>
          </w:r>
          <w:r>
            <w:rPr>
              <w:rFonts w:cs="Times New Roman"/>
              <w:bCs/>
              <w:color w:val="auto"/>
              <w:highlight w:val="none"/>
              <w:lang w:val="zh-CN"/>
            </w:rPr>
            <w:fldChar w:fldCharType="separate"/>
          </w:r>
          <w:r>
            <w:rPr>
              <w:color w:val="auto"/>
              <w:highlight w:val="none"/>
              <w:lang w:val="en-US"/>
            </w:rPr>
            <w:t>7.</w:t>
          </w:r>
          <w:r>
            <w:rPr>
              <w:rFonts w:hint="eastAsia"/>
              <w:color w:val="auto"/>
              <w:highlight w:val="none"/>
              <w:lang w:val="en-US" w:eastAsia="zh-CN"/>
            </w:rPr>
            <w:t>4试点</w:t>
          </w:r>
          <w:r>
            <w:rPr>
              <w:color w:val="auto"/>
              <w:highlight w:val="none"/>
              <w:lang w:val="en-US"/>
            </w:rPr>
            <w:t>工程规划</w:t>
          </w:r>
          <w:r>
            <w:rPr>
              <w:color w:val="auto"/>
              <w:highlight w:val="none"/>
            </w:rPr>
            <w:tab/>
          </w:r>
          <w:r>
            <w:rPr>
              <w:color w:val="auto"/>
              <w:highlight w:val="none"/>
            </w:rPr>
            <w:fldChar w:fldCharType="begin"/>
          </w:r>
          <w:r>
            <w:rPr>
              <w:color w:val="auto"/>
              <w:highlight w:val="none"/>
            </w:rPr>
            <w:instrText xml:space="preserve"> PAGEREF _Toc3640 \h </w:instrText>
          </w:r>
          <w:r>
            <w:rPr>
              <w:color w:val="auto"/>
              <w:highlight w:val="none"/>
            </w:rPr>
            <w:fldChar w:fldCharType="separate"/>
          </w:r>
          <w:r>
            <w:rPr>
              <w:color w:val="auto"/>
              <w:highlight w:val="none"/>
            </w:rPr>
            <w:t>95</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_Toc27150 </w:instrText>
          </w:r>
          <w:r>
            <w:rPr>
              <w:rFonts w:cs="Times New Roman"/>
              <w:bCs/>
              <w:color w:val="auto"/>
              <w:highlight w:val="none"/>
              <w:lang w:val="zh-CN"/>
            </w:rPr>
            <w:fldChar w:fldCharType="separate"/>
          </w:r>
          <w:r>
            <w:rPr>
              <w:color w:val="auto"/>
              <w:highlight w:val="none"/>
              <w:lang w:val="en-US"/>
            </w:rPr>
            <w:t>8</w:t>
          </w:r>
          <w:r>
            <w:rPr>
              <w:color w:val="auto"/>
              <w:highlight w:val="none"/>
              <w:lang w:val="en-GB"/>
            </w:rPr>
            <w:t>监测规划</w:t>
          </w:r>
          <w:r>
            <w:rPr>
              <w:color w:val="auto"/>
              <w:highlight w:val="none"/>
            </w:rPr>
            <w:tab/>
          </w:r>
          <w:r>
            <w:rPr>
              <w:color w:val="auto"/>
              <w:highlight w:val="none"/>
            </w:rPr>
            <w:fldChar w:fldCharType="begin"/>
          </w:r>
          <w:r>
            <w:rPr>
              <w:color w:val="auto"/>
              <w:highlight w:val="none"/>
            </w:rPr>
            <w:instrText xml:space="preserve"> PAGEREF _Toc27150 \h </w:instrText>
          </w:r>
          <w:r>
            <w:rPr>
              <w:color w:val="auto"/>
              <w:highlight w:val="none"/>
            </w:rPr>
            <w:fldChar w:fldCharType="separate"/>
          </w:r>
          <w:r>
            <w:rPr>
              <w:color w:val="auto"/>
              <w:highlight w:val="none"/>
            </w:rPr>
            <w:t>97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_Toc25963 </w:instrText>
          </w:r>
          <w:r>
            <w:rPr>
              <w:rFonts w:cs="Times New Roman"/>
              <w:bCs/>
              <w:color w:val="auto"/>
              <w:highlight w:val="none"/>
              <w:lang w:val="zh-CN"/>
            </w:rPr>
            <w:fldChar w:fldCharType="separate"/>
          </w:r>
          <w:r>
            <w:rPr>
              <w:color w:val="auto"/>
              <w:highlight w:val="none"/>
              <w:lang w:val="en-US"/>
            </w:rPr>
            <w:t>8.1监测任务</w:t>
          </w:r>
          <w:r>
            <w:rPr>
              <w:color w:val="auto"/>
              <w:highlight w:val="none"/>
            </w:rPr>
            <w:tab/>
          </w:r>
          <w:r>
            <w:rPr>
              <w:color w:val="auto"/>
              <w:highlight w:val="none"/>
            </w:rPr>
            <w:fldChar w:fldCharType="begin"/>
          </w:r>
          <w:r>
            <w:rPr>
              <w:color w:val="auto"/>
              <w:highlight w:val="none"/>
            </w:rPr>
            <w:instrText xml:space="preserve"> PAGEREF _Toc25963 \h </w:instrText>
          </w:r>
          <w:r>
            <w:rPr>
              <w:color w:val="auto"/>
              <w:highlight w:val="none"/>
            </w:rPr>
            <w:fldChar w:fldCharType="separate"/>
          </w:r>
          <w:r>
            <w:rPr>
              <w:color w:val="auto"/>
              <w:highlight w:val="none"/>
            </w:rPr>
            <w:t>97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_Toc26145 </w:instrText>
          </w:r>
          <w:r>
            <w:rPr>
              <w:rFonts w:cs="Times New Roman"/>
              <w:bCs/>
              <w:color w:val="auto"/>
              <w:highlight w:val="none"/>
              <w:lang w:val="zh-CN"/>
            </w:rPr>
            <w:fldChar w:fldCharType="separate"/>
          </w:r>
          <w:r>
            <w:rPr>
              <w:color w:val="auto"/>
              <w:highlight w:val="none"/>
              <w:lang w:val="en-US"/>
            </w:rPr>
            <w:t>8.2监测站网</w:t>
          </w:r>
          <w:r>
            <w:rPr>
              <w:color w:val="auto"/>
              <w:highlight w:val="none"/>
            </w:rPr>
            <w:tab/>
          </w:r>
          <w:r>
            <w:rPr>
              <w:color w:val="auto"/>
              <w:highlight w:val="none"/>
            </w:rPr>
            <w:fldChar w:fldCharType="begin"/>
          </w:r>
          <w:r>
            <w:rPr>
              <w:color w:val="auto"/>
              <w:highlight w:val="none"/>
            </w:rPr>
            <w:instrText xml:space="preserve"> PAGEREF _Toc26145 \h </w:instrText>
          </w:r>
          <w:r>
            <w:rPr>
              <w:color w:val="auto"/>
              <w:highlight w:val="none"/>
            </w:rPr>
            <w:fldChar w:fldCharType="separate"/>
          </w:r>
          <w:r>
            <w:rPr>
              <w:color w:val="auto"/>
              <w:highlight w:val="none"/>
            </w:rPr>
            <w:t>97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_Toc27979 </w:instrText>
          </w:r>
          <w:r>
            <w:rPr>
              <w:rFonts w:cs="Times New Roman"/>
              <w:bCs/>
              <w:color w:val="auto"/>
              <w:highlight w:val="none"/>
              <w:lang w:val="zh-CN"/>
            </w:rPr>
            <w:fldChar w:fldCharType="separate"/>
          </w:r>
          <w:r>
            <w:rPr>
              <w:color w:val="auto"/>
              <w:highlight w:val="none"/>
              <w:lang w:val="en-US"/>
            </w:rPr>
            <w:t>8.2.1监测站点现状</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97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_Toc22240 </w:instrText>
          </w:r>
          <w:r>
            <w:rPr>
              <w:rFonts w:cs="Times New Roman"/>
              <w:bCs/>
              <w:color w:val="auto"/>
              <w:highlight w:val="none"/>
              <w:lang w:val="zh-CN"/>
            </w:rPr>
            <w:fldChar w:fldCharType="separate"/>
          </w:r>
          <w:r>
            <w:rPr>
              <w:color w:val="auto"/>
              <w:highlight w:val="none"/>
              <w:lang w:val="en-US"/>
            </w:rPr>
            <w:t>8.2.2监测站网规划</w:t>
          </w:r>
          <w:r>
            <w:rPr>
              <w:color w:val="auto"/>
              <w:highlight w:val="none"/>
            </w:rPr>
            <w:tab/>
          </w:r>
          <w:r>
            <w:rPr>
              <w:color w:val="auto"/>
              <w:highlight w:val="none"/>
            </w:rPr>
            <w:fldChar w:fldCharType="begin"/>
          </w:r>
          <w:r>
            <w:rPr>
              <w:color w:val="auto"/>
              <w:highlight w:val="none"/>
            </w:rPr>
            <w:instrText xml:space="preserve"> PAGEREF _Toc22240 \h </w:instrText>
          </w:r>
          <w:r>
            <w:rPr>
              <w:color w:val="auto"/>
              <w:highlight w:val="none"/>
            </w:rPr>
            <w:fldChar w:fldCharType="separate"/>
          </w:r>
          <w:r>
            <w:rPr>
              <w:color w:val="auto"/>
              <w:highlight w:val="none"/>
            </w:rPr>
            <w:t>97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_Toc3098 </w:instrText>
          </w:r>
          <w:r>
            <w:rPr>
              <w:rFonts w:cs="Times New Roman"/>
              <w:bCs/>
              <w:color w:val="auto"/>
              <w:highlight w:val="none"/>
              <w:lang w:val="zh-CN"/>
            </w:rPr>
            <w:fldChar w:fldCharType="separate"/>
          </w:r>
          <w:r>
            <w:rPr>
              <w:color w:val="auto"/>
              <w:highlight w:val="none"/>
              <w:lang w:val="en-US"/>
            </w:rPr>
            <w:t>8.3</w:t>
          </w:r>
          <w:r>
            <w:rPr>
              <w:color w:val="auto"/>
              <w:highlight w:val="none"/>
            </w:rPr>
            <w:t>监测</w:t>
          </w:r>
          <w:r>
            <w:rPr>
              <w:color w:val="auto"/>
              <w:highlight w:val="none"/>
              <w:lang w:val="en-US"/>
            </w:rPr>
            <w:t>项目</w:t>
          </w:r>
          <w:r>
            <w:rPr>
              <w:color w:val="auto"/>
              <w:highlight w:val="none"/>
            </w:rPr>
            <w:tab/>
          </w:r>
          <w:r>
            <w:rPr>
              <w:color w:val="auto"/>
              <w:highlight w:val="none"/>
            </w:rPr>
            <w:fldChar w:fldCharType="begin"/>
          </w:r>
          <w:r>
            <w:rPr>
              <w:color w:val="auto"/>
              <w:highlight w:val="none"/>
            </w:rPr>
            <w:instrText xml:space="preserve"> PAGEREF _Toc3098 \h </w:instrText>
          </w:r>
          <w:r>
            <w:rPr>
              <w:color w:val="auto"/>
              <w:highlight w:val="none"/>
            </w:rPr>
            <w:fldChar w:fldCharType="separate"/>
          </w:r>
          <w:r>
            <w:rPr>
              <w:color w:val="auto"/>
              <w:highlight w:val="none"/>
            </w:rPr>
            <w:t>98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_Toc2285 </w:instrText>
          </w:r>
          <w:r>
            <w:rPr>
              <w:rFonts w:cs="Times New Roman"/>
              <w:bCs/>
              <w:color w:val="auto"/>
              <w:highlight w:val="none"/>
              <w:lang w:val="zh-CN"/>
            </w:rPr>
            <w:fldChar w:fldCharType="separate"/>
          </w:r>
          <w:r>
            <w:rPr>
              <w:color w:val="auto"/>
              <w:highlight w:val="none"/>
              <w:lang w:val="en-US"/>
            </w:rPr>
            <w:t>8.3.1</w:t>
          </w:r>
          <w:r>
            <w:rPr>
              <w:color w:val="auto"/>
              <w:highlight w:val="none"/>
            </w:rPr>
            <w:t>生产建设项目水土保持监督性监测</w:t>
          </w:r>
          <w:r>
            <w:rPr>
              <w:color w:val="auto"/>
              <w:highlight w:val="none"/>
            </w:rPr>
            <w:tab/>
          </w:r>
          <w:r>
            <w:rPr>
              <w:color w:val="auto"/>
              <w:highlight w:val="none"/>
            </w:rPr>
            <w:fldChar w:fldCharType="begin"/>
          </w:r>
          <w:r>
            <w:rPr>
              <w:color w:val="auto"/>
              <w:highlight w:val="none"/>
            </w:rPr>
            <w:instrText xml:space="preserve"> PAGEREF _Toc2285 \h </w:instrText>
          </w:r>
          <w:r>
            <w:rPr>
              <w:color w:val="auto"/>
              <w:highlight w:val="none"/>
            </w:rPr>
            <w:fldChar w:fldCharType="separate"/>
          </w:r>
          <w:r>
            <w:rPr>
              <w:color w:val="auto"/>
              <w:highlight w:val="none"/>
            </w:rPr>
            <w:t>98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_Toc9629 </w:instrText>
          </w:r>
          <w:r>
            <w:rPr>
              <w:rFonts w:cs="Times New Roman"/>
              <w:bCs/>
              <w:color w:val="auto"/>
              <w:highlight w:val="none"/>
              <w:lang w:val="zh-CN"/>
            </w:rPr>
            <w:fldChar w:fldCharType="separate"/>
          </w:r>
          <w:r>
            <w:rPr>
              <w:color w:val="auto"/>
              <w:highlight w:val="none"/>
              <w:lang w:val="en-US"/>
            </w:rPr>
            <w:t>8.3.2重点工程项目区治理成效监测</w:t>
          </w:r>
          <w:r>
            <w:rPr>
              <w:color w:val="auto"/>
              <w:highlight w:val="none"/>
            </w:rPr>
            <w:tab/>
          </w:r>
          <w:r>
            <w:rPr>
              <w:color w:val="auto"/>
              <w:highlight w:val="none"/>
            </w:rPr>
            <w:fldChar w:fldCharType="begin"/>
          </w:r>
          <w:r>
            <w:rPr>
              <w:color w:val="auto"/>
              <w:highlight w:val="none"/>
            </w:rPr>
            <w:instrText xml:space="preserve"> PAGEREF _Toc9629 \h </w:instrText>
          </w:r>
          <w:r>
            <w:rPr>
              <w:color w:val="auto"/>
              <w:highlight w:val="none"/>
            </w:rPr>
            <w:fldChar w:fldCharType="separate"/>
          </w:r>
          <w:r>
            <w:rPr>
              <w:color w:val="auto"/>
              <w:highlight w:val="none"/>
            </w:rPr>
            <w:t>98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_Toc7171 </w:instrText>
          </w:r>
          <w:r>
            <w:rPr>
              <w:rFonts w:cs="Times New Roman"/>
              <w:bCs/>
              <w:color w:val="auto"/>
              <w:highlight w:val="none"/>
              <w:lang w:val="zh-CN"/>
            </w:rPr>
            <w:fldChar w:fldCharType="separate"/>
          </w:r>
          <w:r>
            <w:rPr>
              <w:color w:val="auto"/>
              <w:highlight w:val="none"/>
              <w:lang w:val="en-US"/>
            </w:rPr>
            <w:t>8.3.3水土保持特定区域监测</w:t>
          </w:r>
          <w:r>
            <w:rPr>
              <w:color w:val="auto"/>
              <w:highlight w:val="none"/>
            </w:rPr>
            <w:tab/>
          </w:r>
          <w:r>
            <w:rPr>
              <w:color w:val="auto"/>
              <w:highlight w:val="none"/>
            </w:rPr>
            <w:fldChar w:fldCharType="begin"/>
          </w:r>
          <w:r>
            <w:rPr>
              <w:color w:val="auto"/>
              <w:highlight w:val="none"/>
            </w:rPr>
            <w:instrText xml:space="preserve"> PAGEREF _Toc7171 \h </w:instrText>
          </w:r>
          <w:r>
            <w:rPr>
              <w:color w:val="auto"/>
              <w:highlight w:val="none"/>
            </w:rPr>
            <w:fldChar w:fldCharType="separate"/>
          </w:r>
          <w:r>
            <w:rPr>
              <w:color w:val="auto"/>
              <w:highlight w:val="none"/>
            </w:rPr>
            <w:t>99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_Toc417 </w:instrText>
          </w:r>
          <w:r>
            <w:rPr>
              <w:rFonts w:cs="Times New Roman"/>
              <w:bCs/>
              <w:color w:val="auto"/>
              <w:highlight w:val="none"/>
              <w:lang w:val="zh-CN"/>
            </w:rPr>
            <w:fldChar w:fldCharType="separate"/>
          </w:r>
          <w:r>
            <w:rPr>
              <w:color w:val="auto"/>
              <w:highlight w:val="none"/>
              <w:lang w:val="en-US"/>
            </w:rPr>
            <w:t>8.3.4</w:t>
          </w:r>
          <w:r>
            <w:rPr>
              <w:rFonts w:ascii="Times New Roman" w:hAnsi="Times New Roman" w:cs="Times New Roman"/>
              <w:color w:val="auto"/>
              <w:highlight w:val="none"/>
              <w:lang w:val="en-US"/>
            </w:rPr>
            <w:t>重大水土流失事件监测</w:t>
          </w:r>
          <w:r>
            <w:rPr>
              <w:color w:val="auto"/>
              <w:highlight w:val="none"/>
            </w:rPr>
            <w:tab/>
          </w:r>
          <w:r>
            <w:rPr>
              <w:color w:val="auto"/>
              <w:highlight w:val="none"/>
            </w:rPr>
            <w:fldChar w:fldCharType="begin"/>
          </w:r>
          <w:r>
            <w:rPr>
              <w:color w:val="auto"/>
              <w:highlight w:val="none"/>
            </w:rPr>
            <w:instrText xml:space="preserve"> PAGEREF _Toc417 \h </w:instrText>
          </w:r>
          <w:r>
            <w:rPr>
              <w:color w:val="auto"/>
              <w:highlight w:val="none"/>
            </w:rPr>
            <w:fldChar w:fldCharType="separate"/>
          </w:r>
          <w:r>
            <w:rPr>
              <w:color w:val="auto"/>
              <w:highlight w:val="none"/>
            </w:rPr>
            <w:t>99</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_Toc11209 </w:instrText>
          </w:r>
          <w:r>
            <w:rPr>
              <w:rFonts w:cs="Times New Roman"/>
              <w:bCs/>
              <w:color w:val="auto"/>
              <w:highlight w:val="none"/>
              <w:lang w:val="zh-CN"/>
            </w:rPr>
            <w:fldChar w:fldCharType="separate"/>
          </w:r>
          <w:r>
            <w:rPr>
              <w:color w:val="auto"/>
              <w:highlight w:val="none"/>
              <w:lang w:val="en-US"/>
            </w:rPr>
            <w:t>8.3.5水土流失违法事实监测</w:t>
          </w:r>
          <w:r>
            <w:rPr>
              <w:color w:val="auto"/>
              <w:highlight w:val="none"/>
            </w:rPr>
            <w:tab/>
          </w:r>
          <w:r>
            <w:rPr>
              <w:color w:val="auto"/>
              <w:highlight w:val="none"/>
            </w:rPr>
            <w:fldChar w:fldCharType="begin"/>
          </w:r>
          <w:r>
            <w:rPr>
              <w:color w:val="auto"/>
              <w:highlight w:val="none"/>
            </w:rPr>
            <w:instrText xml:space="preserve"> PAGEREF _Toc11209 \h </w:instrText>
          </w:r>
          <w:r>
            <w:rPr>
              <w:color w:val="auto"/>
              <w:highlight w:val="none"/>
            </w:rPr>
            <w:fldChar w:fldCharType="separate"/>
          </w:r>
          <w:r>
            <w:rPr>
              <w:color w:val="auto"/>
              <w:highlight w:val="none"/>
            </w:rPr>
            <w:t>100</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_Toc15349 </w:instrText>
          </w:r>
          <w:r>
            <w:rPr>
              <w:rFonts w:cs="Times New Roman"/>
              <w:bCs/>
              <w:color w:val="auto"/>
              <w:highlight w:val="none"/>
              <w:lang w:val="zh-CN"/>
            </w:rPr>
            <w:fldChar w:fldCharType="separate"/>
          </w:r>
          <w:r>
            <w:rPr>
              <w:color w:val="auto"/>
              <w:highlight w:val="none"/>
              <w:lang w:val="en-US"/>
            </w:rPr>
            <w:t>8.4监测内容和方法</w:t>
          </w:r>
          <w:r>
            <w:rPr>
              <w:color w:val="auto"/>
              <w:highlight w:val="none"/>
            </w:rPr>
            <w:tab/>
          </w:r>
          <w:r>
            <w:rPr>
              <w:color w:val="auto"/>
              <w:highlight w:val="none"/>
            </w:rPr>
            <w:fldChar w:fldCharType="begin"/>
          </w:r>
          <w:r>
            <w:rPr>
              <w:color w:val="auto"/>
              <w:highlight w:val="none"/>
            </w:rPr>
            <w:instrText xml:space="preserve"> PAGEREF _Toc15349 \h </w:instrText>
          </w:r>
          <w:r>
            <w:rPr>
              <w:color w:val="auto"/>
              <w:highlight w:val="none"/>
            </w:rPr>
            <w:fldChar w:fldCharType="separate"/>
          </w:r>
          <w:r>
            <w:rPr>
              <w:color w:val="auto"/>
              <w:highlight w:val="none"/>
            </w:rPr>
            <w:t>100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_Toc16504 </w:instrText>
          </w:r>
          <w:r>
            <w:rPr>
              <w:rFonts w:cs="Times New Roman"/>
              <w:bCs/>
              <w:color w:val="auto"/>
              <w:highlight w:val="none"/>
              <w:lang w:val="zh-CN"/>
            </w:rPr>
            <w:fldChar w:fldCharType="separate"/>
          </w:r>
          <w:r>
            <w:rPr>
              <w:color w:val="auto"/>
              <w:highlight w:val="none"/>
              <w:lang w:val="en-US"/>
            </w:rPr>
            <w:t>8.4.1</w:t>
          </w:r>
          <w:r>
            <w:rPr>
              <w:color w:val="auto"/>
              <w:highlight w:val="none"/>
            </w:rPr>
            <w:t>生产建设项目水土保持监督性监测</w:t>
          </w:r>
          <w:r>
            <w:rPr>
              <w:color w:val="auto"/>
              <w:highlight w:val="none"/>
            </w:rPr>
            <w:tab/>
          </w:r>
          <w:r>
            <w:rPr>
              <w:color w:val="auto"/>
              <w:highlight w:val="none"/>
            </w:rPr>
            <w:fldChar w:fldCharType="begin"/>
          </w:r>
          <w:r>
            <w:rPr>
              <w:color w:val="auto"/>
              <w:highlight w:val="none"/>
            </w:rPr>
            <w:instrText xml:space="preserve"> PAGEREF _Toc16504 \h </w:instrText>
          </w:r>
          <w:r>
            <w:rPr>
              <w:color w:val="auto"/>
              <w:highlight w:val="none"/>
            </w:rPr>
            <w:fldChar w:fldCharType="separate"/>
          </w:r>
          <w:r>
            <w:rPr>
              <w:color w:val="auto"/>
              <w:highlight w:val="none"/>
            </w:rPr>
            <w:t>100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_Toc12558 </w:instrText>
          </w:r>
          <w:r>
            <w:rPr>
              <w:rFonts w:cs="Times New Roman"/>
              <w:bCs/>
              <w:color w:val="auto"/>
              <w:highlight w:val="none"/>
              <w:lang w:val="zh-CN"/>
            </w:rPr>
            <w:fldChar w:fldCharType="separate"/>
          </w:r>
          <w:r>
            <w:rPr>
              <w:color w:val="auto"/>
              <w:highlight w:val="none"/>
              <w:lang w:val="en-US"/>
            </w:rPr>
            <w:t>8.4.2</w:t>
          </w:r>
          <w:r>
            <w:rPr>
              <w:color w:val="auto"/>
              <w:highlight w:val="none"/>
            </w:rPr>
            <w:t>重点工程项目区治理成效监测</w:t>
          </w:r>
          <w:r>
            <w:rPr>
              <w:color w:val="auto"/>
              <w:highlight w:val="none"/>
            </w:rPr>
            <w:tab/>
          </w:r>
          <w:r>
            <w:rPr>
              <w:color w:val="auto"/>
              <w:highlight w:val="none"/>
            </w:rPr>
            <w:fldChar w:fldCharType="begin"/>
          </w:r>
          <w:r>
            <w:rPr>
              <w:color w:val="auto"/>
              <w:highlight w:val="none"/>
            </w:rPr>
            <w:instrText xml:space="preserve"> PAGEREF _Toc12558 \h </w:instrText>
          </w:r>
          <w:r>
            <w:rPr>
              <w:color w:val="auto"/>
              <w:highlight w:val="none"/>
            </w:rPr>
            <w:fldChar w:fldCharType="separate"/>
          </w:r>
          <w:r>
            <w:rPr>
              <w:color w:val="auto"/>
              <w:highlight w:val="none"/>
            </w:rPr>
            <w:t>101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_Toc19804 </w:instrText>
          </w:r>
          <w:r>
            <w:rPr>
              <w:rFonts w:cs="Times New Roman"/>
              <w:bCs/>
              <w:color w:val="auto"/>
              <w:highlight w:val="none"/>
              <w:lang w:val="zh-CN"/>
            </w:rPr>
            <w:fldChar w:fldCharType="separate"/>
          </w:r>
          <w:r>
            <w:rPr>
              <w:color w:val="auto"/>
              <w:highlight w:val="none"/>
              <w:lang w:val="en-US"/>
            </w:rPr>
            <w:t>8.4.3水土保持特定区域监测</w:t>
          </w:r>
          <w:r>
            <w:rPr>
              <w:color w:val="auto"/>
              <w:highlight w:val="none"/>
            </w:rPr>
            <w:tab/>
          </w:r>
          <w:r>
            <w:rPr>
              <w:color w:val="auto"/>
              <w:highlight w:val="none"/>
            </w:rPr>
            <w:fldChar w:fldCharType="begin"/>
          </w:r>
          <w:r>
            <w:rPr>
              <w:color w:val="auto"/>
              <w:highlight w:val="none"/>
            </w:rPr>
            <w:instrText xml:space="preserve"> PAGEREF _Toc19804 \h </w:instrText>
          </w:r>
          <w:r>
            <w:rPr>
              <w:color w:val="auto"/>
              <w:highlight w:val="none"/>
            </w:rPr>
            <w:fldChar w:fldCharType="separate"/>
          </w:r>
          <w:r>
            <w:rPr>
              <w:color w:val="auto"/>
              <w:highlight w:val="none"/>
            </w:rPr>
            <w:t>101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_Toc13549 </w:instrText>
          </w:r>
          <w:r>
            <w:rPr>
              <w:rFonts w:cs="Times New Roman"/>
              <w:bCs/>
              <w:color w:val="auto"/>
              <w:highlight w:val="none"/>
              <w:lang w:val="zh-CN"/>
            </w:rPr>
            <w:fldChar w:fldCharType="separate"/>
          </w:r>
          <w:r>
            <w:rPr>
              <w:color w:val="auto"/>
              <w:highlight w:val="none"/>
              <w:lang w:val="en-US"/>
            </w:rPr>
            <w:t>8.4.4重大水土流失事件监测</w:t>
          </w:r>
          <w:r>
            <w:rPr>
              <w:color w:val="auto"/>
              <w:highlight w:val="none"/>
            </w:rPr>
            <w:tab/>
          </w:r>
          <w:r>
            <w:rPr>
              <w:color w:val="auto"/>
              <w:highlight w:val="none"/>
            </w:rPr>
            <w:fldChar w:fldCharType="begin"/>
          </w:r>
          <w:r>
            <w:rPr>
              <w:color w:val="auto"/>
              <w:highlight w:val="none"/>
            </w:rPr>
            <w:instrText xml:space="preserve"> PAGEREF _Toc13549 \h </w:instrText>
          </w:r>
          <w:r>
            <w:rPr>
              <w:color w:val="auto"/>
              <w:highlight w:val="none"/>
            </w:rPr>
            <w:fldChar w:fldCharType="separate"/>
          </w:r>
          <w:r>
            <w:rPr>
              <w:color w:val="auto"/>
              <w:highlight w:val="none"/>
            </w:rPr>
            <w:t>102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_Toc29885 </w:instrText>
          </w:r>
          <w:r>
            <w:rPr>
              <w:rFonts w:cs="Times New Roman"/>
              <w:bCs/>
              <w:color w:val="auto"/>
              <w:highlight w:val="none"/>
              <w:lang w:val="zh-CN"/>
            </w:rPr>
            <w:fldChar w:fldCharType="separate"/>
          </w:r>
          <w:r>
            <w:rPr>
              <w:color w:val="auto"/>
              <w:highlight w:val="none"/>
              <w:lang w:val="en-US"/>
            </w:rPr>
            <w:t>8.4.5水土流失违法事实监测</w:t>
          </w:r>
          <w:r>
            <w:rPr>
              <w:color w:val="auto"/>
              <w:highlight w:val="none"/>
            </w:rPr>
            <w:tab/>
          </w:r>
          <w:r>
            <w:rPr>
              <w:color w:val="auto"/>
              <w:highlight w:val="none"/>
            </w:rPr>
            <w:fldChar w:fldCharType="begin"/>
          </w:r>
          <w:r>
            <w:rPr>
              <w:color w:val="auto"/>
              <w:highlight w:val="none"/>
            </w:rPr>
            <w:instrText xml:space="preserve"> PAGEREF _Toc29885 \h </w:instrText>
          </w:r>
          <w:r>
            <w:rPr>
              <w:color w:val="auto"/>
              <w:highlight w:val="none"/>
            </w:rPr>
            <w:fldChar w:fldCharType="separate"/>
          </w:r>
          <w:r>
            <w:rPr>
              <w:color w:val="auto"/>
              <w:highlight w:val="none"/>
            </w:rPr>
            <w:t>102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_Toc3575 </w:instrText>
          </w:r>
          <w:r>
            <w:rPr>
              <w:rFonts w:cs="Times New Roman"/>
              <w:bCs/>
              <w:color w:val="auto"/>
              <w:highlight w:val="none"/>
              <w:lang w:val="zh-CN"/>
            </w:rPr>
            <w:fldChar w:fldCharType="separate"/>
          </w:r>
          <w:r>
            <w:rPr>
              <w:color w:val="auto"/>
              <w:highlight w:val="none"/>
            </w:rPr>
            <w:t>8.5监测成果</w:t>
          </w:r>
          <w:r>
            <w:rPr>
              <w:color w:val="auto"/>
              <w:highlight w:val="none"/>
              <w:lang w:val="en-US"/>
            </w:rPr>
            <w:t>管理与</w:t>
          </w:r>
          <w:r>
            <w:rPr>
              <w:color w:val="auto"/>
              <w:highlight w:val="none"/>
            </w:rPr>
            <w:t>应用</w:t>
          </w:r>
          <w:r>
            <w:rPr>
              <w:color w:val="auto"/>
              <w:highlight w:val="none"/>
            </w:rPr>
            <w:tab/>
          </w:r>
          <w:r>
            <w:rPr>
              <w:color w:val="auto"/>
              <w:highlight w:val="none"/>
            </w:rPr>
            <w:fldChar w:fldCharType="begin"/>
          </w:r>
          <w:r>
            <w:rPr>
              <w:color w:val="auto"/>
              <w:highlight w:val="none"/>
            </w:rPr>
            <w:instrText xml:space="preserve"> PAGEREF _Toc3575 \h </w:instrText>
          </w:r>
          <w:r>
            <w:rPr>
              <w:color w:val="auto"/>
              <w:highlight w:val="none"/>
            </w:rPr>
            <w:fldChar w:fldCharType="separate"/>
          </w:r>
          <w:r>
            <w:rPr>
              <w:color w:val="auto"/>
              <w:highlight w:val="none"/>
            </w:rPr>
            <w:t>103</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_Toc17332 </w:instrText>
          </w:r>
          <w:r>
            <w:rPr>
              <w:rFonts w:cs="Times New Roman"/>
              <w:bCs/>
              <w:color w:val="auto"/>
              <w:highlight w:val="none"/>
              <w:lang w:val="zh-CN"/>
            </w:rPr>
            <w:fldChar w:fldCharType="separate"/>
          </w:r>
          <w:r>
            <w:rPr>
              <w:color w:val="auto"/>
              <w:highlight w:val="none"/>
              <w:lang w:val="en-US"/>
            </w:rPr>
            <w:t>9</w:t>
          </w:r>
          <w:r>
            <w:rPr>
              <w:color w:val="auto"/>
              <w:highlight w:val="none"/>
              <w:lang w:val="en-GB"/>
            </w:rPr>
            <w:t>综合监管</w:t>
          </w:r>
          <w:r>
            <w:rPr>
              <w:color w:val="auto"/>
              <w:highlight w:val="none"/>
            </w:rPr>
            <w:tab/>
          </w:r>
          <w:r>
            <w:rPr>
              <w:color w:val="auto"/>
              <w:highlight w:val="none"/>
            </w:rPr>
            <w:fldChar w:fldCharType="begin"/>
          </w:r>
          <w:r>
            <w:rPr>
              <w:color w:val="auto"/>
              <w:highlight w:val="none"/>
            </w:rPr>
            <w:instrText xml:space="preserve"> PAGEREF _Toc17332 \h </w:instrText>
          </w:r>
          <w:r>
            <w:rPr>
              <w:color w:val="auto"/>
              <w:highlight w:val="none"/>
            </w:rPr>
            <w:fldChar w:fldCharType="separate"/>
          </w:r>
          <w:r>
            <w:rPr>
              <w:color w:val="auto"/>
              <w:highlight w:val="none"/>
            </w:rPr>
            <w:t>104</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_Toc15338 </w:instrText>
          </w:r>
          <w:r>
            <w:rPr>
              <w:rFonts w:cs="Times New Roman"/>
              <w:bCs/>
              <w:color w:val="auto"/>
              <w:highlight w:val="none"/>
              <w:lang w:val="zh-CN"/>
            </w:rPr>
            <w:fldChar w:fldCharType="separate"/>
          </w:r>
          <w:r>
            <w:rPr>
              <w:color w:val="auto"/>
              <w:highlight w:val="none"/>
              <w:lang w:val="en-US"/>
            </w:rPr>
            <w:t>9.</w:t>
          </w:r>
          <w:r>
            <w:rPr>
              <w:color w:val="auto"/>
              <w:highlight w:val="none"/>
            </w:rPr>
            <w:t>1监督管理</w:t>
          </w:r>
          <w:r>
            <w:rPr>
              <w:color w:val="auto"/>
              <w:highlight w:val="none"/>
            </w:rPr>
            <w:tab/>
          </w:r>
          <w:r>
            <w:rPr>
              <w:color w:val="auto"/>
              <w:highlight w:val="none"/>
            </w:rPr>
            <w:fldChar w:fldCharType="begin"/>
          </w:r>
          <w:r>
            <w:rPr>
              <w:color w:val="auto"/>
              <w:highlight w:val="none"/>
            </w:rPr>
            <w:instrText xml:space="preserve"> PAGEREF _Toc15338 \h </w:instrText>
          </w:r>
          <w:r>
            <w:rPr>
              <w:color w:val="auto"/>
              <w:highlight w:val="none"/>
            </w:rPr>
            <w:fldChar w:fldCharType="separate"/>
          </w:r>
          <w:r>
            <w:rPr>
              <w:color w:val="auto"/>
              <w:highlight w:val="none"/>
            </w:rPr>
            <w:t>105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_Toc28146 </w:instrText>
          </w:r>
          <w:r>
            <w:rPr>
              <w:rFonts w:cs="Times New Roman"/>
              <w:bCs/>
              <w:color w:val="auto"/>
              <w:highlight w:val="none"/>
              <w:lang w:val="zh-CN"/>
            </w:rPr>
            <w:fldChar w:fldCharType="separate"/>
          </w:r>
          <w:r>
            <w:rPr>
              <w:rFonts w:ascii="Times New Roman" w:hAnsi="Times New Roman" w:eastAsia="仿宋" w:cstheme="minorBidi"/>
              <w:color w:val="auto"/>
              <w:kern w:val="2"/>
              <w:sz w:val="28"/>
              <w:szCs w:val="28"/>
              <w:highlight w:val="none"/>
              <w:lang w:val="en-US" w:eastAsia="zh-CN" w:bidi="ar-SA"/>
            </w:rPr>
            <w:t>9.1.1重点区域管理</w:t>
          </w:r>
          <w:r>
            <w:rPr>
              <w:color w:val="auto"/>
              <w:highlight w:val="none"/>
            </w:rPr>
            <w:tab/>
          </w:r>
          <w:r>
            <w:rPr>
              <w:color w:val="auto"/>
              <w:highlight w:val="none"/>
            </w:rPr>
            <w:fldChar w:fldCharType="begin"/>
          </w:r>
          <w:r>
            <w:rPr>
              <w:color w:val="auto"/>
              <w:highlight w:val="none"/>
            </w:rPr>
            <w:instrText xml:space="preserve"> PAGEREF _Toc28146 \h </w:instrText>
          </w:r>
          <w:r>
            <w:rPr>
              <w:color w:val="auto"/>
              <w:highlight w:val="none"/>
            </w:rPr>
            <w:fldChar w:fldCharType="separate"/>
          </w:r>
          <w:r>
            <w:rPr>
              <w:color w:val="auto"/>
              <w:highlight w:val="none"/>
            </w:rPr>
            <w:t>105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_Toc4879 </w:instrText>
          </w:r>
          <w:r>
            <w:rPr>
              <w:rFonts w:cs="Times New Roman"/>
              <w:bCs/>
              <w:color w:val="auto"/>
              <w:highlight w:val="none"/>
              <w:lang w:val="zh-CN"/>
            </w:rPr>
            <w:fldChar w:fldCharType="separate"/>
          </w:r>
          <w:r>
            <w:rPr>
              <w:rFonts w:ascii="Times New Roman" w:hAnsi="Times New Roman" w:eastAsia="仿宋" w:cstheme="minorBidi"/>
              <w:color w:val="auto"/>
              <w:kern w:val="2"/>
              <w:sz w:val="28"/>
              <w:szCs w:val="28"/>
              <w:highlight w:val="none"/>
              <w:lang w:val="en-US" w:eastAsia="zh-CN" w:bidi="ar-SA"/>
            </w:rPr>
            <w:t>9.1.2水土流失预防工作的监管</w:t>
          </w:r>
          <w:r>
            <w:rPr>
              <w:color w:val="auto"/>
              <w:highlight w:val="none"/>
            </w:rPr>
            <w:tab/>
          </w:r>
          <w:r>
            <w:rPr>
              <w:color w:val="auto"/>
              <w:highlight w:val="none"/>
            </w:rPr>
            <w:fldChar w:fldCharType="begin"/>
          </w:r>
          <w:r>
            <w:rPr>
              <w:color w:val="auto"/>
              <w:highlight w:val="none"/>
            </w:rPr>
            <w:instrText xml:space="preserve"> PAGEREF _Toc4879 \h </w:instrText>
          </w:r>
          <w:r>
            <w:rPr>
              <w:color w:val="auto"/>
              <w:highlight w:val="none"/>
            </w:rPr>
            <w:fldChar w:fldCharType="separate"/>
          </w:r>
          <w:r>
            <w:rPr>
              <w:color w:val="auto"/>
              <w:highlight w:val="none"/>
            </w:rPr>
            <w:t>105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_Toc4235 </w:instrText>
          </w:r>
          <w:r>
            <w:rPr>
              <w:rFonts w:cs="Times New Roman"/>
              <w:bCs/>
              <w:color w:val="auto"/>
              <w:highlight w:val="none"/>
              <w:lang w:val="zh-CN"/>
            </w:rPr>
            <w:fldChar w:fldCharType="separate"/>
          </w:r>
          <w:r>
            <w:rPr>
              <w:rFonts w:eastAsia="仿宋_GB2312" w:cs="Times New Roman"/>
              <w:color w:val="auto"/>
              <w:szCs w:val="32"/>
              <w:highlight w:val="none"/>
            </w:rPr>
            <w:t>9.1.3水土保持监测工作的监管</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107</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_Toc13905 </w:instrText>
          </w:r>
          <w:r>
            <w:rPr>
              <w:rFonts w:cs="Times New Roman"/>
              <w:bCs/>
              <w:color w:val="auto"/>
              <w:highlight w:val="none"/>
              <w:lang w:val="zh-CN"/>
            </w:rPr>
            <w:fldChar w:fldCharType="separate"/>
          </w:r>
          <w:r>
            <w:rPr>
              <w:rFonts w:eastAsia="仿宋_GB2312" w:cs="Times New Roman"/>
              <w:color w:val="auto"/>
              <w:szCs w:val="32"/>
              <w:highlight w:val="none"/>
            </w:rPr>
            <w:t>9.1.4水土保持监督执法情况的监管</w:t>
          </w:r>
          <w:r>
            <w:rPr>
              <w:color w:val="auto"/>
              <w:highlight w:val="none"/>
            </w:rPr>
            <w:tab/>
          </w:r>
          <w:r>
            <w:rPr>
              <w:color w:val="auto"/>
              <w:highlight w:val="none"/>
            </w:rPr>
            <w:fldChar w:fldCharType="begin"/>
          </w:r>
          <w:r>
            <w:rPr>
              <w:color w:val="auto"/>
              <w:highlight w:val="none"/>
            </w:rPr>
            <w:instrText xml:space="preserve"> PAGEREF _Toc13905 \h </w:instrText>
          </w:r>
          <w:r>
            <w:rPr>
              <w:color w:val="auto"/>
              <w:highlight w:val="none"/>
            </w:rPr>
            <w:fldChar w:fldCharType="separate"/>
          </w:r>
          <w:r>
            <w:rPr>
              <w:color w:val="auto"/>
              <w:highlight w:val="none"/>
            </w:rPr>
            <w:t>108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_Toc31804 </w:instrText>
          </w:r>
          <w:r>
            <w:rPr>
              <w:rFonts w:cs="Times New Roman"/>
              <w:bCs/>
              <w:color w:val="auto"/>
              <w:highlight w:val="none"/>
              <w:lang w:val="zh-CN"/>
            </w:rPr>
            <w:fldChar w:fldCharType="separate"/>
          </w:r>
          <w:r>
            <w:rPr>
              <w:rFonts w:ascii="Times New Roman" w:hAnsi="Times New Roman" w:eastAsia="仿宋" w:cstheme="minorBidi"/>
              <w:color w:val="auto"/>
              <w:kern w:val="2"/>
              <w:sz w:val="28"/>
              <w:szCs w:val="28"/>
              <w:highlight w:val="none"/>
              <w:lang w:val="en-US" w:eastAsia="zh-CN" w:bidi="ar-SA"/>
            </w:rPr>
            <w:t>9.1.5水土保持技术服务情况的监管</w:t>
          </w:r>
          <w:r>
            <w:rPr>
              <w:color w:val="auto"/>
              <w:highlight w:val="none"/>
            </w:rPr>
            <w:tab/>
          </w:r>
          <w:r>
            <w:rPr>
              <w:color w:val="auto"/>
              <w:highlight w:val="none"/>
            </w:rPr>
            <w:fldChar w:fldCharType="begin"/>
          </w:r>
          <w:r>
            <w:rPr>
              <w:color w:val="auto"/>
              <w:highlight w:val="none"/>
            </w:rPr>
            <w:instrText xml:space="preserve"> PAGEREF _Toc31804 \h </w:instrText>
          </w:r>
          <w:r>
            <w:rPr>
              <w:color w:val="auto"/>
              <w:highlight w:val="none"/>
            </w:rPr>
            <w:fldChar w:fldCharType="separate"/>
          </w:r>
          <w:r>
            <w:rPr>
              <w:color w:val="auto"/>
              <w:highlight w:val="none"/>
            </w:rPr>
            <w:t>108</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_Toc3830 </w:instrText>
          </w:r>
          <w:r>
            <w:rPr>
              <w:rFonts w:cs="Times New Roman"/>
              <w:bCs/>
              <w:color w:val="auto"/>
              <w:highlight w:val="none"/>
              <w:lang w:val="zh-CN"/>
            </w:rPr>
            <w:fldChar w:fldCharType="separate"/>
          </w:r>
          <w:r>
            <w:rPr>
              <w:color w:val="auto"/>
              <w:highlight w:val="none"/>
              <w:lang w:val="en-US"/>
            </w:rPr>
            <w:t>9.2</w:t>
          </w:r>
          <w:r>
            <w:rPr>
              <w:color w:val="auto"/>
              <w:highlight w:val="none"/>
            </w:rPr>
            <w:t>科技支撑</w:t>
          </w:r>
          <w:r>
            <w:rPr>
              <w:color w:val="auto"/>
              <w:highlight w:val="none"/>
            </w:rPr>
            <w:tab/>
          </w:r>
          <w:r>
            <w:rPr>
              <w:color w:val="auto"/>
              <w:highlight w:val="none"/>
            </w:rPr>
            <w:fldChar w:fldCharType="begin"/>
          </w:r>
          <w:r>
            <w:rPr>
              <w:color w:val="auto"/>
              <w:highlight w:val="none"/>
            </w:rPr>
            <w:instrText xml:space="preserve"> PAGEREF _Toc3830 \h </w:instrText>
          </w:r>
          <w:r>
            <w:rPr>
              <w:color w:val="auto"/>
              <w:highlight w:val="none"/>
            </w:rPr>
            <w:fldChar w:fldCharType="separate"/>
          </w:r>
          <w:r>
            <w:rPr>
              <w:color w:val="auto"/>
              <w:highlight w:val="none"/>
            </w:rPr>
            <w:t>109</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_Toc19145 </w:instrText>
          </w:r>
          <w:r>
            <w:rPr>
              <w:rFonts w:cs="Times New Roman"/>
              <w:bCs/>
              <w:color w:val="auto"/>
              <w:highlight w:val="none"/>
              <w:lang w:val="zh-CN"/>
            </w:rPr>
            <w:fldChar w:fldCharType="separate"/>
          </w:r>
          <w:r>
            <w:rPr>
              <w:color w:val="auto"/>
              <w:highlight w:val="none"/>
              <w:lang w:val="en-US"/>
            </w:rPr>
            <w:t>9.3</w:t>
          </w:r>
          <w:r>
            <w:rPr>
              <w:color w:val="auto"/>
              <w:highlight w:val="none"/>
            </w:rPr>
            <w:t>能力建设</w:t>
          </w:r>
          <w:r>
            <w:rPr>
              <w:color w:val="auto"/>
              <w:highlight w:val="none"/>
            </w:rPr>
            <w:tab/>
          </w:r>
          <w:r>
            <w:rPr>
              <w:color w:val="auto"/>
              <w:highlight w:val="none"/>
            </w:rPr>
            <w:fldChar w:fldCharType="begin"/>
          </w:r>
          <w:r>
            <w:rPr>
              <w:color w:val="auto"/>
              <w:highlight w:val="none"/>
            </w:rPr>
            <w:instrText xml:space="preserve"> PAGEREF _Toc19145 \h </w:instrText>
          </w:r>
          <w:r>
            <w:rPr>
              <w:color w:val="auto"/>
              <w:highlight w:val="none"/>
            </w:rPr>
            <w:fldChar w:fldCharType="separate"/>
          </w:r>
          <w:r>
            <w:rPr>
              <w:color w:val="auto"/>
              <w:highlight w:val="none"/>
            </w:rPr>
            <w:t>110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_Toc5880 </w:instrText>
          </w:r>
          <w:r>
            <w:rPr>
              <w:rFonts w:cs="Times New Roman"/>
              <w:bCs/>
              <w:color w:val="auto"/>
              <w:highlight w:val="none"/>
              <w:lang w:val="zh-CN"/>
            </w:rPr>
            <w:fldChar w:fldCharType="separate"/>
          </w:r>
          <w:r>
            <w:rPr>
              <w:color w:val="auto"/>
              <w:highlight w:val="none"/>
            </w:rPr>
            <w:t>9.</w:t>
          </w:r>
          <w:r>
            <w:rPr>
              <w:color w:val="auto"/>
              <w:highlight w:val="none"/>
              <w:lang w:val="en-US"/>
            </w:rPr>
            <w:t>3</w:t>
          </w:r>
          <w:r>
            <w:rPr>
              <w:color w:val="auto"/>
              <w:highlight w:val="none"/>
            </w:rPr>
            <w:t>.1监管能力建设</w:t>
          </w:r>
          <w:r>
            <w:rPr>
              <w:color w:val="auto"/>
              <w:highlight w:val="none"/>
            </w:rPr>
            <w:tab/>
          </w:r>
          <w:r>
            <w:rPr>
              <w:color w:val="auto"/>
              <w:highlight w:val="none"/>
            </w:rPr>
            <w:fldChar w:fldCharType="begin"/>
          </w:r>
          <w:r>
            <w:rPr>
              <w:color w:val="auto"/>
              <w:highlight w:val="none"/>
            </w:rPr>
            <w:instrText xml:space="preserve"> PAGEREF _Toc5880 \h </w:instrText>
          </w:r>
          <w:r>
            <w:rPr>
              <w:color w:val="auto"/>
              <w:highlight w:val="none"/>
            </w:rPr>
            <w:fldChar w:fldCharType="separate"/>
          </w:r>
          <w:r>
            <w:rPr>
              <w:color w:val="auto"/>
              <w:highlight w:val="none"/>
            </w:rPr>
            <w:t>110</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_Toc24679 </w:instrText>
          </w:r>
          <w:r>
            <w:rPr>
              <w:rFonts w:cs="Times New Roman"/>
              <w:bCs/>
              <w:color w:val="auto"/>
              <w:highlight w:val="none"/>
              <w:lang w:val="zh-CN"/>
            </w:rPr>
            <w:fldChar w:fldCharType="separate"/>
          </w:r>
          <w:r>
            <w:rPr>
              <w:color w:val="auto"/>
              <w:highlight w:val="none"/>
            </w:rPr>
            <w:t>9.</w:t>
          </w:r>
          <w:r>
            <w:rPr>
              <w:color w:val="auto"/>
              <w:highlight w:val="none"/>
              <w:lang w:val="en-US"/>
            </w:rPr>
            <w:t>3</w:t>
          </w:r>
          <w:r>
            <w:rPr>
              <w:color w:val="auto"/>
              <w:highlight w:val="none"/>
            </w:rPr>
            <w:t>.2监测能力建设</w:t>
          </w:r>
          <w:r>
            <w:rPr>
              <w:color w:val="auto"/>
              <w:highlight w:val="none"/>
            </w:rPr>
            <w:tab/>
          </w:r>
          <w:r>
            <w:rPr>
              <w:color w:val="auto"/>
              <w:highlight w:val="none"/>
            </w:rPr>
            <w:fldChar w:fldCharType="begin"/>
          </w:r>
          <w:r>
            <w:rPr>
              <w:color w:val="auto"/>
              <w:highlight w:val="none"/>
            </w:rPr>
            <w:instrText xml:space="preserve"> PAGEREF _Toc24679 \h </w:instrText>
          </w:r>
          <w:r>
            <w:rPr>
              <w:color w:val="auto"/>
              <w:highlight w:val="none"/>
            </w:rPr>
            <w:fldChar w:fldCharType="separate"/>
          </w:r>
          <w:r>
            <w:rPr>
              <w:color w:val="auto"/>
              <w:highlight w:val="none"/>
            </w:rPr>
            <w:t>111</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_Toc13142 </w:instrText>
          </w:r>
          <w:r>
            <w:rPr>
              <w:rFonts w:cs="Times New Roman"/>
              <w:bCs/>
              <w:color w:val="auto"/>
              <w:highlight w:val="none"/>
              <w:lang w:val="zh-CN"/>
            </w:rPr>
            <w:fldChar w:fldCharType="separate"/>
          </w:r>
          <w:r>
            <w:rPr>
              <w:color w:val="auto"/>
              <w:highlight w:val="none"/>
              <w:lang w:val="en-US"/>
            </w:rPr>
            <w:t>9.3.3信息化能力建设</w:t>
          </w:r>
          <w:r>
            <w:rPr>
              <w:color w:val="auto"/>
              <w:highlight w:val="none"/>
            </w:rPr>
            <w:tab/>
          </w:r>
          <w:r>
            <w:rPr>
              <w:color w:val="auto"/>
              <w:highlight w:val="none"/>
            </w:rPr>
            <w:fldChar w:fldCharType="begin"/>
          </w:r>
          <w:r>
            <w:rPr>
              <w:color w:val="auto"/>
              <w:highlight w:val="none"/>
            </w:rPr>
            <w:instrText xml:space="preserve"> PAGEREF _Toc13142 \h </w:instrText>
          </w:r>
          <w:r>
            <w:rPr>
              <w:color w:val="auto"/>
              <w:highlight w:val="none"/>
            </w:rPr>
            <w:fldChar w:fldCharType="separate"/>
          </w:r>
          <w:r>
            <w:rPr>
              <w:color w:val="auto"/>
              <w:highlight w:val="none"/>
            </w:rPr>
            <w:t>112</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_Toc16714 </w:instrText>
          </w:r>
          <w:r>
            <w:rPr>
              <w:rFonts w:cs="Times New Roman"/>
              <w:bCs/>
              <w:color w:val="auto"/>
              <w:highlight w:val="none"/>
              <w:lang w:val="zh-CN"/>
            </w:rPr>
            <w:fldChar w:fldCharType="separate"/>
          </w:r>
          <w:r>
            <w:rPr>
              <w:color w:val="auto"/>
              <w:highlight w:val="none"/>
            </w:rPr>
            <w:t>9.</w:t>
          </w:r>
          <w:r>
            <w:rPr>
              <w:color w:val="auto"/>
              <w:highlight w:val="none"/>
              <w:lang w:val="en-US"/>
            </w:rPr>
            <w:t>3</w:t>
          </w:r>
          <w:r>
            <w:rPr>
              <w:color w:val="auto"/>
              <w:highlight w:val="none"/>
            </w:rPr>
            <w:t>.</w:t>
          </w:r>
          <w:r>
            <w:rPr>
              <w:color w:val="auto"/>
              <w:highlight w:val="none"/>
              <w:lang w:val="en-US"/>
            </w:rPr>
            <w:t>4</w:t>
          </w:r>
          <w:r>
            <w:rPr>
              <w:color w:val="auto"/>
              <w:highlight w:val="none"/>
            </w:rPr>
            <w:t>社会服务能力建设</w:t>
          </w:r>
          <w:r>
            <w:rPr>
              <w:color w:val="auto"/>
              <w:highlight w:val="none"/>
            </w:rPr>
            <w:tab/>
          </w:r>
          <w:r>
            <w:rPr>
              <w:color w:val="auto"/>
              <w:highlight w:val="none"/>
            </w:rPr>
            <w:fldChar w:fldCharType="begin"/>
          </w:r>
          <w:r>
            <w:rPr>
              <w:color w:val="auto"/>
              <w:highlight w:val="none"/>
            </w:rPr>
            <w:instrText xml:space="preserve"> PAGEREF _Toc16714 \h </w:instrText>
          </w:r>
          <w:r>
            <w:rPr>
              <w:color w:val="auto"/>
              <w:highlight w:val="none"/>
            </w:rPr>
            <w:fldChar w:fldCharType="separate"/>
          </w:r>
          <w:r>
            <w:rPr>
              <w:color w:val="auto"/>
              <w:highlight w:val="none"/>
            </w:rPr>
            <w:t>113</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_Toc1499 </w:instrText>
          </w:r>
          <w:r>
            <w:rPr>
              <w:rFonts w:cs="Times New Roman"/>
              <w:bCs/>
              <w:color w:val="auto"/>
              <w:highlight w:val="none"/>
              <w:lang w:val="zh-CN"/>
            </w:rPr>
            <w:fldChar w:fldCharType="separate"/>
          </w:r>
          <w:r>
            <w:rPr>
              <w:color w:val="auto"/>
              <w:highlight w:val="none"/>
            </w:rPr>
            <w:t>9.</w:t>
          </w:r>
          <w:r>
            <w:rPr>
              <w:color w:val="auto"/>
              <w:highlight w:val="none"/>
              <w:lang w:val="en-US"/>
            </w:rPr>
            <w:t>3</w:t>
          </w:r>
          <w:r>
            <w:rPr>
              <w:color w:val="auto"/>
              <w:highlight w:val="none"/>
            </w:rPr>
            <w:t>.</w:t>
          </w:r>
          <w:r>
            <w:rPr>
              <w:color w:val="auto"/>
              <w:highlight w:val="none"/>
              <w:lang w:val="en-US"/>
            </w:rPr>
            <w:t>5</w:t>
          </w:r>
          <w:r>
            <w:rPr>
              <w:color w:val="auto"/>
              <w:highlight w:val="none"/>
            </w:rPr>
            <w:t>宣传教育能力建设</w:t>
          </w:r>
          <w:r>
            <w:rPr>
              <w:color w:val="auto"/>
              <w:highlight w:val="none"/>
            </w:rPr>
            <w:tab/>
          </w:r>
          <w:r>
            <w:rPr>
              <w:color w:val="auto"/>
              <w:highlight w:val="none"/>
            </w:rPr>
            <w:fldChar w:fldCharType="begin"/>
          </w:r>
          <w:r>
            <w:rPr>
              <w:color w:val="auto"/>
              <w:highlight w:val="none"/>
            </w:rPr>
            <w:instrText xml:space="preserve"> PAGEREF _Toc1499 \h </w:instrText>
          </w:r>
          <w:r>
            <w:rPr>
              <w:color w:val="auto"/>
              <w:highlight w:val="none"/>
            </w:rPr>
            <w:fldChar w:fldCharType="separate"/>
          </w:r>
          <w:r>
            <w:rPr>
              <w:color w:val="auto"/>
              <w:highlight w:val="none"/>
            </w:rPr>
            <w:t>113</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_Toc9423 </w:instrText>
          </w:r>
          <w:r>
            <w:rPr>
              <w:rFonts w:cs="Times New Roman"/>
              <w:bCs/>
              <w:color w:val="auto"/>
              <w:highlight w:val="none"/>
              <w:lang w:val="zh-CN"/>
            </w:rPr>
            <w:fldChar w:fldCharType="separate"/>
          </w:r>
          <w:r>
            <w:rPr>
              <w:color w:val="auto"/>
              <w:highlight w:val="none"/>
              <w:lang w:val="en-GB"/>
            </w:rPr>
            <w:t>10 实施进度及投资匡算</w:t>
          </w:r>
          <w:r>
            <w:rPr>
              <w:color w:val="auto"/>
              <w:highlight w:val="none"/>
            </w:rPr>
            <w:tab/>
          </w:r>
          <w:r>
            <w:rPr>
              <w:color w:val="auto"/>
              <w:highlight w:val="none"/>
            </w:rPr>
            <w:fldChar w:fldCharType="begin"/>
          </w:r>
          <w:r>
            <w:rPr>
              <w:color w:val="auto"/>
              <w:highlight w:val="none"/>
            </w:rPr>
            <w:instrText xml:space="preserve"> PAGEREF _Toc9423 \h </w:instrText>
          </w:r>
          <w:r>
            <w:rPr>
              <w:color w:val="auto"/>
              <w:highlight w:val="none"/>
            </w:rPr>
            <w:fldChar w:fldCharType="separate"/>
          </w:r>
          <w:r>
            <w:rPr>
              <w:color w:val="auto"/>
              <w:highlight w:val="none"/>
            </w:rPr>
            <w:t>115</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_Toc6699 </w:instrText>
          </w:r>
          <w:r>
            <w:rPr>
              <w:rFonts w:cs="Times New Roman"/>
              <w:bCs/>
              <w:color w:val="auto"/>
              <w:highlight w:val="none"/>
              <w:lang w:val="zh-CN"/>
            </w:rPr>
            <w:fldChar w:fldCharType="separate"/>
          </w:r>
          <w:r>
            <w:rPr>
              <w:color w:val="auto"/>
              <w:highlight w:val="none"/>
            </w:rPr>
            <w:t>10.1实施进度</w:t>
          </w:r>
          <w:r>
            <w:rPr>
              <w:color w:val="auto"/>
              <w:highlight w:val="none"/>
            </w:rPr>
            <w:tab/>
          </w:r>
          <w:r>
            <w:rPr>
              <w:color w:val="auto"/>
              <w:highlight w:val="none"/>
            </w:rPr>
            <w:fldChar w:fldCharType="begin"/>
          </w:r>
          <w:r>
            <w:rPr>
              <w:color w:val="auto"/>
              <w:highlight w:val="none"/>
            </w:rPr>
            <w:instrText xml:space="preserve"> PAGEREF _Toc6699 \h </w:instrText>
          </w:r>
          <w:r>
            <w:rPr>
              <w:color w:val="auto"/>
              <w:highlight w:val="none"/>
            </w:rPr>
            <w:fldChar w:fldCharType="separate"/>
          </w:r>
          <w:r>
            <w:rPr>
              <w:color w:val="auto"/>
              <w:highlight w:val="none"/>
            </w:rPr>
            <w:t>115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_Toc15072 </w:instrText>
          </w:r>
          <w:r>
            <w:rPr>
              <w:rFonts w:cs="Times New Roman"/>
              <w:bCs/>
              <w:color w:val="auto"/>
              <w:highlight w:val="none"/>
              <w:lang w:val="zh-CN"/>
            </w:rPr>
            <w:fldChar w:fldCharType="separate"/>
          </w:r>
          <w:r>
            <w:rPr>
              <w:color w:val="auto"/>
              <w:highlight w:val="none"/>
              <w:lang w:val="en-GB"/>
            </w:rPr>
            <w:t>10.1.1安排原则</w:t>
          </w:r>
          <w:r>
            <w:rPr>
              <w:color w:val="auto"/>
              <w:highlight w:val="none"/>
            </w:rPr>
            <w:tab/>
          </w:r>
          <w:r>
            <w:rPr>
              <w:color w:val="auto"/>
              <w:highlight w:val="none"/>
            </w:rPr>
            <w:fldChar w:fldCharType="begin"/>
          </w:r>
          <w:r>
            <w:rPr>
              <w:color w:val="auto"/>
              <w:highlight w:val="none"/>
            </w:rPr>
            <w:instrText xml:space="preserve"> PAGEREF _Toc15072 \h </w:instrText>
          </w:r>
          <w:r>
            <w:rPr>
              <w:color w:val="auto"/>
              <w:highlight w:val="none"/>
            </w:rPr>
            <w:fldChar w:fldCharType="separate"/>
          </w:r>
          <w:r>
            <w:rPr>
              <w:color w:val="auto"/>
              <w:highlight w:val="none"/>
            </w:rPr>
            <w:t>115</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_Toc12305 </w:instrText>
          </w:r>
          <w:r>
            <w:rPr>
              <w:rFonts w:cs="Times New Roman"/>
              <w:bCs/>
              <w:color w:val="auto"/>
              <w:highlight w:val="none"/>
              <w:lang w:val="zh-CN"/>
            </w:rPr>
            <w:fldChar w:fldCharType="separate"/>
          </w:r>
          <w:r>
            <w:rPr>
              <w:color w:val="auto"/>
              <w:highlight w:val="none"/>
              <w:lang w:val="en-GB"/>
            </w:rPr>
            <w:t>10.1.2安排进度</w:t>
          </w:r>
          <w:r>
            <w:rPr>
              <w:color w:val="auto"/>
              <w:highlight w:val="none"/>
            </w:rPr>
            <w:tab/>
          </w:r>
          <w:r>
            <w:rPr>
              <w:color w:val="auto"/>
              <w:highlight w:val="none"/>
            </w:rPr>
            <w:fldChar w:fldCharType="begin"/>
          </w:r>
          <w:r>
            <w:rPr>
              <w:color w:val="auto"/>
              <w:highlight w:val="none"/>
            </w:rPr>
            <w:instrText xml:space="preserve"> PAGEREF _Toc12305 \h </w:instrText>
          </w:r>
          <w:r>
            <w:rPr>
              <w:color w:val="auto"/>
              <w:highlight w:val="none"/>
            </w:rPr>
            <w:fldChar w:fldCharType="separate"/>
          </w:r>
          <w:r>
            <w:rPr>
              <w:color w:val="auto"/>
              <w:highlight w:val="none"/>
            </w:rPr>
            <w:t>115</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_Toc13666 </w:instrText>
          </w:r>
          <w:r>
            <w:rPr>
              <w:rFonts w:cs="Times New Roman"/>
              <w:bCs/>
              <w:color w:val="auto"/>
              <w:highlight w:val="none"/>
              <w:lang w:val="zh-CN"/>
            </w:rPr>
            <w:fldChar w:fldCharType="separate"/>
          </w:r>
          <w:r>
            <w:rPr>
              <w:color w:val="auto"/>
              <w:highlight w:val="none"/>
            </w:rPr>
            <w:t>10.2重点项目安排</w:t>
          </w:r>
          <w:r>
            <w:rPr>
              <w:color w:val="auto"/>
              <w:highlight w:val="none"/>
            </w:rPr>
            <w:tab/>
          </w:r>
          <w:r>
            <w:rPr>
              <w:color w:val="auto"/>
              <w:highlight w:val="none"/>
            </w:rPr>
            <w:fldChar w:fldCharType="begin"/>
          </w:r>
          <w:r>
            <w:rPr>
              <w:color w:val="auto"/>
              <w:highlight w:val="none"/>
            </w:rPr>
            <w:instrText xml:space="preserve"> PAGEREF _Toc13666 \h </w:instrText>
          </w:r>
          <w:r>
            <w:rPr>
              <w:color w:val="auto"/>
              <w:highlight w:val="none"/>
            </w:rPr>
            <w:fldChar w:fldCharType="separate"/>
          </w:r>
          <w:r>
            <w:rPr>
              <w:color w:val="auto"/>
              <w:highlight w:val="none"/>
            </w:rPr>
            <w:t>116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_Toc30620 </w:instrText>
          </w:r>
          <w:r>
            <w:rPr>
              <w:rFonts w:cs="Times New Roman"/>
              <w:bCs/>
              <w:color w:val="auto"/>
              <w:highlight w:val="none"/>
              <w:lang w:val="zh-CN"/>
            </w:rPr>
            <w:fldChar w:fldCharType="separate"/>
          </w:r>
          <w:r>
            <w:rPr>
              <w:color w:val="auto"/>
              <w:highlight w:val="none"/>
              <w:lang w:val="en-GB"/>
            </w:rPr>
            <w:t>10.2.1重点预防</w:t>
          </w:r>
          <w:r>
            <w:rPr>
              <w:color w:val="auto"/>
              <w:highlight w:val="none"/>
              <w:lang w:val="en-US"/>
            </w:rPr>
            <w:t>保护</w:t>
          </w:r>
          <w:r>
            <w:rPr>
              <w:color w:val="auto"/>
              <w:highlight w:val="none"/>
              <w:lang w:val="en-GB"/>
            </w:rPr>
            <w:t>工程</w:t>
          </w:r>
          <w:r>
            <w:rPr>
              <w:color w:val="auto"/>
              <w:highlight w:val="none"/>
            </w:rPr>
            <w:tab/>
          </w:r>
          <w:r>
            <w:rPr>
              <w:color w:val="auto"/>
              <w:highlight w:val="none"/>
            </w:rPr>
            <w:fldChar w:fldCharType="begin"/>
          </w:r>
          <w:r>
            <w:rPr>
              <w:color w:val="auto"/>
              <w:highlight w:val="none"/>
            </w:rPr>
            <w:instrText xml:space="preserve"> PAGEREF _Toc30620 \h </w:instrText>
          </w:r>
          <w:r>
            <w:rPr>
              <w:color w:val="auto"/>
              <w:highlight w:val="none"/>
            </w:rPr>
            <w:fldChar w:fldCharType="separate"/>
          </w:r>
          <w:r>
            <w:rPr>
              <w:color w:val="auto"/>
              <w:highlight w:val="none"/>
            </w:rPr>
            <w:t>116</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_Toc21502 </w:instrText>
          </w:r>
          <w:r>
            <w:rPr>
              <w:rFonts w:cs="Times New Roman"/>
              <w:bCs/>
              <w:color w:val="auto"/>
              <w:highlight w:val="none"/>
              <w:lang w:val="zh-CN"/>
            </w:rPr>
            <w:fldChar w:fldCharType="separate"/>
          </w:r>
          <w:r>
            <w:rPr>
              <w:color w:val="auto"/>
              <w:highlight w:val="none"/>
              <w:lang w:val="en-GB"/>
            </w:rPr>
            <w:t>10.2.2重点治理工程</w:t>
          </w:r>
          <w:r>
            <w:rPr>
              <w:color w:val="auto"/>
              <w:highlight w:val="none"/>
            </w:rPr>
            <w:tab/>
          </w:r>
          <w:r>
            <w:rPr>
              <w:color w:val="auto"/>
              <w:highlight w:val="none"/>
            </w:rPr>
            <w:fldChar w:fldCharType="begin"/>
          </w:r>
          <w:r>
            <w:rPr>
              <w:color w:val="auto"/>
              <w:highlight w:val="none"/>
            </w:rPr>
            <w:instrText xml:space="preserve"> PAGEREF _Toc21502 \h </w:instrText>
          </w:r>
          <w:r>
            <w:rPr>
              <w:color w:val="auto"/>
              <w:highlight w:val="none"/>
            </w:rPr>
            <w:fldChar w:fldCharType="separate"/>
          </w:r>
          <w:r>
            <w:rPr>
              <w:color w:val="auto"/>
              <w:highlight w:val="none"/>
            </w:rPr>
            <w:t>118</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_Toc29596 </w:instrText>
          </w:r>
          <w:r>
            <w:rPr>
              <w:rFonts w:cs="Times New Roman"/>
              <w:bCs/>
              <w:color w:val="auto"/>
              <w:highlight w:val="none"/>
              <w:lang w:val="zh-CN"/>
            </w:rPr>
            <w:fldChar w:fldCharType="separate"/>
          </w:r>
          <w:r>
            <w:rPr>
              <w:color w:val="auto"/>
              <w:highlight w:val="none"/>
            </w:rPr>
            <w:t>10.3投资匡算</w:t>
          </w:r>
          <w:r>
            <w:rPr>
              <w:color w:val="auto"/>
              <w:highlight w:val="none"/>
            </w:rPr>
            <w:tab/>
          </w:r>
          <w:r>
            <w:rPr>
              <w:color w:val="auto"/>
              <w:highlight w:val="none"/>
            </w:rPr>
            <w:fldChar w:fldCharType="begin"/>
          </w:r>
          <w:r>
            <w:rPr>
              <w:color w:val="auto"/>
              <w:highlight w:val="none"/>
            </w:rPr>
            <w:instrText xml:space="preserve"> PAGEREF _Toc29596 \h </w:instrText>
          </w:r>
          <w:r>
            <w:rPr>
              <w:color w:val="auto"/>
              <w:highlight w:val="none"/>
            </w:rPr>
            <w:fldChar w:fldCharType="separate"/>
          </w:r>
          <w:r>
            <w:rPr>
              <w:color w:val="auto"/>
              <w:highlight w:val="none"/>
            </w:rPr>
            <w:t>118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_Toc23718 </w:instrText>
          </w:r>
          <w:r>
            <w:rPr>
              <w:rFonts w:cs="Times New Roman"/>
              <w:bCs/>
              <w:color w:val="auto"/>
              <w:highlight w:val="none"/>
              <w:lang w:val="zh-CN"/>
            </w:rPr>
            <w:fldChar w:fldCharType="separate"/>
          </w:r>
          <w:r>
            <w:rPr>
              <w:color w:val="auto"/>
              <w:highlight w:val="none"/>
              <w:lang w:val="en-GB"/>
            </w:rPr>
            <w:t>10.3.1匡算原则</w:t>
          </w:r>
          <w:r>
            <w:rPr>
              <w:color w:val="auto"/>
              <w:highlight w:val="none"/>
            </w:rPr>
            <w:tab/>
          </w:r>
          <w:r>
            <w:rPr>
              <w:color w:val="auto"/>
              <w:highlight w:val="none"/>
            </w:rPr>
            <w:fldChar w:fldCharType="begin"/>
          </w:r>
          <w:r>
            <w:rPr>
              <w:color w:val="auto"/>
              <w:highlight w:val="none"/>
            </w:rPr>
            <w:instrText xml:space="preserve"> PAGEREF _Toc23718 \h </w:instrText>
          </w:r>
          <w:r>
            <w:rPr>
              <w:color w:val="auto"/>
              <w:highlight w:val="none"/>
            </w:rPr>
            <w:fldChar w:fldCharType="separate"/>
          </w:r>
          <w:r>
            <w:rPr>
              <w:color w:val="auto"/>
              <w:highlight w:val="none"/>
            </w:rPr>
            <w:t>118</w:t>
          </w:r>
          <w:r>
            <w:rPr>
              <w:color w:val="auto"/>
              <w:highlight w:val="none"/>
            </w:rPr>
            <w:fldChar w:fldCharType="end"/>
          </w:r>
          <w:r>
            <w:rPr>
              <w:rFonts w:cs="Times New Roman"/>
              <w:bCs/>
              <w:color w:val="auto"/>
              <w:highlight w:val="none"/>
              <w:lang w:val="zh-CN"/>
            </w:rPr>
            <w:fldChar w:fldCharType="end"/>
          </w:r>
        </w:p>
        <w:p>
          <w:pPr>
            <w:pStyle w:val="17"/>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_Toc22345 </w:instrText>
          </w:r>
          <w:r>
            <w:rPr>
              <w:rFonts w:cs="Times New Roman"/>
              <w:bCs/>
              <w:color w:val="auto"/>
              <w:highlight w:val="none"/>
              <w:lang w:val="zh-CN"/>
            </w:rPr>
            <w:fldChar w:fldCharType="separate"/>
          </w:r>
          <w:r>
            <w:rPr>
              <w:color w:val="auto"/>
              <w:highlight w:val="none"/>
              <w:lang w:val="en-GB"/>
            </w:rPr>
            <w:t>10.3.2匡算</w:t>
          </w:r>
          <w:r>
            <w:rPr>
              <w:color w:val="auto"/>
              <w:highlight w:val="none"/>
              <w:lang w:val="en-US"/>
            </w:rPr>
            <w:t>结果</w:t>
          </w:r>
          <w:r>
            <w:rPr>
              <w:color w:val="auto"/>
              <w:highlight w:val="none"/>
            </w:rPr>
            <w:tab/>
          </w:r>
          <w:r>
            <w:rPr>
              <w:color w:val="auto"/>
              <w:highlight w:val="none"/>
            </w:rPr>
            <w:fldChar w:fldCharType="begin"/>
          </w:r>
          <w:r>
            <w:rPr>
              <w:color w:val="auto"/>
              <w:highlight w:val="none"/>
            </w:rPr>
            <w:instrText xml:space="preserve"> PAGEREF _Toc22345 \h </w:instrText>
          </w:r>
          <w:r>
            <w:rPr>
              <w:color w:val="auto"/>
              <w:highlight w:val="none"/>
            </w:rPr>
            <w:fldChar w:fldCharType="separate"/>
          </w:r>
          <w:r>
            <w:rPr>
              <w:color w:val="auto"/>
              <w:highlight w:val="none"/>
            </w:rPr>
            <w:t>119</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_Toc24009 </w:instrText>
          </w:r>
          <w:r>
            <w:rPr>
              <w:rFonts w:cs="Times New Roman"/>
              <w:bCs/>
              <w:color w:val="auto"/>
              <w:highlight w:val="none"/>
              <w:lang w:val="zh-CN"/>
            </w:rPr>
            <w:fldChar w:fldCharType="separate"/>
          </w:r>
          <w:r>
            <w:rPr>
              <w:color w:val="auto"/>
              <w:highlight w:val="none"/>
            </w:rPr>
            <w:t>11 实施效果分析</w:t>
          </w:r>
          <w:r>
            <w:rPr>
              <w:color w:val="auto"/>
              <w:highlight w:val="none"/>
            </w:rPr>
            <w:tab/>
          </w:r>
          <w:r>
            <w:rPr>
              <w:color w:val="auto"/>
              <w:highlight w:val="none"/>
            </w:rPr>
            <w:fldChar w:fldCharType="begin"/>
          </w:r>
          <w:r>
            <w:rPr>
              <w:color w:val="auto"/>
              <w:highlight w:val="none"/>
            </w:rPr>
            <w:instrText xml:space="preserve"> PAGEREF _Toc24009 \h </w:instrText>
          </w:r>
          <w:r>
            <w:rPr>
              <w:color w:val="auto"/>
              <w:highlight w:val="none"/>
            </w:rPr>
            <w:fldChar w:fldCharType="separate"/>
          </w:r>
          <w:r>
            <w:rPr>
              <w:color w:val="auto"/>
              <w:highlight w:val="none"/>
            </w:rPr>
            <w:t>121</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_Toc24573 </w:instrText>
          </w:r>
          <w:r>
            <w:rPr>
              <w:rFonts w:cs="Times New Roman"/>
              <w:bCs/>
              <w:color w:val="auto"/>
              <w:highlight w:val="none"/>
              <w:lang w:val="zh-CN"/>
            </w:rPr>
            <w:fldChar w:fldCharType="separate"/>
          </w:r>
          <w:r>
            <w:rPr>
              <w:color w:val="auto"/>
              <w:highlight w:val="none"/>
            </w:rPr>
            <w:t>11.1蓄水保土效益</w:t>
          </w:r>
          <w:r>
            <w:rPr>
              <w:color w:val="auto"/>
              <w:highlight w:val="none"/>
            </w:rPr>
            <w:tab/>
          </w:r>
          <w:r>
            <w:rPr>
              <w:color w:val="auto"/>
              <w:highlight w:val="none"/>
            </w:rPr>
            <w:fldChar w:fldCharType="begin"/>
          </w:r>
          <w:r>
            <w:rPr>
              <w:color w:val="auto"/>
              <w:highlight w:val="none"/>
            </w:rPr>
            <w:instrText xml:space="preserve"> PAGEREF _Toc24573 \h </w:instrText>
          </w:r>
          <w:r>
            <w:rPr>
              <w:color w:val="auto"/>
              <w:highlight w:val="none"/>
            </w:rPr>
            <w:fldChar w:fldCharType="separate"/>
          </w:r>
          <w:r>
            <w:rPr>
              <w:color w:val="auto"/>
              <w:highlight w:val="none"/>
            </w:rPr>
            <w:t>121</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_Toc28023 </w:instrText>
          </w:r>
          <w:r>
            <w:rPr>
              <w:rFonts w:cs="Times New Roman"/>
              <w:bCs/>
              <w:color w:val="auto"/>
              <w:highlight w:val="none"/>
              <w:lang w:val="zh-CN"/>
            </w:rPr>
            <w:fldChar w:fldCharType="separate"/>
          </w:r>
          <w:r>
            <w:rPr>
              <w:color w:val="auto"/>
              <w:highlight w:val="none"/>
            </w:rPr>
            <w:t>11.2生态</w:t>
          </w:r>
          <w:r>
            <w:rPr>
              <w:color w:val="auto"/>
              <w:highlight w:val="none"/>
              <w:lang w:val="en-US"/>
            </w:rPr>
            <w:t>效益</w:t>
          </w:r>
          <w:r>
            <w:rPr>
              <w:color w:val="auto"/>
              <w:highlight w:val="none"/>
            </w:rPr>
            <w:tab/>
          </w:r>
          <w:r>
            <w:rPr>
              <w:color w:val="auto"/>
              <w:highlight w:val="none"/>
            </w:rPr>
            <w:fldChar w:fldCharType="begin"/>
          </w:r>
          <w:r>
            <w:rPr>
              <w:color w:val="auto"/>
              <w:highlight w:val="none"/>
            </w:rPr>
            <w:instrText xml:space="preserve"> PAGEREF _Toc28023 \h </w:instrText>
          </w:r>
          <w:r>
            <w:rPr>
              <w:color w:val="auto"/>
              <w:highlight w:val="none"/>
            </w:rPr>
            <w:fldChar w:fldCharType="separate"/>
          </w:r>
          <w:r>
            <w:rPr>
              <w:color w:val="auto"/>
              <w:highlight w:val="none"/>
            </w:rPr>
            <w:t>122</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_Toc18746 </w:instrText>
          </w:r>
          <w:r>
            <w:rPr>
              <w:rFonts w:cs="Times New Roman"/>
              <w:bCs/>
              <w:color w:val="auto"/>
              <w:highlight w:val="none"/>
              <w:lang w:val="zh-CN"/>
            </w:rPr>
            <w:fldChar w:fldCharType="separate"/>
          </w:r>
          <w:r>
            <w:rPr>
              <w:color w:val="auto"/>
              <w:highlight w:val="none"/>
            </w:rPr>
            <w:t>11.3社会</w:t>
          </w:r>
          <w:r>
            <w:rPr>
              <w:color w:val="auto"/>
              <w:highlight w:val="none"/>
              <w:lang w:val="en-US"/>
            </w:rPr>
            <w:t>效益</w:t>
          </w:r>
          <w:r>
            <w:rPr>
              <w:color w:val="auto"/>
              <w:highlight w:val="none"/>
            </w:rPr>
            <w:tab/>
          </w:r>
          <w:r>
            <w:rPr>
              <w:color w:val="auto"/>
              <w:highlight w:val="none"/>
            </w:rPr>
            <w:fldChar w:fldCharType="begin"/>
          </w:r>
          <w:r>
            <w:rPr>
              <w:color w:val="auto"/>
              <w:highlight w:val="none"/>
            </w:rPr>
            <w:instrText xml:space="preserve"> PAGEREF _Toc18746 \h </w:instrText>
          </w:r>
          <w:r>
            <w:rPr>
              <w:color w:val="auto"/>
              <w:highlight w:val="none"/>
            </w:rPr>
            <w:fldChar w:fldCharType="separate"/>
          </w:r>
          <w:r>
            <w:rPr>
              <w:color w:val="auto"/>
              <w:highlight w:val="none"/>
            </w:rPr>
            <w:t>123</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_Toc10256 </w:instrText>
          </w:r>
          <w:r>
            <w:rPr>
              <w:rFonts w:cs="Times New Roman"/>
              <w:bCs/>
              <w:color w:val="auto"/>
              <w:highlight w:val="none"/>
              <w:lang w:val="zh-CN"/>
            </w:rPr>
            <w:fldChar w:fldCharType="separate"/>
          </w:r>
          <w:r>
            <w:rPr>
              <w:color w:val="auto"/>
              <w:highlight w:val="none"/>
            </w:rPr>
            <w:t>11.4经济效</w:t>
          </w:r>
          <w:r>
            <w:rPr>
              <w:color w:val="auto"/>
              <w:highlight w:val="none"/>
              <w:lang w:val="en-US"/>
            </w:rPr>
            <w:t>益</w:t>
          </w:r>
          <w:r>
            <w:rPr>
              <w:color w:val="auto"/>
              <w:highlight w:val="none"/>
            </w:rPr>
            <w:tab/>
          </w:r>
          <w:r>
            <w:rPr>
              <w:color w:val="auto"/>
              <w:highlight w:val="none"/>
            </w:rPr>
            <w:fldChar w:fldCharType="begin"/>
          </w:r>
          <w:r>
            <w:rPr>
              <w:color w:val="auto"/>
              <w:highlight w:val="none"/>
            </w:rPr>
            <w:instrText xml:space="preserve"> PAGEREF _Toc10256 \h </w:instrText>
          </w:r>
          <w:r>
            <w:rPr>
              <w:color w:val="auto"/>
              <w:highlight w:val="none"/>
            </w:rPr>
            <w:fldChar w:fldCharType="separate"/>
          </w:r>
          <w:r>
            <w:rPr>
              <w:color w:val="auto"/>
              <w:highlight w:val="none"/>
            </w:rPr>
            <w:t>123</w:t>
          </w:r>
          <w:r>
            <w:rPr>
              <w:color w:val="auto"/>
              <w:highlight w:val="none"/>
            </w:rPr>
            <w:fldChar w:fldCharType="end"/>
          </w:r>
          <w:r>
            <w:rPr>
              <w:rFonts w:cs="Times New Roman"/>
              <w:bCs/>
              <w:color w:val="auto"/>
              <w:highlight w:val="none"/>
              <w:lang w:val="zh-CN"/>
            </w:rPr>
            <w:fldChar w:fldCharType="end"/>
          </w:r>
        </w:p>
        <w:p>
          <w:pPr>
            <w:pStyle w:val="23"/>
            <w:tabs>
              <w:tab w:val="right" w:leader="dot" w:pos="831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_Toc31004 </w:instrText>
          </w:r>
          <w:r>
            <w:rPr>
              <w:rFonts w:cs="Times New Roman"/>
              <w:bCs/>
              <w:color w:val="auto"/>
              <w:highlight w:val="none"/>
              <w:lang w:val="zh-CN"/>
            </w:rPr>
            <w:fldChar w:fldCharType="separate"/>
          </w:r>
          <w:r>
            <w:rPr>
              <w:color w:val="auto"/>
              <w:highlight w:val="none"/>
            </w:rPr>
            <w:t>12实施保障措施</w:t>
          </w:r>
          <w:r>
            <w:rPr>
              <w:color w:val="auto"/>
              <w:highlight w:val="none"/>
            </w:rPr>
            <w:tab/>
          </w:r>
          <w:r>
            <w:rPr>
              <w:color w:val="auto"/>
              <w:highlight w:val="none"/>
            </w:rPr>
            <w:fldChar w:fldCharType="begin"/>
          </w:r>
          <w:r>
            <w:rPr>
              <w:color w:val="auto"/>
              <w:highlight w:val="none"/>
            </w:rPr>
            <w:instrText xml:space="preserve"> PAGEREF _Toc31004 \h </w:instrText>
          </w:r>
          <w:r>
            <w:rPr>
              <w:color w:val="auto"/>
              <w:highlight w:val="none"/>
            </w:rPr>
            <w:fldChar w:fldCharType="separate"/>
          </w:r>
          <w:r>
            <w:rPr>
              <w:color w:val="auto"/>
              <w:highlight w:val="none"/>
            </w:rPr>
            <w:t>125</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_Toc12668 </w:instrText>
          </w:r>
          <w:r>
            <w:rPr>
              <w:rFonts w:cs="Times New Roman"/>
              <w:bCs/>
              <w:color w:val="auto"/>
              <w:highlight w:val="none"/>
              <w:lang w:val="zh-CN"/>
            </w:rPr>
            <w:fldChar w:fldCharType="separate"/>
          </w:r>
          <w:r>
            <w:rPr>
              <w:color w:val="auto"/>
              <w:highlight w:val="none"/>
            </w:rPr>
            <w:t>12.</w:t>
          </w:r>
          <w:r>
            <w:rPr>
              <w:color w:val="auto"/>
              <w:highlight w:val="none"/>
              <w:lang w:val="en-US"/>
            </w:rPr>
            <w:t>1</w:t>
          </w:r>
          <w:r>
            <w:rPr>
              <w:color w:val="auto"/>
              <w:highlight w:val="none"/>
            </w:rPr>
            <w:t>组织管理保障</w:t>
          </w:r>
          <w:r>
            <w:rPr>
              <w:color w:val="auto"/>
              <w:highlight w:val="none"/>
            </w:rPr>
            <w:tab/>
          </w:r>
          <w:r>
            <w:rPr>
              <w:color w:val="auto"/>
              <w:highlight w:val="none"/>
            </w:rPr>
            <w:fldChar w:fldCharType="begin"/>
          </w:r>
          <w:r>
            <w:rPr>
              <w:color w:val="auto"/>
              <w:highlight w:val="none"/>
            </w:rPr>
            <w:instrText xml:space="preserve"> PAGEREF _Toc12668 \h </w:instrText>
          </w:r>
          <w:r>
            <w:rPr>
              <w:color w:val="auto"/>
              <w:highlight w:val="none"/>
            </w:rPr>
            <w:fldChar w:fldCharType="separate"/>
          </w:r>
          <w:r>
            <w:rPr>
              <w:color w:val="auto"/>
              <w:highlight w:val="none"/>
            </w:rPr>
            <w:t>125</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_Toc26950 </w:instrText>
          </w:r>
          <w:r>
            <w:rPr>
              <w:rFonts w:cs="Times New Roman"/>
              <w:bCs/>
              <w:color w:val="auto"/>
              <w:highlight w:val="none"/>
              <w:lang w:val="zh-CN"/>
            </w:rPr>
            <w:fldChar w:fldCharType="separate"/>
          </w:r>
          <w:r>
            <w:rPr>
              <w:color w:val="auto"/>
              <w:highlight w:val="none"/>
            </w:rPr>
            <w:t>12.</w:t>
          </w:r>
          <w:r>
            <w:rPr>
              <w:color w:val="auto"/>
              <w:highlight w:val="none"/>
              <w:lang w:val="en-US"/>
            </w:rPr>
            <w:t>2</w:t>
          </w:r>
          <w:r>
            <w:rPr>
              <w:color w:val="auto"/>
              <w:highlight w:val="none"/>
            </w:rPr>
            <w:t>法规政策保障</w:t>
          </w:r>
          <w:r>
            <w:rPr>
              <w:color w:val="auto"/>
              <w:highlight w:val="none"/>
            </w:rPr>
            <w:tab/>
          </w:r>
          <w:r>
            <w:rPr>
              <w:color w:val="auto"/>
              <w:highlight w:val="none"/>
            </w:rPr>
            <w:fldChar w:fldCharType="begin"/>
          </w:r>
          <w:r>
            <w:rPr>
              <w:color w:val="auto"/>
              <w:highlight w:val="none"/>
            </w:rPr>
            <w:instrText xml:space="preserve"> PAGEREF _Toc26950 \h </w:instrText>
          </w:r>
          <w:r>
            <w:rPr>
              <w:color w:val="auto"/>
              <w:highlight w:val="none"/>
            </w:rPr>
            <w:fldChar w:fldCharType="separate"/>
          </w:r>
          <w:r>
            <w:rPr>
              <w:color w:val="auto"/>
              <w:highlight w:val="none"/>
            </w:rPr>
            <w:t>126</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_Toc13531 </w:instrText>
          </w:r>
          <w:r>
            <w:rPr>
              <w:rFonts w:cs="Times New Roman"/>
              <w:bCs/>
              <w:color w:val="auto"/>
              <w:highlight w:val="none"/>
              <w:lang w:val="zh-CN"/>
            </w:rPr>
            <w:fldChar w:fldCharType="separate"/>
          </w:r>
          <w:r>
            <w:rPr>
              <w:color w:val="auto"/>
              <w:highlight w:val="none"/>
            </w:rPr>
            <w:t>12.3投入资金保障</w:t>
          </w:r>
          <w:r>
            <w:rPr>
              <w:color w:val="auto"/>
              <w:highlight w:val="none"/>
            </w:rPr>
            <w:tab/>
          </w:r>
          <w:r>
            <w:rPr>
              <w:color w:val="auto"/>
              <w:highlight w:val="none"/>
            </w:rPr>
            <w:fldChar w:fldCharType="begin"/>
          </w:r>
          <w:r>
            <w:rPr>
              <w:color w:val="auto"/>
              <w:highlight w:val="none"/>
            </w:rPr>
            <w:instrText xml:space="preserve"> PAGEREF _Toc13531 \h </w:instrText>
          </w:r>
          <w:r>
            <w:rPr>
              <w:color w:val="auto"/>
              <w:highlight w:val="none"/>
            </w:rPr>
            <w:fldChar w:fldCharType="separate"/>
          </w:r>
          <w:r>
            <w:rPr>
              <w:color w:val="auto"/>
              <w:highlight w:val="none"/>
            </w:rPr>
            <w:t>127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_Toc30769 </w:instrText>
          </w:r>
          <w:r>
            <w:rPr>
              <w:rFonts w:cs="Times New Roman"/>
              <w:bCs/>
              <w:color w:val="auto"/>
              <w:highlight w:val="none"/>
              <w:lang w:val="zh-CN"/>
            </w:rPr>
            <w:fldChar w:fldCharType="separate"/>
          </w:r>
          <w:r>
            <w:rPr>
              <w:color w:val="auto"/>
              <w:highlight w:val="none"/>
              <w:lang w:val="en-US"/>
            </w:rPr>
            <w:t>12.4</w:t>
          </w:r>
          <w:r>
            <w:rPr>
              <w:color w:val="auto"/>
              <w:highlight w:val="none"/>
            </w:rPr>
            <w:t>科技保障</w:t>
          </w:r>
          <w:r>
            <w:rPr>
              <w:color w:val="auto"/>
              <w:highlight w:val="none"/>
            </w:rPr>
            <w:tab/>
          </w:r>
          <w:r>
            <w:rPr>
              <w:color w:val="auto"/>
              <w:highlight w:val="none"/>
            </w:rPr>
            <w:fldChar w:fldCharType="begin"/>
          </w:r>
          <w:r>
            <w:rPr>
              <w:color w:val="auto"/>
              <w:highlight w:val="none"/>
            </w:rPr>
            <w:instrText xml:space="preserve"> PAGEREF _Toc30769 \h </w:instrText>
          </w:r>
          <w:r>
            <w:rPr>
              <w:color w:val="auto"/>
              <w:highlight w:val="none"/>
            </w:rPr>
            <w:fldChar w:fldCharType="separate"/>
          </w:r>
          <w:r>
            <w:rPr>
              <w:color w:val="auto"/>
              <w:highlight w:val="none"/>
            </w:rPr>
            <w:t>127</w:t>
          </w:r>
          <w:r>
            <w:rPr>
              <w:color w:val="auto"/>
              <w:highlight w:val="none"/>
            </w:rPr>
            <w:fldChar w:fldCharType="end"/>
          </w:r>
          <w:r>
            <w:rPr>
              <w:rFonts w:cs="Times New Roman"/>
              <w:bCs/>
              <w:color w:val="auto"/>
              <w:highlight w:val="none"/>
              <w:lang w:val="zh-CN"/>
            </w:rPr>
            <w:fldChar w:fldCharType="end"/>
          </w:r>
        </w:p>
        <w:p>
          <w:pPr>
            <w:pStyle w:val="26"/>
            <w:tabs>
              <w:tab w:val="right" w:leader="dot" w:pos="8312"/>
              <w:tab w:val="clear" w:pos="8302"/>
            </w:tabs>
            <w:rPr>
              <w:color w:val="auto"/>
              <w:highlight w:val="none"/>
            </w:rPr>
          </w:pPr>
          <w:r>
            <w:rPr>
              <w:rFonts w:cs="Times New Roman"/>
              <w:bCs/>
              <w:color w:val="auto"/>
              <w:highlight w:val="none"/>
              <w:lang w:val="zh-CN"/>
            </w:rPr>
            <w:fldChar w:fldCharType="begin"/>
          </w:r>
          <w:r>
            <w:rPr>
              <w:rFonts w:cs="Times New Roman"/>
              <w:bCs/>
              <w:color w:val="auto"/>
              <w:highlight w:val="none"/>
              <w:lang w:val="zh-CN"/>
            </w:rPr>
            <w:instrText xml:space="preserve"> HYPERLINK \l _Toc32538 </w:instrText>
          </w:r>
          <w:r>
            <w:rPr>
              <w:rFonts w:cs="Times New Roman"/>
              <w:bCs/>
              <w:color w:val="auto"/>
              <w:highlight w:val="none"/>
              <w:lang w:val="zh-CN"/>
            </w:rPr>
            <w:fldChar w:fldCharType="separate"/>
          </w:r>
          <w:r>
            <w:rPr>
              <w:color w:val="auto"/>
              <w:highlight w:val="none"/>
            </w:rPr>
            <w:t>12.5宣传保障</w:t>
          </w:r>
          <w:r>
            <w:rPr>
              <w:color w:val="auto"/>
              <w:highlight w:val="none"/>
            </w:rPr>
            <w:tab/>
          </w:r>
          <w:r>
            <w:rPr>
              <w:color w:val="auto"/>
              <w:highlight w:val="none"/>
            </w:rPr>
            <w:fldChar w:fldCharType="begin"/>
          </w:r>
          <w:r>
            <w:rPr>
              <w:color w:val="auto"/>
              <w:highlight w:val="none"/>
            </w:rPr>
            <w:instrText xml:space="preserve"> PAGEREF _Toc32538 \h </w:instrText>
          </w:r>
          <w:r>
            <w:rPr>
              <w:color w:val="auto"/>
              <w:highlight w:val="none"/>
            </w:rPr>
            <w:fldChar w:fldCharType="separate"/>
          </w:r>
          <w:r>
            <w:rPr>
              <w:color w:val="auto"/>
              <w:highlight w:val="none"/>
            </w:rPr>
            <w:t>128</w:t>
          </w:r>
          <w:r>
            <w:rPr>
              <w:color w:val="auto"/>
              <w:highlight w:val="none"/>
            </w:rPr>
            <w:fldChar w:fldCharType="end"/>
          </w:r>
          <w:r>
            <w:rPr>
              <w:rFonts w:cs="Times New Roman"/>
              <w:bCs/>
              <w:color w:val="auto"/>
              <w:highlight w:val="none"/>
              <w:lang w:val="zh-CN"/>
            </w:rPr>
            <w:fldChar w:fldCharType="end"/>
          </w:r>
        </w:p>
        <w:p>
          <w:pPr>
            <w:ind w:left="0" w:leftChars="0" w:firstLine="0" w:firstLineChars="0"/>
            <w:rPr>
              <w:rFonts w:cs="Times New Roman"/>
              <w:color w:val="auto"/>
              <w:highlight w:val="none"/>
            </w:rPr>
          </w:pPr>
          <w:r>
            <w:rPr>
              <w:rFonts w:cs="Times New Roman"/>
              <w:bCs/>
              <w:color w:val="auto"/>
              <w:highlight w:val="none"/>
              <w:lang w:val="zh-CN"/>
            </w:rPr>
            <w:fldChar w:fldCharType="end"/>
          </w:r>
        </w:p>
      </w:sdtContent>
    </w:sdt>
    <w:p>
      <w:pPr>
        <w:snapToGrid w:val="0"/>
        <w:spacing w:line="288" w:lineRule="auto"/>
        <w:ind w:firstLine="0" w:firstLineChars="0"/>
        <w:rPr>
          <w:rFonts w:cs="Times New Roman"/>
          <w:color w:val="auto"/>
          <w:sz w:val="24"/>
          <w:szCs w:val="24"/>
          <w:highlight w:val="none"/>
        </w:rPr>
      </w:pPr>
      <w:bookmarkStart w:id="2" w:name="_Toc1596"/>
      <w:bookmarkStart w:id="3" w:name="_Toc528945971"/>
      <w:bookmarkStart w:id="4" w:name="_Toc516847566"/>
      <w:bookmarkStart w:id="5" w:name="_Toc119515816"/>
      <w:bookmarkStart w:id="6" w:name="_Toc90399074"/>
      <w:r>
        <w:rPr>
          <w:rFonts w:eastAsia="黑体" w:cs="Times New Roman"/>
          <w:bCs/>
          <w:color w:val="auto"/>
          <w:sz w:val="30"/>
          <w:szCs w:val="30"/>
          <w:highlight w:val="none"/>
        </w:rPr>
        <w:t>附表：</w:t>
      </w:r>
      <w:r>
        <w:rPr>
          <w:rFonts w:cs="Times New Roman"/>
          <w:color w:val="auto"/>
          <w:sz w:val="24"/>
          <w:szCs w:val="24"/>
          <w:highlight w:val="none"/>
        </w:rPr>
        <w:t>1</w:t>
      </w:r>
      <w:r>
        <w:rPr>
          <w:rFonts w:cs="Times New Roman"/>
          <w:color w:val="auto"/>
          <w:sz w:val="24"/>
          <w:highlight w:val="none"/>
        </w:rPr>
        <w:t>．</w:t>
      </w:r>
      <w:r>
        <w:rPr>
          <w:rFonts w:cs="Times New Roman"/>
          <w:color w:val="auto"/>
          <w:sz w:val="24"/>
          <w:szCs w:val="24"/>
          <w:highlight w:val="none"/>
        </w:rPr>
        <w:t>柳江区气象特征表</w:t>
      </w:r>
    </w:p>
    <w:p>
      <w:pPr>
        <w:pStyle w:val="12"/>
        <w:snapToGrid w:val="0"/>
        <w:spacing w:line="288" w:lineRule="auto"/>
        <w:ind w:left="927" w:leftChars="331" w:firstLine="0" w:firstLineChars="0"/>
        <w:rPr>
          <w:color w:val="auto"/>
          <w:sz w:val="24"/>
          <w:highlight w:val="none"/>
        </w:rPr>
      </w:pPr>
      <w:r>
        <w:rPr>
          <w:color w:val="auto"/>
          <w:sz w:val="24"/>
          <w:highlight w:val="none"/>
        </w:rPr>
        <w:t>2．柳江区社会经济现状表</w:t>
      </w:r>
    </w:p>
    <w:p>
      <w:pPr>
        <w:pStyle w:val="12"/>
        <w:snapToGrid w:val="0"/>
        <w:spacing w:line="288" w:lineRule="auto"/>
        <w:ind w:left="927" w:leftChars="331" w:firstLine="0" w:firstLineChars="0"/>
        <w:rPr>
          <w:color w:val="auto"/>
          <w:sz w:val="24"/>
          <w:highlight w:val="none"/>
        </w:rPr>
      </w:pPr>
      <w:r>
        <w:rPr>
          <w:color w:val="auto"/>
          <w:sz w:val="24"/>
          <w:highlight w:val="none"/>
        </w:rPr>
        <w:t>3．柳江区土地利用现状表</w:t>
      </w:r>
    </w:p>
    <w:p>
      <w:pPr>
        <w:pStyle w:val="12"/>
        <w:snapToGrid w:val="0"/>
        <w:spacing w:line="288" w:lineRule="auto"/>
        <w:ind w:left="927" w:leftChars="331" w:firstLine="0" w:firstLineChars="0"/>
        <w:rPr>
          <w:color w:val="auto"/>
          <w:sz w:val="24"/>
          <w:highlight w:val="none"/>
        </w:rPr>
      </w:pPr>
      <w:r>
        <w:rPr>
          <w:color w:val="auto"/>
          <w:sz w:val="24"/>
          <w:highlight w:val="none"/>
        </w:rPr>
        <w:t>4．柳江区耕地坡度组成表</w:t>
      </w:r>
    </w:p>
    <w:p>
      <w:pPr>
        <w:pStyle w:val="12"/>
        <w:snapToGrid w:val="0"/>
        <w:spacing w:line="288" w:lineRule="auto"/>
        <w:ind w:left="927" w:leftChars="331" w:firstLine="0" w:firstLineChars="0"/>
        <w:rPr>
          <w:rFonts w:hint="eastAsia" w:eastAsia="华文仿宋"/>
          <w:color w:val="auto"/>
          <w:sz w:val="24"/>
          <w:highlight w:val="none"/>
          <w:lang w:eastAsia="zh-CN"/>
        </w:rPr>
      </w:pPr>
      <w:r>
        <w:rPr>
          <w:color w:val="auto"/>
          <w:sz w:val="24"/>
          <w:highlight w:val="none"/>
        </w:rPr>
        <w:t>5．柳江区水土流失现状表</w:t>
      </w:r>
    </w:p>
    <w:p>
      <w:pPr>
        <w:pStyle w:val="12"/>
        <w:snapToGrid w:val="0"/>
        <w:spacing w:line="288" w:lineRule="auto"/>
        <w:ind w:left="927" w:leftChars="331" w:firstLine="0" w:firstLineChars="0"/>
        <w:rPr>
          <w:color w:val="auto"/>
          <w:sz w:val="24"/>
          <w:highlight w:val="none"/>
        </w:rPr>
      </w:pPr>
      <w:r>
        <w:rPr>
          <w:color w:val="auto"/>
          <w:sz w:val="24"/>
          <w:highlight w:val="none"/>
        </w:rPr>
        <w:t>6．柳江区水土保持区划成果表</w:t>
      </w:r>
    </w:p>
    <w:p>
      <w:pPr>
        <w:pStyle w:val="12"/>
        <w:snapToGrid w:val="0"/>
        <w:spacing w:line="288" w:lineRule="auto"/>
        <w:ind w:left="650" w:leftChars="232" w:firstLine="240" w:firstLineChars="100"/>
        <w:rPr>
          <w:color w:val="auto"/>
          <w:sz w:val="24"/>
          <w:highlight w:val="none"/>
        </w:rPr>
      </w:pPr>
      <w:r>
        <w:rPr>
          <w:rFonts w:hint="eastAsia"/>
          <w:color w:val="auto"/>
          <w:sz w:val="24"/>
          <w:highlight w:val="none"/>
          <w:lang w:val="en-US" w:eastAsia="zh-CN"/>
        </w:rPr>
        <w:t>7</w:t>
      </w:r>
      <w:r>
        <w:rPr>
          <w:color w:val="auto"/>
          <w:sz w:val="24"/>
          <w:highlight w:val="none"/>
        </w:rPr>
        <w:t>．柳江区水土流失重点预防保护项目规划表</w:t>
      </w:r>
    </w:p>
    <w:p>
      <w:pPr>
        <w:pStyle w:val="12"/>
        <w:snapToGrid w:val="0"/>
        <w:spacing w:line="288" w:lineRule="auto"/>
        <w:ind w:left="650" w:leftChars="232" w:firstLine="240" w:firstLineChars="100"/>
        <w:rPr>
          <w:color w:val="auto"/>
          <w:sz w:val="24"/>
          <w:highlight w:val="none"/>
        </w:rPr>
      </w:pPr>
      <w:r>
        <w:rPr>
          <w:rFonts w:hint="eastAsia"/>
          <w:color w:val="auto"/>
          <w:sz w:val="24"/>
          <w:highlight w:val="none"/>
          <w:lang w:val="en-US" w:eastAsia="zh-CN"/>
        </w:rPr>
        <w:t>8</w:t>
      </w:r>
      <w:r>
        <w:rPr>
          <w:color w:val="auto"/>
          <w:sz w:val="24"/>
          <w:highlight w:val="none"/>
        </w:rPr>
        <w:t>．柳江区水土流失重点治理项目近期规划表</w:t>
      </w:r>
    </w:p>
    <w:p>
      <w:pPr>
        <w:pStyle w:val="12"/>
        <w:snapToGrid w:val="0"/>
        <w:spacing w:line="288" w:lineRule="auto"/>
        <w:ind w:firstLine="0" w:firstLineChars="0"/>
        <w:rPr>
          <w:color w:val="auto"/>
          <w:sz w:val="24"/>
          <w:highlight w:val="none"/>
        </w:rPr>
      </w:pPr>
      <w:r>
        <w:rPr>
          <w:rFonts w:eastAsia="黑体"/>
          <w:bCs/>
          <w:color w:val="auto"/>
          <w:sz w:val="30"/>
          <w:szCs w:val="30"/>
          <w:highlight w:val="none"/>
        </w:rPr>
        <w:t>附图</w:t>
      </w:r>
      <w:r>
        <w:rPr>
          <w:rFonts w:eastAsia="黑体"/>
          <w:bCs/>
          <w:color w:val="auto"/>
          <w:sz w:val="30"/>
          <w:szCs w:val="30"/>
          <w:highlight w:val="none"/>
          <w:lang w:val="en-US"/>
        </w:rPr>
        <w:t>：</w:t>
      </w:r>
      <w:r>
        <w:rPr>
          <w:color w:val="auto"/>
          <w:sz w:val="24"/>
          <w:highlight w:val="none"/>
        </w:rPr>
        <w:t>1．柳江区行政区划图</w:t>
      </w:r>
    </w:p>
    <w:p>
      <w:pPr>
        <w:pStyle w:val="12"/>
        <w:snapToGrid w:val="0"/>
        <w:spacing w:line="288" w:lineRule="auto"/>
        <w:ind w:left="927" w:leftChars="331" w:firstLine="0" w:firstLineChars="0"/>
        <w:rPr>
          <w:color w:val="auto"/>
          <w:sz w:val="24"/>
          <w:highlight w:val="none"/>
          <w:lang w:val="en-US"/>
        </w:rPr>
      </w:pPr>
      <w:r>
        <w:rPr>
          <w:color w:val="auto"/>
          <w:sz w:val="24"/>
          <w:highlight w:val="none"/>
        </w:rPr>
        <w:t>2．柳江区</w:t>
      </w:r>
      <w:r>
        <w:rPr>
          <w:color w:val="auto"/>
          <w:sz w:val="24"/>
          <w:highlight w:val="none"/>
          <w:lang w:val="en-US"/>
        </w:rPr>
        <w:t>水系图</w:t>
      </w:r>
    </w:p>
    <w:p>
      <w:pPr>
        <w:pStyle w:val="12"/>
        <w:snapToGrid w:val="0"/>
        <w:spacing w:line="288" w:lineRule="auto"/>
        <w:ind w:left="927" w:leftChars="331" w:firstLine="0" w:firstLineChars="0"/>
        <w:rPr>
          <w:color w:val="auto"/>
          <w:sz w:val="24"/>
          <w:highlight w:val="none"/>
          <w:lang w:val="en-US"/>
        </w:rPr>
      </w:pPr>
      <w:r>
        <w:rPr>
          <w:color w:val="auto"/>
          <w:sz w:val="24"/>
          <w:highlight w:val="none"/>
        </w:rPr>
        <w:t>3．柳江区</w:t>
      </w:r>
      <w:r>
        <w:rPr>
          <w:color w:val="auto"/>
          <w:sz w:val="24"/>
          <w:highlight w:val="none"/>
          <w:lang w:val="en-US"/>
        </w:rPr>
        <w:t>土地利用图</w:t>
      </w:r>
    </w:p>
    <w:p>
      <w:pPr>
        <w:pStyle w:val="12"/>
        <w:snapToGrid w:val="0"/>
        <w:spacing w:line="288" w:lineRule="auto"/>
        <w:ind w:left="927" w:leftChars="331" w:firstLine="0" w:firstLineChars="0"/>
        <w:rPr>
          <w:color w:val="auto"/>
          <w:sz w:val="24"/>
          <w:highlight w:val="none"/>
        </w:rPr>
      </w:pPr>
      <w:r>
        <w:rPr>
          <w:color w:val="auto"/>
          <w:sz w:val="24"/>
          <w:highlight w:val="none"/>
        </w:rPr>
        <w:t>4．柳江区耕地坡度图</w:t>
      </w:r>
    </w:p>
    <w:p>
      <w:pPr>
        <w:pStyle w:val="12"/>
        <w:snapToGrid w:val="0"/>
        <w:spacing w:line="288" w:lineRule="auto"/>
        <w:ind w:left="927" w:leftChars="331" w:firstLine="0" w:firstLineChars="0"/>
        <w:rPr>
          <w:rFonts w:hint="eastAsia" w:eastAsia="华文仿宋"/>
          <w:color w:val="auto"/>
          <w:sz w:val="24"/>
          <w:highlight w:val="none"/>
          <w:lang w:eastAsia="zh-CN"/>
        </w:rPr>
      </w:pPr>
      <w:r>
        <w:rPr>
          <w:color w:val="auto"/>
          <w:sz w:val="24"/>
          <w:highlight w:val="none"/>
        </w:rPr>
        <w:t>5．柳江区</w:t>
      </w:r>
      <w:r>
        <w:rPr>
          <w:rFonts w:hint="eastAsia"/>
          <w:color w:val="auto"/>
          <w:sz w:val="24"/>
          <w:highlight w:val="none"/>
          <w:lang w:val="en-US" w:eastAsia="zh-CN"/>
        </w:rPr>
        <w:t>土壤分布图</w:t>
      </w:r>
    </w:p>
    <w:p>
      <w:pPr>
        <w:pStyle w:val="12"/>
        <w:snapToGrid w:val="0"/>
        <w:spacing w:line="288" w:lineRule="auto"/>
        <w:ind w:left="927" w:leftChars="331" w:firstLine="0" w:firstLineChars="0"/>
        <w:rPr>
          <w:rFonts w:hint="default" w:eastAsia="华文仿宋"/>
          <w:color w:val="auto"/>
          <w:sz w:val="24"/>
          <w:highlight w:val="none"/>
          <w:lang w:val="en-US" w:eastAsia="zh-CN"/>
        </w:rPr>
      </w:pPr>
      <w:r>
        <w:rPr>
          <w:color w:val="auto"/>
          <w:sz w:val="24"/>
          <w:highlight w:val="none"/>
        </w:rPr>
        <w:t>6．柳江区</w:t>
      </w:r>
      <w:r>
        <w:rPr>
          <w:rFonts w:hint="eastAsia"/>
          <w:color w:val="auto"/>
          <w:sz w:val="24"/>
          <w:highlight w:val="none"/>
          <w:lang w:val="en-US" w:eastAsia="zh-CN"/>
        </w:rPr>
        <w:t>高程分布图</w:t>
      </w:r>
    </w:p>
    <w:p>
      <w:pPr>
        <w:pStyle w:val="12"/>
        <w:snapToGrid w:val="0"/>
        <w:spacing w:line="288" w:lineRule="auto"/>
        <w:ind w:left="927" w:leftChars="331" w:firstLine="0" w:firstLineChars="0"/>
        <w:rPr>
          <w:rFonts w:hint="eastAsia" w:eastAsia="华文仿宋"/>
          <w:color w:val="auto"/>
          <w:sz w:val="24"/>
          <w:highlight w:val="none"/>
          <w:lang w:eastAsia="zh-CN"/>
        </w:rPr>
      </w:pPr>
      <w:r>
        <w:rPr>
          <w:rFonts w:hint="eastAsia"/>
          <w:color w:val="auto"/>
          <w:sz w:val="24"/>
          <w:highlight w:val="none"/>
          <w:lang w:val="en-US" w:eastAsia="zh-CN"/>
        </w:rPr>
        <w:t>7</w:t>
      </w:r>
      <w:r>
        <w:rPr>
          <w:color w:val="auto"/>
          <w:sz w:val="24"/>
          <w:highlight w:val="none"/>
        </w:rPr>
        <w:t>．柳江区水土流失现状图</w:t>
      </w:r>
    </w:p>
    <w:p>
      <w:pPr>
        <w:pStyle w:val="12"/>
        <w:snapToGrid w:val="0"/>
        <w:spacing w:line="288" w:lineRule="auto"/>
        <w:ind w:left="927" w:leftChars="331" w:firstLine="0" w:firstLineChars="0"/>
        <w:rPr>
          <w:rFonts w:hint="eastAsia" w:eastAsia="华文仿宋"/>
          <w:color w:val="auto"/>
          <w:sz w:val="24"/>
          <w:highlight w:val="none"/>
          <w:lang w:eastAsia="zh-CN"/>
        </w:rPr>
      </w:pPr>
      <w:r>
        <w:rPr>
          <w:rFonts w:hint="eastAsia"/>
          <w:color w:val="auto"/>
          <w:sz w:val="24"/>
          <w:highlight w:val="none"/>
          <w:lang w:val="en-US" w:eastAsia="zh-CN"/>
        </w:rPr>
        <w:t>8</w:t>
      </w:r>
      <w:r>
        <w:rPr>
          <w:color w:val="auto"/>
          <w:sz w:val="24"/>
          <w:highlight w:val="none"/>
        </w:rPr>
        <w:t>．柳江区水土保持区划图</w:t>
      </w:r>
    </w:p>
    <w:p>
      <w:pPr>
        <w:pStyle w:val="12"/>
        <w:snapToGrid w:val="0"/>
        <w:spacing w:line="288" w:lineRule="auto"/>
        <w:ind w:left="927" w:leftChars="331" w:firstLine="0" w:firstLineChars="0"/>
        <w:rPr>
          <w:rFonts w:hint="eastAsia" w:eastAsia="华文仿宋"/>
          <w:color w:val="auto"/>
          <w:sz w:val="24"/>
          <w:highlight w:val="none"/>
          <w:lang w:eastAsia="zh-CN"/>
        </w:rPr>
      </w:pPr>
      <w:r>
        <w:rPr>
          <w:rFonts w:hint="eastAsia"/>
          <w:color w:val="auto"/>
          <w:sz w:val="24"/>
          <w:highlight w:val="none"/>
          <w:lang w:val="en-US" w:eastAsia="zh-CN"/>
        </w:rPr>
        <w:t>9</w:t>
      </w:r>
      <w:r>
        <w:rPr>
          <w:color w:val="auto"/>
          <w:sz w:val="24"/>
          <w:highlight w:val="none"/>
        </w:rPr>
        <w:t>．柳江区水土保持重点预防项目分布图</w:t>
      </w:r>
    </w:p>
    <w:p>
      <w:pPr>
        <w:pStyle w:val="12"/>
        <w:snapToGrid w:val="0"/>
        <w:spacing w:line="288" w:lineRule="auto"/>
        <w:ind w:left="927" w:leftChars="331" w:firstLine="0" w:firstLineChars="0"/>
        <w:rPr>
          <w:color w:val="auto"/>
          <w:highlight w:val="none"/>
        </w:rPr>
      </w:pPr>
      <w:r>
        <w:rPr>
          <w:rFonts w:hint="eastAsia"/>
          <w:color w:val="auto"/>
          <w:sz w:val="24"/>
          <w:highlight w:val="none"/>
          <w:lang w:val="en-US" w:eastAsia="zh-CN"/>
        </w:rPr>
        <w:t>10</w:t>
      </w:r>
      <w:r>
        <w:rPr>
          <w:color w:val="auto"/>
          <w:sz w:val="24"/>
          <w:highlight w:val="none"/>
        </w:rPr>
        <w:t>．柳江区水土流失重点治理项目分布图</w:t>
      </w:r>
    </w:p>
    <w:p>
      <w:pPr>
        <w:pStyle w:val="3"/>
        <w:spacing w:before="156"/>
        <w:ind w:firstLine="602"/>
        <w:rPr>
          <w:color w:val="auto"/>
          <w:highlight w:val="none"/>
          <w:lang w:val="en-US"/>
        </w:rPr>
        <w:sectPr>
          <w:headerReference r:id="rId6" w:type="first"/>
          <w:footerReference r:id="rId9" w:type="first"/>
          <w:footerReference r:id="rId7" w:type="default"/>
          <w:headerReference r:id="rId5" w:type="even"/>
          <w:footerReference r:id="rId8" w:type="even"/>
          <w:pgSz w:w="11906" w:h="16838"/>
          <w:pgMar w:top="1440" w:right="1797" w:bottom="1440" w:left="1797" w:header="851" w:footer="992" w:gutter="0"/>
          <w:pgNumType w:start="1"/>
          <w:cols w:space="425" w:num="1"/>
          <w:docGrid w:type="lines" w:linePitch="312" w:charSpace="0"/>
        </w:sectPr>
      </w:pPr>
    </w:p>
    <w:p>
      <w:pPr>
        <w:pStyle w:val="2"/>
        <w:rPr>
          <w:rFonts w:hint="default" w:eastAsia="黑体"/>
          <w:color w:val="auto"/>
          <w:highlight w:val="none"/>
          <w:lang w:val="en-US" w:eastAsia="zh-CN"/>
        </w:rPr>
      </w:pPr>
      <w:bookmarkStart w:id="7" w:name="_Toc23956"/>
      <w:r>
        <w:rPr>
          <w:rFonts w:hint="eastAsia"/>
          <w:color w:val="auto"/>
          <w:highlight w:val="none"/>
          <w:lang w:val="en-US" w:eastAsia="zh-CN"/>
        </w:rPr>
        <w:t>1规划概要</w:t>
      </w:r>
    </w:p>
    <w:p>
      <w:pPr>
        <w:pStyle w:val="3"/>
        <w:spacing w:before="156"/>
        <w:ind w:firstLine="602"/>
        <w:rPr>
          <w:color w:val="auto"/>
          <w:highlight w:val="none"/>
          <w:lang w:val="en-US"/>
        </w:rPr>
      </w:pPr>
      <w:r>
        <w:rPr>
          <w:color w:val="auto"/>
          <w:highlight w:val="none"/>
          <w:lang w:val="en-US"/>
        </w:rPr>
        <w:t>1.1</w:t>
      </w:r>
      <w:bookmarkEnd w:id="2"/>
      <w:bookmarkEnd w:id="3"/>
      <w:bookmarkEnd w:id="4"/>
      <w:r>
        <w:rPr>
          <w:color w:val="auto"/>
          <w:highlight w:val="none"/>
          <w:lang w:val="en-US"/>
        </w:rPr>
        <w:t>基本情况</w:t>
      </w:r>
      <w:bookmarkEnd w:id="5"/>
      <w:bookmarkEnd w:id="6"/>
      <w:bookmarkEnd w:id="7"/>
    </w:p>
    <w:p>
      <w:pPr>
        <w:pStyle w:val="4"/>
        <w:spacing w:before="156"/>
        <w:ind w:firstLine="562"/>
        <w:rPr>
          <w:color w:val="auto"/>
          <w:highlight w:val="none"/>
          <w:lang w:val="en-GB"/>
        </w:rPr>
      </w:pPr>
      <w:bookmarkStart w:id="8" w:name="_Toc119515817"/>
      <w:bookmarkStart w:id="9" w:name="_Toc6695"/>
      <w:bookmarkStart w:id="10" w:name="_Toc11657"/>
      <w:r>
        <w:rPr>
          <w:color w:val="auto"/>
          <w:highlight w:val="none"/>
          <w:lang w:val="en-US"/>
        </w:rPr>
        <w:t>1.1.1</w:t>
      </w:r>
      <w:r>
        <w:rPr>
          <w:color w:val="auto"/>
          <w:highlight w:val="none"/>
          <w:lang w:val="en-GB"/>
        </w:rPr>
        <w:t>自然条件</w:t>
      </w:r>
      <w:bookmarkEnd w:id="8"/>
      <w:bookmarkEnd w:id="9"/>
      <w:bookmarkEnd w:id="10"/>
    </w:p>
    <w:p>
      <w:pPr>
        <w:rPr>
          <w:rFonts w:cs="Times New Roman"/>
          <w:color w:val="auto"/>
          <w:highlight w:val="none"/>
          <w:lang w:val="zh-CN"/>
        </w:rPr>
      </w:pPr>
      <w:r>
        <w:rPr>
          <w:rFonts w:cs="Times New Roman"/>
          <w:color w:val="auto"/>
          <w:highlight w:val="none"/>
          <w:lang w:val="zh-CN"/>
        </w:rPr>
        <w:t>柳江区位于广西中部，柳州西南面，地处东经108°54′40″-109°44′45″、北纬23°54′30″-24°29′00″。北面紧连</w:t>
      </w:r>
      <w:r>
        <w:rPr>
          <w:rFonts w:hint="eastAsia" w:cs="Times New Roman"/>
          <w:color w:val="auto"/>
          <w:highlight w:val="none"/>
          <w:lang w:val="en-US" w:eastAsia="zh-CN"/>
        </w:rPr>
        <w:t>柳城县</w:t>
      </w:r>
      <w:r>
        <w:rPr>
          <w:rFonts w:cs="Times New Roman"/>
          <w:color w:val="auto"/>
          <w:highlight w:val="none"/>
          <w:lang w:val="zh-CN"/>
        </w:rPr>
        <w:t>；西北</w:t>
      </w:r>
      <w:r>
        <w:rPr>
          <w:rFonts w:hint="eastAsia" w:cs="Times New Roman"/>
          <w:color w:val="auto"/>
          <w:highlight w:val="none"/>
          <w:lang w:val="en-US" w:eastAsia="zh-CN"/>
        </w:rPr>
        <w:t>接河池市宜州区</w:t>
      </w:r>
      <w:r>
        <w:rPr>
          <w:rFonts w:hint="eastAsia" w:cs="Times New Roman"/>
          <w:color w:val="auto"/>
          <w:highlight w:val="none"/>
          <w:lang w:val="zh-CN"/>
        </w:rPr>
        <w:t>，</w:t>
      </w:r>
      <w:r>
        <w:rPr>
          <w:rFonts w:cs="Times New Roman"/>
          <w:color w:val="auto"/>
          <w:highlight w:val="none"/>
          <w:lang w:val="zh-CN"/>
        </w:rPr>
        <w:t>西南接忻城县；南靠来宾市兴宾区；东南邻象州县；东北隔柳江与鹿寨县相望。全境东西最大横距84.6公里，南北最大纵距67.6公里。柳江区土地总面积1773km</w:t>
      </w:r>
      <w:r>
        <w:rPr>
          <w:rFonts w:cs="Times New Roman"/>
          <w:color w:val="auto"/>
          <w:highlight w:val="none"/>
          <w:vertAlign w:val="superscript"/>
          <w:lang w:val="zh-CN"/>
        </w:rPr>
        <w:t>2</w:t>
      </w:r>
      <w:r>
        <w:rPr>
          <w:rFonts w:cs="Times New Roman"/>
          <w:color w:val="auto"/>
          <w:highlight w:val="none"/>
          <w:lang w:val="zh-CN"/>
        </w:rPr>
        <w:t>。</w:t>
      </w:r>
    </w:p>
    <w:p>
      <w:pPr>
        <w:rPr>
          <w:rFonts w:cs="Times New Roman"/>
          <w:color w:val="auto"/>
          <w:highlight w:val="none"/>
        </w:rPr>
      </w:pPr>
      <w:r>
        <w:rPr>
          <w:rFonts w:cs="Times New Roman"/>
          <w:color w:val="auto"/>
          <w:highlight w:val="none"/>
        </w:rPr>
        <w:t>柳江区境内呈岩溶地貌和低</w:t>
      </w:r>
      <w:r>
        <w:rPr>
          <w:rFonts w:hint="eastAsia" w:cs="Times New Roman"/>
          <w:color w:val="auto"/>
          <w:highlight w:val="none"/>
          <w:lang w:val="en-US" w:eastAsia="zh-CN"/>
        </w:rPr>
        <w:t>山</w:t>
      </w:r>
      <w:r>
        <w:rPr>
          <w:rFonts w:cs="Times New Roman"/>
          <w:color w:val="auto"/>
          <w:highlight w:val="none"/>
        </w:rPr>
        <w:t>丘陵地貌，全区土地面积1773平方公里，其中山地面积占全区土地面积的51%；平原面积占全区土地面积的29%；丘陵面积占全区土地面积的11%。</w:t>
      </w:r>
    </w:p>
    <w:p>
      <w:pPr>
        <w:rPr>
          <w:rFonts w:cs="Times New Roman"/>
          <w:color w:val="auto"/>
          <w:highlight w:val="none"/>
        </w:rPr>
      </w:pPr>
      <w:r>
        <w:rPr>
          <w:rFonts w:cs="Times New Roman"/>
          <w:color w:val="auto"/>
          <w:highlight w:val="none"/>
        </w:rPr>
        <w:t>柳江区</w:t>
      </w:r>
      <w:r>
        <w:rPr>
          <w:rFonts w:hint="eastAsia" w:cs="Times New Roman"/>
          <w:color w:val="auto"/>
          <w:highlight w:val="none"/>
          <w:lang w:val="en-US" w:eastAsia="zh-CN"/>
        </w:rPr>
        <w:t>处于</w:t>
      </w:r>
      <w:r>
        <w:rPr>
          <w:rFonts w:hint="eastAsia" w:cs="Times New Roman"/>
          <w:color w:val="auto"/>
          <w:highlight w:val="none"/>
        </w:rPr>
        <w:t>南亚热带向中亚热带过渡的季风气候区</w:t>
      </w:r>
      <w:r>
        <w:rPr>
          <w:rFonts w:cs="Times New Roman"/>
          <w:color w:val="auto"/>
          <w:highlight w:val="none"/>
        </w:rPr>
        <w:t>。</w:t>
      </w:r>
      <w:r>
        <w:rPr>
          <w:rFonts w:cs="Times New Roman"/>
          <w:color w:val="auto"/>
          <w:highlight w:val="none"/>
          <w:lang w:val="zh-CN"/>
        </w:rPr>
        <w:t>多年年均气温20.</w:t>
      </w:r>
      <w:r>
        <w:rPr>
          <w:rFonts w:hint="eastAsia" w:cs="Times New Roman"/>
          <w:color w:val="auto"/>
          <w:highlight w:val="none"/>
          <w:lang w:val="en-US" w:eastAsia="zh-CN"/>
        </w:rPr>
        <w:t>9</w:t>
      </w:r>
      <w:r>
        <w:rPr>
          <w:rFonts w:cs="Times New Roman"/>
          <w:color w:val="auto"/>
          <w:highlight w:val="none"/>
          <w:lang w:val="zh-CN"/>
        </w:rPr>
        <w:t>℃，年极端最高气温</w:t>
      </w:r>
      <w:r>
        <w:rPr>
          <w:rFonts w:hint="eastAsia" w:cs="Times New Roman"/>
          <w:color w:val="auto"/>
          <w:highlight w:val="none"/>
          <w:lang w:val="en-US" w:eastAsia="zh-CN"/>
        </w:rPr>
        <w:t>39.0</w:t>
      </w:r>
      <w:r>
        <w:rPr>
          <w:rFonts w:cs="Times New Roman"/>
          <w:color w:val="auto"/>
          <w:highlight w:val="none"/>
          <w:lang w:val="zh-CN"/>
        </w:rPr>
        <w:t>℃，年极端最低气温-1.</w:t>
      </w:r>
      <w:r>
        <w:rPr>
          <w:rFonts w:hint="eastAsia" w:cs="Times New Roman"/>
          <w:color w:val="auto"/>
          <w:highlight w:val="none"/>
          <w:lang w:val="en-US" w:eastAsia="zh-CN"/>
        </w:rPr>
        <w:t>6</w:t>
      </w:r>
      <w:r>
        <w:rPr>
          <w:rFonts w:cs="Times New Roman"/>
          <w:color w:val="auto"/>
          <w:highlight w:val="none"/>
          <w:lang w:val="zh-CN"/>
        </w:rPr>
        <w:t>℃；多年平均降雨量为</w:t>
      </w:r>
      <w:r>
        <w:rPr>
          <w:rFonts w:hint="eastAsia" w:cs="Times New Roman"/>
          <w:color w:val="auto"/>
          <w:highlight w:val="none"/>
          <w:lang w:val="en-US" w:eastAsia="zh-CN"/>
        </w:rPr>
        <w:t>1543.8</w:t>
      </w:r>
      <w:r>
        <w:rPr>
          <w:rFonts w:cs="Times New Roman"/>
          <w:color w:val="auto"/>
          <w:highlight w:val="none"/>
          <w:lang w:val="zh-CN"/>
        </w:rPr>
        <w:t>mm，多集中在5～9月。多年平均日照时数</w:t>
      </w:r>
      <w:r>
        <w:rPr>
          <w:rFonts w:hint="eastAsia" w:cs="Times New Roman"/>
          <w:color w:val="auto"/>
          <w:highlight w:val="none"/>
          <w:lang w:val="en-US" w:eastAsia="zh-CN"/>
        </w:rPr>
        <w:t>1396.8</w:t>
      </w:r>
      <w:r>
        <w:rPr>
          <w:rFonts w:cs="Times New Roman"/>
          <w:color w:val="auto"/>
          <w:highlight w:val="none"/>
          <w:lang w:val="zh-CN"/>
        </w:rPr>
        <w:t>小时，年均相对湿度76%。年均蒸发量</w:t>
      </w:r>
      <w:r>
        <w:rPr>
          <w:rFonts w:hint="eastAsia" w:cs="Times New Roman"/>
          <w:color w:val="auto"/>
          <w:highlight w:val="none"/>
          <w:lang w:val="en-US" w:eastAsia="zh-CN"/>
        </w:rPr>
        <w:t>1510.8</w:t>
      </w:r>
      <w:r>
        <w:rPr>
          <w:rFonts w:cs="Times New Roman"/>
          <w:color w:val="auto"/>
          <w:highlight w:val="none"/>
          <w:lang w:val="zh-CN"/>
        </w:rPr>
        <w:t>mm，年无霜期</w:t>
      </w:r>
      <w:r>
        <w:rPr>
          <w:rFonts w:hint="eastAsia" w:cs="Times New Roman"/>
          <w:color w:val="auto"/>
          <w:highlight w:val="none"/>
          <w:lang w:val="en-US" w:eastAsia="zh-CN"/>
        </w:rPr>
        <w:t>360</w:t>
      </w:r>
      <w:r>
        <w:rPr>
          <w:rFonts w:cs="Times New Roman"/>
          <w:color w:val="auto"/>
          <w:highlight w:val="none"/>
          <w:lang w:val="zh-CN"/>
        </w:rPr>
        <w:t>d。</w:t>
      </w:r>
      <w:bookmarkStart w:id="11" w:name="_Toc119515818"/>
      <w:r>
        <w:rPr>
          <w:rFonts w:cs="Times New Roman"/>
          <w:color w:val="auto"/>
          <w:highlight w:val="none"/>
          <w:lang w:val="zh-CN"/>
        </w:rPr>
        <w:t>柳江区境内河流均属珠江流域西江水系，</w:t>
      </w:r>
      <w:r>
        <w:rPr>
          <w:rFonts w:cs="Times New Roman"/>
          <w:color w:val="auto"/>
          <w:highlight w:val="none"/>
        </w:rPr>
        <w:t>柳江区水资源总量16.05亿立方米，有大小河流142条，流域面积1766.5平方千米，根据《第一次全国水利普查》成果，柳江区境内集雨面积50平方千米以上的河流23条，均属于红水河流域和柳江流域。</w:t>
      </w:r>
    </w:p>
    <w:p>
      <w:pPr>
        <w:pStyle w:val="4"/>
        <w:spacing w:before="156"/>
        <w:ind w:firstLine="562"/>
        <w:rPr>
          <w:color w:val="auto"/>
          <w:highlight w:val="none"/>
          <w:lang w:val="en-US"/>
        </w:rPr>
      </w:pPr>
      <w:bookmarkStart w:id="12" w:name="_Toc24012"/>
      <w:r>
        <w:rPr>
          <w:color w:val="auto"/>
          <w:highlight w:val="none"/>
          <w:lang w:val="en-US"/>
        </w:rPr>
        <w:t>1.1.2社会经济</w:t>
      </w:r>
      <w:bookmarkEnd w:id="11"/>
      <w:bookmarkEnd w:id="12"/>
    </w:p>
    <w:p>
      <w:pPr>
        <w:rPr>
          <w:rFonts w:eastAsia="华文仿宋" w:cs="Times New Roman"/>
          <w:color w:val="auto"/>
          <w:szCs w:val="24"/>
          <w:highlight w:val="none"/>
          <w:lang w:val="zh-CN"/>
        </w:rPr>
      </w:pPr>
      <w:r>
        <w:rPr>
          <w:rFonts w:eastAsia="华文仿宋" w:cs="Times New Roman"/>
          <w:color w:val="auto"/>
          <w:szCs w:val="24"/>
          <w:highlight w:val="none"/>
          <w:lang w:val="zh-CN"/>
        </w:rPr>
        <w:t>柳江区辖</w:t>
      </w:r>
      <w:r>
        <w:rPr>
          <w:rFonts w:cs="Times New Roman"/>
          <w:color w:val="auto"/>
          <w:highlight w:val="none"/>
        </w:rPr>
        <w:t>拉堡镇</w:t>
      </w:r>
      <w:r>
        <w:rPr>
          <w:rFonts w:cs="Times New Roman"/>
          <w:color w:val="auto"/>
          <w:highlight w:val="none"/>
          <w:lang w:val="zh-CN"/>
        </w:rPr>
        <w:t>、进德镇、成团镇、百朋镇、三都镇、土博镇、里高镇、穿山镇等8个镇、</w:t>
      </w:r>
      <w:r>
        <w:rPr>
          <w:rFonts w:eastAsia="华文仿宋" w:cs="Times New Roman"/>
          <w:color w:val="auto"/>
          <w:szCs w:val="24"/>
          <w:highlight w:val="none"/>
          <w:lang w:val="zh-CN"/>
        </w:rPr>
        <w:t>92个行政村，26个社区，</w:t>
      </w:r>
      <w:r>
        <w:rPr>
          <w:rFonts w:cs="Times New Roman"/>
          <w:color w:val="auto"/>
          <w:highlight w:val="none"/>
        </w:rPr>
        <w:t>行政区域面积1773</w:t>
      </w:r>
      <w:r>
        <w:rPr>
          <w:rFonts w:cs="Times New Roman"/>
          <w:color w:val="auto"/>
          <w:highlight w:val="none"/>
          <w:lang w:val="en-GB"/>
        </w:rPr>
        <w:t>km</w:t>
      </w:r>
      <w:r>
        <w:rPr>
          <w:rFonts w:cs="Times New Roman"/>
          <w:color w:val="auto"/>
          <w:highlight w:val="none"/>
          <w:vertAlign w:val="superscript"/>
        </w:rPr>
        <w:t>2</w:t>
      </w:r>
      <w:r>
        <w:rPr>
          <w:rFonts w:cs="Times New Roman"/>
          <w:color w:val="auto"/>
          <w:highlight w:val="none"/>
        </w:rPr>
        <w:t>。</w:t>
      </w:r>
    </w:p>
    <w:p>
      <w:pPr>
        <w:rPr>
          <w:rFonts w:cs="Times New Roman"/>
          <w:color w:val="auto"/>
          <w:highlight w:val="none"/>
        </w:rPr>
      </w:pP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年末户籍总人口48.</w:t>
      </w:r>
      <w:r>
        <w:rPr>
          <w:rFonts w:hint="eastAsia" w:cs="Times New Roman"/>
          <w:color w:val="auto"/>
          <w:highlight w:val="none"/>
          <w:lang w:val="en-US" w:eastAsia="zh-CN"/>
        </w:rPr>
        <w:t>40</w:t>
      </w:r>
      <w:r>
        <w:rPr>
          <w:rFonts w:cs="Times New Roman"/>
          <w:color w:val="auto"/>
          <w:highlight w:val="none"/>
        </w:rPr>
        <w:t>万人（剔除划出的4个镇），其中壮族人口</w:t>
      </w:r>
      <w:r>
        <w:rPr>
          <w:rFonts w:hint="eastAsia" w:cs="Times New Roman"/>
          <w:color w:val="auto"/>
          <w:highlight w:val="none"/>
        </w:rPr>
        <w:t>37.06</w:t>
      </w:r>
      <w:r>
        <w:rPr>
          <w:rFonts w:cs="Times New Roman"/>
          <w:color w:val="auto"/>
          <w:highlight w:val="none"/>
        </w:rPr>
        <w:t>万人，占总人口的76.6%。户籍</w:t>
      </w:r>
      <w:r>
        <w:rPr>
          <w:color w:val="auto"/>
          <w:highlight w:val="none"/>
        </w:rPr>
        <w:fldChar w:fldCharType="begin"/>
      </w:r>
      <w:r>
        <w:rPr>
          <w:color w:val="auto"/>
          <w:highlight w:val="none"/>
        </w:rPr>
        <w:instrText xml:space="preserve"> HYPERLINK "https://baike.sogou.com/lemma/ShowInnerLink.htm?lemmaId=63294953&amp;ss_c=ssc.citiao.link" \t "_blank" </w:instrText>
      </w:r>
      <w:r>
        <w:rPr>
          <w:color w:val="auto"/>
          <w:highlight w:val="none"/>
        </w:rPr>
        <w:fldChar w:fldCharType="separate"/>
      </w:r>
      <w:r>
        <w:rPr>
          <w:rFonts w:cs="Times New Roman"/>
          <w:color w:val="auto"/>
          <w:highlight w:val="none"/>
        </w:rPr>
        <w:t>人口城镇化</w:t>
      </w:r>
      <w:r>
        <w:rPr>
          <w:rFonts w:cs="Times New Roman"/>
          <w:color w:val="auto"/>
          <w:highlight w:val="none"/>
        </w:rPr>
        <w:fldChar w:fldCharType="end"/>
      </w:r>
      <w:r>
        <w:rPr>
          <w:rFonts w:cs="Times New Roman"/>
          <w:color w:val="auto"/>
          <w:highlight w:val="none"/>
        </w:rPr>
        <w:t>率为</w:t>
      </w:r>
      <w:r>
        <w:rPr>
          <w:rFonts w:hint="eastAsia" w:cs="Times New Roman"/>
          <w:color w:val="auto"/>
          <w:highlight w:val="none"/>
          <w:lang w:val="en-US" w:eastAsia="zh-CN"/>
        </w:rPr>
        <w:t>37.06</w:t>
      </w:r>
      <w:r>
        <w:rPr>
          <w:rFonts w:cs="Times New Roman"/>
          <w:color w:val="auto"/>
          <w:highlight w:val="none"/>
        </w:rPr>
        <w:t>%，比上年末提高0.19个百分点。常住人口50.</w:t>
      </w:r>
      <w:r>
        <w:rPr>
          <w:rFonts w:hint="eastAsia" w:cs="Times New Roman"/>
          <w:color w:val="auto"/>
          <w:highlight w:val="none"/>
          <w:lang w:val="en-US" w:eastAsia="zh-CN"/>
        </w:rPr>
        <w:t>5</w:t>
      </w:r>
      <w:r>
        <w:rPr>
          <w:rFonts w:cs="Times New Roman"/>
          <w:color w:val="auto"/>
          <w:highlight w:val="none"/>
        </w:rPr>
        <w:t>8万人，其中城镇人口30.</w:t>
      </w:r>
      <w:r>
        <w:rPr>
          <w:rFonts w:hint="eastAsia" w:cs="Times New Roman"/>
          <w:color w:val="auto"/>
          <w:highlight w:val="none"/>
          <w:lang w:val="en-US" w:eastAsia="zh-CN"/>
        </w:rPr>
        <w:t>89</w:t>
      </w:r>
      <w:r>
        <w:rPr>
          <w:rFonts w:cs="Times New Roman"/>
          <w:color w:val="auto"/>
          <w:highlight w:val="none"/>
        </w:rPr>
        <w:t>万人，常住人口城镇化率为</w:t>
      </w:r>
      <w:r>
        <w:rPr>
          <w:rFonts w:hint="eastAsia" w:cs="Times New Roman"/>
          <w:color w:val="auto"/>
          <w:highlight w:val="none"/>
          <w:lang w:val="en-US" w:eastAsia="zh-CN"/>
        </w:rPr>
        <w:t>61.07.</w:t>
      </w:r>
      <w:r>
        <w:rPr>
          <w:rFonts w:cs="Times New Roman"/>
          <w:color w:val="auto"/>
          <w:highlight w:val="none"/>
        </w:rPr>
        <w:t>%。</w:t>
      </w:r>
    </w:p>
    <w:p>
      <w:pPr>
        <w:rPr>
          <w:rFonts w:cs="Times New Roman"/>
          <w:color w:val="auto"/>
          <w:highlight w:val="none"/>
        </w:rPr>
      </w:pPr>
      <w:r>
        <w:rPr>
          <w:rFonts w:cs="Times New Roman"/>
          <w:color w:val="auto"/>
          <w:highlight w:val="none"/>
        </w:rPr>
        <w:t>根据202</w:t>
      </w:r>
      <w:r>
        <w:rPr>
          <w:rFonts w:hint="eastAsia" w:cs="Times New Roman"/>
          <w:color w:val="auto"/>
          <w:highlight w:val="none"/>
          <w:lang w:val="en-US" w:eastAsia="zh-CN"/>
        </w:rPr>
        <w:t>1</w:t>
      </w:r>
      <w:r>
        <w:rPr>
          <w:rFonts w:cs="Times New Roman"/>
          <w:color w:val="auto"/>
          <w:highlight w:val="none"/>
        </w:rPr>
        <w:t>年柳江区</w:t>
      </w:r>
      <w:r>
        <w:rPr>
          <w:rFonts w:hint="eastAsia" w:cs="Times New Roman"/>
          <w:color w:val="auto"/>
          <w:highlight w:val="none"/>
          <w:lang w:val="en-US" w:eastAsia="zh-CN"/>
        </w:rPr>
        <w:t>国民经济和社会发展统计公报</w:t>
      </w: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年柳江区地区生产总值</w:t>
      </w:r>
      <w:r>
        <w:rPr>
          <w:rFonts w:hint="eastAsia" w:cs="Times New Roman"/>
          <w:color w:val="auto"/>
          <w:highlight w:val="none"/>
          <w:lang w:val="en-US" w:eastAsia="zh-CN"/>
        </w:rPr>
        <w:t>286.14</w:t>
      </w:r>
      <w:r>
        <w:rPr>
          <w:rFonts w:cs="Times New Roman"/>
          <w:color w:val="auto"/>
          <w:highlight w:val="none"/>
        </w:rPr>
        <w:t>亿元，其中第一产业增加值</w:t>
      </w:r>
      <w:r>
        <w:rPr>
          <w:rFonts w:hint="eastAsia" w:cs="Times New Roman"/>
          <w:color w:val="auto"/>
          <w:highlight w:val="none"/>
          <w:lang w:val="en-US" w:eastAsia="zh-CN"/>
        </w:rPr>
        <w:t>46.51</w:t>
      </w:r>
      <w:r>
        <w:rPr>
          <w:rFonts w:cs="Times New Roman"/>
          <w:color w:val="auto"/>
          <w:highlight w:val="none"/>
        </w:rPr>
        <w:t>亿元</w:t>
      </w:r>
      <w:r>
        <w:rPr>
          <w:rFonts w:hint="eastAsia" w:cs="Times New Roman"/>
          <w:color w:val="auto"/>
          <w:highlight w:val="none"/>
          <w:lang w:eastAsia="zh-CN"/>
        </w:rPr>
        <w:t>，</w:t>
      </w:r>
      <w:r>
        <w:rPr>
          <w:rFonts w:cs="Times New Roman"/>
          <w:color w:val="auto"/>
          <w:highlight w:val="none"/>
        </w:rPr>
        <w:t>第二产业增加值</w:t>
      </w:r>
      <w:r>
        <w:rPr>
          <w:rFonts w:hint="eastAsia" w:cs="Times New Roman"/>
          <w:color w:val="auto"/>
          <w:highlight w:val="none"/>
          <w:lang w:val="en-US" w:eastAsia="zh-CN"/>
        </w:rPr>
        <w:t>87.70</w:t>
      </w:r>
      <w:r>
        <w:rPr>
          <w:rFonts w:cs="Times New Roman"/>
          <w:color w:val="auto"/>
          <w:highlight w:val="none"/>
        </w:rPr>
        <w:t>亿元，第三产业增加值</w:t>
      </w:r>
      <w:r>
        <w:rPr>
          <w:rFonts w:hint="eastAsia" w:cs="Times New Roman"/>
          <w:color w:val="auto"/>
          <w:highlight w:val="none"/>
          <w:lang w:val="en-US" w:eastAsia="zh-CN"/>
        </w:rPr>
        <w:t>151.93</w:t>
      </w:r>
      <w:r>
        <w:rPr>
          <w:rFonts w:cs="Times New Roman"/>
          <w:color w:val="auto"/>
          <w:highlight w:val="none"/>
        </w:rPr>
        <w:t>亿元。</w:t>
      </w:r>
    </w:p>
    <w:p>
      <w:pPr>
        <w:rPr>
          <w:rFonts w:cs="Times New Roman"/>
          <w:bCs/>
          <w:color w:val="auto"/>
          <w:highlight w:val="none"/>
        </w:rPr>
      </w:pPr>
      <w:r>
        <w:rPr>
          <w:rFonts w:cs="Times New Roman"/>
          <w:bCs/>
          <w:color w:val="auto"/>
          <w:highlight w:val="none"/>
        </w:rPr>
        <w:t>根据第二次全国土地调查农村土地利用现状二级分类，柳江区现有土地总面积1773km</w:t>
      </w:r>
      <w:r>
        <w:rPr>
          <w:rFonts w:cs="Times New Roman"/>
          <w:bCs/>
          <w:color w:val="auto"/>
          <w:highlight w:val="none"/>
          <w:vertAlign w:val="superscript"/>
        </w:rPr>
        <w:t>2</w:t>
      </w:r>
      <w:r>
        <w:rPr>
          <w:rFonts w:cs="Times New Roman"/>
          <w:bCs/>
          <w:color w:val="auto"/>
          <w:highlight w:val="none"/>
        </w:rPr>
        <w:t>。其中：耕地面积662.86km</w:t>
      </w:r>
      <w:r>
        <w:rPr>
          <w:rFonts w:cs="Times New Roman"/>
          <w:bCs/>
          <w:color w:val="auto"/>
          <w:highlight w:val="none"/>
          <w:vertAlign w:val="superscript"/>
        </w:rPr>
        <w:t>2</w:t>
      </w:r>
      <w:r>
        <w:rPr>
          <w:rFonts w:cs="Times New Roman"/>
          <w:bCs/>
          <w:color w:val="auto"/>
          <w:highlight w:val="none"/>
        </w:rPr>
        <w:t>，园地面积25.70km</w:t>
      </w:r>
      <w:r>
        <w:rPr>
          <w:rFonts w:cs="Times New Roman"/>
          <w:bCs/>
          <w:color w:val="auto"/>
          <w:highlight w:val="none"/>
          <w:vertAlign w:val="superscript"/>
        </w:rPr>
        <w:t>2</w:t>
      </w:r>
      <w:r>
        <w:rPr>
          <w:rFonts w:cs="Times New Roman"/>
          <w:bCs/>
          <w:color w:val="auto"/>
          <w:highlight w:val="none"/>
        </w:rPr>
        <w:t>，林地面积872.74km</w:t>
      </w:r>
      <w:r>
        <w:rPr>
          <w:rFonts w:cs="Times New Roman"/>
          <w:bCs/>
          <w:color w:val="auto"/>
          <w:highlight w:val="none"/>
          <w:vertAlign w:val="superscript"/>
        </w:rPr>
        <w:t>2</w:t>
      </w:r>
      <w:r>
        <w:rPr>
          <w:rFonts w:cs="Times New Roman"/>
          <w:bCs/>
          <w:color w:val="auto"/>
          <w:highlight w:val="none"/>
        </w:rPr>
        <w:t>，草地面积64.23km</w:t>
      </w:r>
      <w:r>
        <w:rPr>
          <w:rFonts w:cs="Times New Roman"/>
          <w:bCs/>
          <w:color w:val="auto"/>
          <w:highlight w:val="none"/>
          <w:vertAlign w:val="superscript"/>
        </w:rPr>
        <w:t>2</w:t>
      </w:r>
      <w:r>
        <w:rPr>
          <w:rFonts w:cs="Times New Roman"/>
          <w:bCs/>
          <w:color w:val="auto"/>
          <w:highlight w:val="none"/>
        </w:rPr>
        <w:t>，城镇村及公共用地面积80.95km</w:t>
      </w:r>
      <w:r>
        <w:rPr>
          <w:rFonts w:cs="Times New Roman"/>
          <w:bCs/>
          <w:color w:val="auto"/>
          <w:highlight w:val="none"/>
          <w:vertAlign w:val="superscript"/>
        </w:rPr>
        <w:t>2</w:t>
      </w:r>
      <w:r>
        <w:rPr>
          <w:rFonts w:cs="Times New Roman"/>
          <w:bCs/>
          <w:color w:val="auto"/>
          <w:highlight w:val="none"/>
        </w:rPr>
        <w:t>，交通运输用地13.85km</w:t>
      </w:r>
      <w:r>
        <w:rPr>
          <w:rFonts w:cs="Times New Roman"/>
          <w:bCs/>
          <w:color w:val="auto"/>
          <w:highlight w:val="none"/>
          <w:vertAlign w:val="superscript"/>
        </w:rPr>
        <w:t>2</w:t>
      </w:r>
      <w:r>
        <w:rPr>
          <w:rFonts w:cs="Times New Roman"/>
          <w:bCs/>
          <w:color w:val="auto"/>
          <w:highlight w:val="none"/>
        </w:rPr>
        <w:t>，水域及水利设施用地23.60km</w:t>
      </w:r>
      <w:r>
        <w:rPr>
          <w:rFonts w:cs="Times New Roman"/>
          <w:bCs/>
          <w:color w:val="auto"/>
          <w:highlight w:val="none"/>
          <w:vertAlign w:val="superscript"/>
        </w:rPr>
        <w:t>2</w:t>
      </w:r>
      <w:r>
        <w:rPr>
          <w:rFonts w:cs="Times New Roman"/>
          <w:bCs/>
          <w:color w:val="auto"/>
          <w:highlight w:val="none"/>
        </w:rPr>
        <w:t>，人为扰动用地29.07 km</w:t>
      </w:r>
      <w:r>
        <w:rPr>
          <w:rFonts w:cs="Times New Roman"/>
          <w:bCs/>
          <w:color w:val="auto"/>
          <w:highlight w:val="none"/>
          <w:vertAlign w:val="superscript"/>
        </w:rPr>
        <w:t>2</w:t>
      </w:r>
      <w:r>
        <w:rPr>
          <w:rFonts w:cs="Times New Roman"/>
          <w:bCs/>
          <w:color w:val="auto"/>
          <w:highlight w:val="none"/>
        </w:rPr>
        <w:t>。</w:t>
      </w:r>
    </w:p>
    <w:p>
      <w:pPr>
        <w:pStyle w:val="4"/>
        <w:spacing w:before="156"/>
        <w:ind w:firstLine="562"/>
        <w:rPr>
          <w:color w:val="auto"/>
          <w:highlight w:val="none"/>
          <w:lang w:val="en-GB"/>
        </w:rPr>
      </w:pPr>
      <w:bookmarkStart w:id="13" w:name="_Toc14709"/>
      <w:bookmarkStart w:id="14" w:name="_Toc119515819"/>
      <w:bookmarkStart w:id="15" w:name="_Toc11791"/>
      <w:r>
        <w:rPr>
          <w:color w:val="auto"/>
          <w:highlight w:val="none"/>
          <w:lang w:val="en-GB"/>
        </w:rPr>
        <w:t>1.1.</w:t>
      </w:r>
      <w:r>
        <w:rPr>
          <w:color w:val="auto"/>
          <w:highlight w:val="none"/>
          <w:lang w:val="en-US"/>
        </w:rPr>
        <w:t>3</w:t>
      </w:r>
      <w:r>
        <w:rPr>
          <w:color w:val="auto"/>
          <w:highlight w:val="none"/>
          <w:lang w:val="en-GB"/>
        </w:rPr>
        <w:t>水土流失现状</w:t>
      </w:r>
      <w:bookmarkEnd w:id="13"/>
      <w:bookmarkEnd w:id="14"/>
      <w:bookmarkEnd w:id="15"/>
    </w:p>
    <w:p>
      <w:pPr>
        <w:rPr>
          <w:rFonts w:cs="Times New Roman"/>
          <w:color w:val="auto"/>
          <w:highlight w:val="none"/>
          <w:lang w:val="en-GB"/>
        </w:rPr>
      </w:pPr>
      <w:r>
        <w:rPr>
          <w:rFonts w:cs="Times New Roman"/>
          <w:color w:val="auto"/>
          <w:highlight w:val="none"/>
        </w:rPr>
        <w:t>柳江区地处水力侵蚀为主的南方红壤区，主要土壤侵蚀类型为面蚀和沟蚀。</w:t>
      </w:r>
      <w:r>
        <w:rPr>
          <w:rFonts w:cs="Times New Roman"/>
          <w:color w:val="auto"/>
          <w:highlight w:val="none"/>
          <w:lang w:val="zh-CN"/>
        </w:rPr>
        <w:t>根据</w:t>
      </w:r>
      <w:r>
        <w:rPr>
          <w:rFonts w:cs="Times New Roman"/>
          <w:color w:val="auto"/>
          <w:highlight w:val="none"/>
        </w:rPr>
        <w:t>广西壮族自治区</w:t>
      </w:r>
      <w:r>
        <w:rPr>
          <w:rFonts w:cs="Times New Roman"/>
          <w:color w:val="auto"/>
          <w:highlight w:val="none"/>
          <w:lang w:val="zh-CN"/>
        </w:rPr>
        <w:t>2021年水土流失动态监测成果，柳江区总水土流失面积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，占柳江区土地总面积的</w:t>
      </w:r>
      <w:r>
        <w:rPr>
          <w:rFonts w:cs="Times New Roman"/>
          <w:color w:val="auto"/>
          <w:highlight w:val="none"/>
        </w:rPr>
        <w:t>22.04%</w:t>
      </w:r>
      <w:r>
        <w:rPr>
          <w:rFonts w:cs="Times New Roman"/>
          <w:color w:val="auto"/>
          <w:highlight w:val="none"/>
          <w:lang w:val="zh-CN"/>
        </w:rPr>
        <w:t>，柳江区2021年水土保持率为77.96%。其中轻度流失面积</w:t>
      </w:r>
      <w:r>
        <w:rPr>
          <w:rFonts w:cs="Times New Roman"/>
          <w:color w:val="auto"/>
          <w:highlight w:val="none"/>
        </w:rPr>
        <w:t>214.69</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，中度流失面积</w:t>
      </w:r>
      <w:r>
        <w:rPr>
          <w:rFonts w:cs="Times New Roman"/>
          <w:color w:val="auto"/>
          <w:highlight w:val="none"/>
        </w:rPr>
        <w:t>75.75</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，强烈流失面积</w:t>
      </w:r>
      <w:r>
        <w:rPr>
          <w:rFonts w:cs="Times New Roman"/>
          <w:color w:val="auto"/>
          <w:highlight w:val="none"/>
        </w:rPr>
        <w:t>30.86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，极强烈流失面积</w:t>
      </w:r>
      <w:r>
        <w:rPr>
          <w:rFonts w:cs="Times New Roman"/>
          <w:color w:val="auto"/>
          <w:highlight w:val="none"/>
        </w:rPr>
        <w:t>34.37</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，剧烈流失面积</w:t>
      </w:r>
      <w:r>
        <w:rPr>
          <w:rFonts w:cs="Times New Roman"/>
          <w:color w:val="auto"/>
          <w:highlight w:val="none"/>
        </w:rPr>
        <w:t>35.09</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w:t>
      </w:r>
    </w:p>
    <w:p>
      <w:pPr>
        <w:rPr>
          <w:rFonts w:cs="Times New Roman"/>
          <w:color w:val="auto"/>
          <w:highlight w:val="none"/>
          <w:lang w:val="zh-CN"/>
        </w:rPr>
      </w:pPr>
      <w:bookmarkStart w:id="16" w:name="_Toc119515820"/>
      <w:r>
        <w:rPr>
          <w:rFonts w:cs="Times New Roman"/>
          <w:color w:val="auto"/>
          <w:highlight w:val="none"/>
          <w:lang w:val="zh-CN"/>
        </w:rPr>
        <w:t>柳江区</w:t>
      </w:r>
      <w:r>
        <w:rPr>
          <w:rFonts w:cs="Times New Roman"/>
          <w:color w:val="auto"/>
          <w:highlight w:val="none"/>
        </w:rPr>
        <w:t>水土流失面积主要分布在穿山镇、百朋镇、土博镇等3个乡镇，3个乡镇的水土流失面积总和占柳江区水土流失总面积的75.57%。其中，穿山镇现有</w:t>
      </w:r>
      <w:r>
        <w:rPr>
          <w:rFonts w:cs="Times New Roman"/>
          <w:color w:val="auto"/>
          <w:highlight w:val="none"/>
          <w:lang w:val="zh-CN"/>
        </w:rPr>
        <w:t>水土流失</w:t>
      </w:r>
      <w:r>
        <w:rPr>
          <w:rFonts w:cs="Times New Roman"/>
          <w:color w:val="auto"/>
          <w:highlight w:val="none"/>
        </w:rPr>
        <w:t>面积为165.99km</w:t>
      </w:r>
      <w:r>
        <w:rPr>
          <w:rFonts w:cs="Times New Roman"/>
          <w:color w:val="auto"/>
          <w:highlight w:val="none"/>
          <w:vertAlign w:val="superscript"/>
        </w:rPr>
        <w:t>2</w:t>
      </w:r>
      <w:r>
        <w:rPr>
          <w:rFonts w:cs="Times New Roman"/>
          <w:color w:val="auto"/>
          <w:highlight w:val="none"/>
        </w:rPr>
        <w:t>，</w:t>
      </w:r>
      <w:r>
        <w:rPr>
          <w:rFonts w:cs="Times New Roman"/>
          <w:color w:val="auto"/>
          <w:highlight w:val="none"/>
          <w:lang w:val="zh-CN"/>
        </w:rPr>
        <w:t>占</w:t>
      </w:r>
      <w:r>
        <w:rPr>
          <w:rFonts w:cs="Times New Roman"/>
          <w:color w:val="auto"/>
          <w:highlight w:val="none"/>
        </w:rPr>
        <w:t>柳江区水土流失总面积</w:t>
      </w:r>
      <w:r>
        <w:rPr>
          <w:rFonts w:cs="Times New Roman"/>
          <w:color w:val="auto"/>
          <w:highlight w:val="none"/>
          <w:lang w:val="zh-CN"/>
        </w:rPr>
        <w:t>的</w:t>
      </w:r>
      <w:r>
        <w:rPr>
          <w:rFonts w:cs="Times New Roman"/>
          <w:color w:val="auto"/>
          <w:highlight w:val="none"/>
        </w:rPr>
        <w:t>42.48</w:t>
      </w:r>
      <w:r>
        <w:rPr>
          <w:rFonts w:cs="Times New Roman"/>
          <w:color w:val="auto"/>
          <w:highlight w:val="none"/>
          <w:lang w:val="zh-CN"/>
        </w:rPr>
        <w:t>%，</w:t>
      </w:r>
      <w:r>
        <w:rPr>
          <w:rFonts w:cs="Times New Roman"/>
          <w:color w:val="auto"/>
          <w:highlight w:val="none"/>
        </w:rPr>
        <w:t>是柳江区水土流失</w:t>
      </w:r>
      <w:r>
        <w:rPr>
          <w:rFonts w:cs="Times New Roman"/>
          <w:color w:val="auto"/>
          <w:highlight w:val="none"/>
          <w:lang w:val="zh-CN"/>
        </w:rPr>
        <w:t>最多</w:t>
      </w:r>
      <w:r>
        <w:rPr>
          <w:rFonts w:cs="Times New Roman"/>
          <w:color w:val="auto"/>
          <w:highlight w:val="none"/>
        </w:rPr>
        <w:t>的乡镇</w:t>
      </w:r>
      <w:r>
        <w:rPr>
          <w:rFonts w:cs="Times New Roman"/>
          <w:color w:val="auto"/>
          <w:highlight w:val="none"/>
          <w:lang w:val="zh-CN"/>
        </w:rPr>
        <w:t>。</w:t>
      </w:r>
    </w:p>
    <w:p>
      <w:pPr>
        <w:pStyle w:val="4"/>
        <w:spacing w:before="156"/>
        <w:ind w:firstLine="562"/>
        <w:rPr>
          <w:color w:val="auto"/>
          <w:highlight w:val="none"/>
          <w:lang w:val="en-GB"/>
        </w:rPr>
      </w:pPr>
      <w:bookmarkStart w:id="17" w:name="_Toc5587"/>
      <w:r>
        <w:rPr>
          <w:color w:val="auto"/>
          <w:highlight w:val="none"/>
          <w:lang w:val="en-GB"/>
        </w:rPr>
        <w:t>1.1.</w:t>
      </w:r>
      <w:r>
        <w:rPr>
          <w:color w:val="auto"/>
          <w:highlight w:val="none"/>
          <w:lang w:val="en-US"/>
        </w:rPr>
        <w:t>4水土保持</w:t>
      </w:r>
      <w:r>
        <w:rPr>
          <w:color w:val="auto"/>
          <w:highlight w:val="none"/>
          <w:lang w:val="en-GB"/>
        </w:rPr>
        <w:t>现状</w:t>
      </w:r>
      <w:bookmarkEnd w:id="16"/>
      <w:bookmarkEnd w:id="17"/>
    </w:p>
    <w:p>
      <w:pPr>
        <w:rPr>
          <w:rFonts w:cs="Times New Roman"/>
          <w:color w:val="auto"/>
          <w:highlight w:val="none"/>
        </w:rPr>
      </w:pPr>
      <w:r>
        <w:rPr>
          <w:rFonts w:cs="Times New Roman"/>
          <w:color w:val="auto"/>
          <w:highlight w:val="none"/>
        </w:rPr>
        <w:t>柳州市柳江区委</w:t>
      </w:r>
      <w:r>
        <w:rPr>
          <w:rFonts w:hint="eastAsia" w:cs="Times New Roman"/>
          <w:color w:val="auto"/>
          <w:highlight w:val="none"/>
          <w:lang w:eastAsia="zh-CN"/>
        </w:rPr>
        <w:t>、</w:t>
      </w:r>
      <w:r>
        <w:rPr>
          <w:rFonts w:hint="eastAsia" w:cs="Times New Roman"/>
          <w:color w:val="auto"/>
          <w:highlight w:val="none"/>
          <w:lang w:val="en-US" w:eastAsia="zh-CN"/>
        </w:rPr>
        <w:t>区</w:t>
      </w:r>
      <w:r>
        <w:rPr>
          <w:rFonts w:cs="Times New Roman"/>
          <w:color w:val="auto"/>
          <w:highlight w:val="none"/>
        </w:rPr>
        <w:t>政府高度重视水土保持生态文明建设，坚持生态惠民、生态利民、生态为民，先后采取了一系列措施抑制水土流失的进一步扩展，加大在水土保持治理和预防的投入，建立健全水土保持管理体系，扎实推进生态文明建设和生态环境保护。根据柳州市历年水土流失和水土保持监管工作成绩以及上级监测部门数据显示，</w:t>
      </w:r>
      <w:r>
        <w:rPr>
          <w:rFonts w:hint="eastAsia" w:cs="Times New Roman"/>
          <w:color w:val="auto"/>
          <w:highlight w:val="none"/>
          <w:lang w:val="en-US" w:eastAsia="zh-CN"/>
        </w:rPr>
        <w:t>2019—2022年</w:t>
      </w:r>
      <w:r>
        <w:rPr>
          <w:rFonts w:cs="Times New Roman"/>
          <w:color w:val="auto"/>
          <w:highlight w:val="none"/>
        </w:rPr>
        <w:t>柳江区以水利部门牵头，各部门协作，社会力量参与，全</w:t>
      </w:r>
      <w:r>
        <w:rPr>
          <w:rFonts w:hint="eastAsia" w:cs="Times New Roman"/>
          <w:color w:val="auto"/>
          <w:highlight w:val="none"/>
          <w:lang w:val="en-US" w:eastAsia="zh-CN"/>
        </w:rPr>
        <w:t>区</w:t>
      </w:r>
      <w:r>
        <w:rPr>
          <w:rFonts w:cs="Times New Roman"/>
          <w:color w:val="auto"/>
          <w:highlight w:val="none"/>
        </w:rPr>
        <w:t>共同完成水土流失综合治理面积</w:t>
      </w:r>
      <w:r>
        <w:rPr>
          <w:rFonts w:hint="eastAsia" w:cs="Times New Roman"/>
          <w:color w:val="auto"/>
          <w:highlight w:val="none"/>
        </w:rPr>
        <w:t>92.77</w:t>
      </w:r>
      <w:r>
        <w:rPr>
          <w:rFonts w:cs="Times New Roman"/>
          <w:color w:val="auto"/>
          <w:highlight w:val="none"/>
        </w:rPr>
        <w:t>平方公里</w:t>
      </w:r>
      <w:r>
        <w:rPr>
          <w:rFonts w:hint="eastAsia" w:cs="Times New Roman"/>
          <w:color w:val="auto"/>
          <w:highlight w:val="none"/>
          <w:lang w:eastAsia="zh-CN"/>
        </w:rPr>
        <w:t>，</w:t>
      </w:r>
      <w:r>
        <w:rPr>
          <w:rFonts w:hint="eastAsia" w:cs="Times New Roman"/>
          <w:color w:val="auto"/>
          <w:highlight w:val="none"/>
          <w:lang w:val="en-US" w:eastAsia="zh-CN"/>
        </w:rPr>
        <w:t>均是其他部门及社会力量共同完成</w:t>
      </w:r>
      <w:r>
        <w:rPr>
          <w:rFonts w:hint="eastAsia" w:cs="Times New Roman"/>
          <w:color w:val="auto"/>
          <w:highlight w:val="none"/>
          <w:lang w:eastAsia="zh-CN"/>
        </w:rPr>
        <w:t>，</w:t>
      </w:r>
      <w:r>
        <w:rPr>
          <w:rFonts w:hint="eastAsia" w:cs="Times New Roman"/>
          <w:color w:val="auto"/>
          <w:highlight w:val="none"/>
        </w:rPr>
        <w:t>年均减少土壤流失量7.68万吨</w:t>
      </w:r>
      <w:r>
        <w:rPr>
          <w:rFonts w:hint="eastAsia" w:cs="Times New Roman"/>
          <w:color w:val="auto"/>
          <w:highlight w:val="none"/>
          <w:lang w:eastAsia="zh-CN"/>
        </w:rPr>
        <w:t>。</w:t>
      </w:r>
      <w:r>
        <w:rPr>
          <w:rFonts w:cs="Times New Roman"/>
          <w:color w:val="auto"/>
          <w:highlight w:val="none"/>
        </w:rPr>
        <w:t>强烈以上水土流失逐渐降为轻度，强烈以上水土流失面积呈逐年减少趋势。</w:t>
      </w:r>
    </w:p>
    <w:p>
      <w:pPr>
        <w:rPr>
          <w:rFonts w:cs="Times New Roman"/>
          <w:color w:val="auto"/>
          <w:highlight w:val="none"/>
        </w:rPr>
      </w:pPr>
      <w:r>
        <w:rPr>
          <w:rFonts w:cs="Times New Roman"/>
          <w:color w:val="auto"/>
          <w:highlight w:val="none"/>
        </w:rPr>
        <w:t>2016</w:t>
      </w:r>
      <w:r>
        <w:rPr>
          <w:rFonts w:hint="eastAsia" w:cs="Times New Roman"/>
          <w:color w:val="auto"/>
          <w:highlight w:val="none"/>
          <w:lang w:eastAsia="zh-CN"/>
        </w:rPr>
        <w:t>—</w:t>
      </w:r>
      <w:r>
        <w:rPr>
          <w:rFonts w:cs="Times New Roman"/>
          <w:color w:val="auto"/>
          <w:highlight w:val="none"/>
        </w:rPr>
        <w:t>2021年，柳江区虽然未曾获得中央、自治区或柳州市水土保持重点工程补助资金的支持，但</w:t>
      </w:r>
      <w:r>
        <w:rPr>
          <w:rFonts w:hint="eastAsia" w:cs="Times New Roman"/>
          <w:color w:val="auto"/>
          <w:highlight w:val="none"/>
          <w:lang w:val="en-US" w:eastAsia="zh-CN"/>
        </w:rPr>
        <w:t>区</w:t>
      </w:r>
      <w:r>
        <w:rPr>
          <w:rFonts w:cs="Times New Roman"/>
          <w:color w:val="auto"/>
          <w:highlight w:val="none"/>
        </w:rPr>
        <w:t>发展改革局、自然资源、生态环境、农业农村等部门根据职责在土地整治、巩固退耕还林、荒山造林、果树种植等项目上开展水土流失治理，并通过招商引资等方式吸引社会团体参与生态建设工作。</w:t>
      </w:r>
    </w:p>
    <w:p>
      <w:pPr>
        <w:rPr>
          <w:rFonts w:cs="Times New Roman"/>
          <w:color w:val="auto"/>
          <w:highlight w:val="none"/>
        </w:rPr>
      </w:pPr>
      <w:r>
        <w:rPr>
          <w:rFonts w:cs="Times New Roman"/>
          <w:color w:val="auto"/>
          <w:highlight w:val="none"/>
        </w:rPr>
        <w:t>柳州市柳江区水利局负责县区的水土保持工作。柳江区以新修订的水土保持法颁布实施为契机，以现行各项法律法规为依据，适应新时代水土保持工作思路，建立了水土保持事中事后监督管理制度，不断完善水土保持监督管理体系，进一步规范了各类生产建设项目水土保持监督管理工作。</w:t>
      </w:r>
    </w:p>
    <w:p>
      <w:pPr>
        <w:pStyle w:val="3"/>
        <w:spacing w:before="156"/>
        <w:ind w:firstLine="602"/>
        <w:rPr>
          <w:color w:val="auto"/>
          <w:highlight w:val="none"/>
        </w:rPr>
      </w:pPr>
      <w:bookmarkStart w:id="18" w:name="_Toc516847567"/>
      <w:bookmarkStart w:id="19" w:name="_Toc528945972"/>
      <w:bookmarkStart w:id="20" w:name="_Toc14026"/>
      <w:bookmarkStart w:id="21" w:name="_Toc90399075"/>
      <w:bookmarkStart w:id="22" w:name="_Toc8652"/>
      <w:bookmarkStart w:id="23" w:name="_Toc119515821"/>
      <w:r>
        <w:rPr>
          <w:color w:val="auto"/>
          <w:highlight w:val="none"/>
        </w:rPr>
        <w:t>1.2</w:t>
      </w:r>
      <w:bookmarkEnd w:id="18"/>
      <w:bookmarkEnd w:id="19"/>
      <w:bookmarkEnd w:id="20"/>
      <w:r>
        <w:rPr>
          <w:color w:val="auto"/>
          <w:highlight w:val="none"/>
        </w:rPr>
        <w:t>水土保持现状评价与需求分析</w:t>
      </w:r>
      <w:bookmarkEnd w:id="21"/>
      <w:bookmarkEnd w:id="22"/>
      <w:bookmarkEnd w:id="23"/>
    </w:p>
    <w:p>
      <w:pPr>
        <w:rPr>
          <w:rFonts w:cs="Times New Roman"/>
          <w:color w:val="auto"/>
          <w:highlight w:val="none"/>
          <w:lang w:val="zh-CN"/>
        </w:rPr>
      </w:pPr>
      <w:r>
        <w:rPr>
          <w:rFonts w:cs="Times New Roman"/>
          <w:color w:val="auto"/>
          <w:highlight w:val="none"/>
          <w:lang w:val="zh-CN"/>
        </w:rPr>
        <w:t>（1）水土保持现状评价</w:t>
      </w:r>
    </w:p>
    <w:p>
      <w:pPr>
        <w:rPr>
          <w:rFonts w:cs="Times New Roman"/>
          <w:color w:val="auto"/>
          <w:highlight w:val="none"/>
          <w:lang w:val="en-GB"/>
        </w:rPr>
      </w:pPr>
      <w:r>
        <w:rPr>
          <w:rFonts w:cs="Times New Roman"/>
          <w:bCs/>
          <w:color w:val="auto"/>
          <w:highlight w:val="none"/>
        </w:rPr>
        <w:t>柳江区土地利用类型以林地和耕地为主，现有耕地面积662.86km</w:t>
      </w:r>
      <w:r>
        <w:rPr>
          <w:rFonts w:cs="Times New Roman"/>
          <w:bCs/>
          <w:color w:val="auto"/>
          <w:highlight w:val="none"/>
          <w:vertAlign w:val="superscript"/>
        </w:rPr>
        <w:t>2</w:t>
      </w:r>
      <w:r>
        <w:rPr>
          <w:rFonts w:cs="Times New Roman"/>
          <w:bCs/>
          <w:color w:val="auto"/>
          <w:highlight w:val="none"/>
        </w:rPr>
        <w:t>，占柳江区总土地面积的37.42%，主要分布于百朋镇、穿山镇、土博镇等3个乡镇，这些区域适宜开展土地整治、蓄水池、沉砂池等以维护农田生产力，促进农业增收的水土保持措施；</w:t>
      </w:r>
      <w:r>
        <w:rPr>
          <w:rFonts w:cs="Times New Roman"/>
          <w:color w:val="auto"/>
          <w:highlight w:val="none"/>
          <w:lang w:val="en-GB"/>
        </w:rPr>
        <w:t>柳江区现有耕地面积</w:t>
      </w:r>
      <w:r>
        <w:rPr>
          <w:rFonts w:cs="Times New Roman"/>
          <w:bCs/>
          <w:color w:val="auto"/>
          <w:highlight w:val="none"/>
        </w:rPr>
        <w:t>662.86km</w:t>
      </w:r>
      <w:r>
        <w:rPr>
          <w:rFonts w:cs="Times New Roman"/>
          <w:bCs/>
          <w:color w:val="auto"/>
          <w:highlight w:val="none"/>
          <w:vertAlign w:val="superscript"/>
        </w:rPr>
        <w:t>2</w:t>
      </w:r>
      <w:r>
        <w:rPr>
          <w:rFonts w:cs="Times New Roman"/>
          <w:bCs/>
          <w:color w:val="auto"/>
          <w:highlight w:val="none"/>
        </w:rPr>
        <w:t>，其中坡耕地面积200.17km</w:t>
      </w:r>
      <w:r>
        <w:rPr>
          <w:rFonts w:cs="Times New Roman"/>
          <w:bCs/>
          <w:color w:val="auto"/>
          <w:highlight w:val="none"/>
          <w:vertAlign w:val="superscript"/>
        </w:rPr>
        <w:t>2</w:t>
      </w:r>
      <w:r>
        <w:rPr>
          <w:rFonts w:cs="Times New Roman"/>
          <w:bCs/>
          <w:color w:val="auto"/>
          <w:highlight w:val="none"/>
        </w:rPr>
        <w:t>，主要分布于穿山镇，适宜开展坡耕地水土流失综合治理工程；柳江区现有林地面积872.74km</w:t>
      </w:r>
      <w:r>
        <w:rPr>
          <w:rFonts w:cs="Times New Roman"/>
          <w:bCs/>
          <w:color w:val="auto"/>
          <w:highlight w:val="none"/>
          <w:vertAlign w:val="superscript"/>
        </w:rPr>
        <w:t>2</w:t>
      </w:r>
      <w:r>
        <w:rPr>
          <w:rFonts w:cs="Times New Roman"/>
          <w:bCs/>
          <w:color w:val="auto"/>
          <w:highlight w:val="none"/>
        </w:rPr>
        <w:t>，占柳江区总土地面积的49.27%，主要分布于百朋镇、穿山镇、土博镇等3个乡镇，这些区域适宜开展以封育为主的水土保持自然修复措施。随着经济的发展，近年来</w:t>
      </w:r>
      <w:r>
        <w:rPr>
          <w:rFonts w:cs="Times New Roman"/>
          <w:color w:val="auto"/>
          <w:highlight w:val="none"/>
        </w:rPr>
        <w:t>柳江区房地产建设、交通工程、水利建设、各类矿产开发较多</w:t>
      </w:r>
      <w:r>
        <w:rPr>
          <w:rFonts w:cs="Times New Roman"/>
          <w:color w:val="auto"/>
          <w:highlight w:val="none"/>
          <w:lang w:val="en-GB"/>
        </w:rPr>
        <w:t>，</w:t>
      </w:r>
      <w:r>
        <w:rPr>
          <w:rFonts w:cs="Times New Roman"/>
          <w:bCs/>
          <w:color w:val="auto"/>
          <w:highlight w:val="none"/>
        </w:rPr>
        <w:t>城镇村及公共用地、交通运输用地占地面积为94.80km</w:t>
      </w:r>
      <w:r>
        <w:rPr>
          <w:rFonts w:cs="Times New Roman"/>
          <w:bCs/>
          <w:color w:val="auto"/>
          <w:highlight w:val="none"/>
          <w:vertAlign w:val="superscript"/>
        </w:rPr>
        <w:t>2</w:t>
      </w:r>
      <w:r>
        <w:rPr>
          <w:rFonts w:cs="Times New Roman"/>
          <w:bCs/>
          <w:color w:val="auto"/>
          <w:highlight w:val="none"/>
        </w:rPr>
        <w:t>，占土地总面积的5.35%，主要分布在拉堡镇、进德镇、穿山镇，在规划期内，比重还会进一步提升，这三个镇应加强生产建设项目水土保持监管，进一步遏制</w:t>
      </w:r>
      <w:r>
        <w:rPr>
          <w:rFonts w:hint="eastAsia" w:cs="Times New Roman"/>
          <w:bCs/>
          <w:color w:val="auto"/>
          <w:highlight w:val="none"/>
          <w:lang w:eastAsia="zh-CN"/>
        </w:rPr>
        <w:t>生产建设</w:t>
      </w:r>
      <w:r>
        <w:rPr>
          <w:rFonts w:cs="Times New Roman"/>
          <w:bCs/>
          <w:color w:val="auto"/>
          <w:highlight w:val="none"/>
        </w:rPr>
        <w:t>造成的水土流失。</w:t>
      </w:r>
    </w:p>
    <w:p>
      <w:pPr>
        <w:rPr>
          <w:rFonts w:cs="Times New Roman"/>
          <w:color w:val="auto"/>
          <w:highlight w:val="none"/>
        </w:rPr>
      </w:pPr>
      <w:r>
        <w:rPr>
          <w:rFonts w:cs="Times New Roman"/>
          <w:color w:val="auto"/>
          <w:highlight w:val="none"/>
        </w:rPr>
        <w:t>柳江区现有</w:t>
      </w:r>
      <w:r>
        <w:rPr>
          <w:rFonts w:cs="Times New Roman"/>
          <w:color w:val="auto"/>
          <w:highlight w:val="none"/>
          <w:lang w:val="zh-CN"/>
        </w:rPr>
        <w:t>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w:t>
      </w:r>
      <w:r>
        <w:rPr>
          <w:rFonts w:cs="Times New Roman"/>
          <w:color w:val="auto"/>
          <w:highlight w:val="none"/>
        </w:rPr>
        <w:t>与</w:t>
      </w:r>
      <w:r>
        <w:rPr>
          <w:rFonts w:cs="Times New Roman"/>
          <w:color w:val="auto"/>
          <w:highlight w:val="none"/>
          <w:lang w:val="zh-CN"/>
        </w:rPr>
        <w:t>2018年</w:t>
      </w:r>
      <w:r>
        <w:rPr>
          <w:rFonts w:cs="Times New Roman"/>
          <w:color w:val="auto"/>
          <w:highlight w:val="none"/>
        </w:rPr>
        <w:t>全国水土流失动态监测</w:t>
      </w:r>
      <w:r>
        <w:rPr>
          <w:rFonts w:cs="Times New Roman"/>
          <w:color w:val="auto"/>
          <w:highlight w:val="none"/>
          <w:lang w:val="zh-CN"/>
        </w:rPr>
        <w:t>相比，</w:t>
      </w:r>
      <w:r>
        <w:rPr>
          <w:rFonts w:cs="Times New Roman"/>
          <w:color w:val="auto"/>
          <w:highlight w:val="none"/>
        </w:rPr>
        <w:t>城区水土流失面积减少10.21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。其中轻度、中度侵蚀面积分别增加了23.05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、1.62</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w:t>
      </w:r>
      <w:r>
        <w:rPr>
          <w:rFonts w:cs="Times New Roman"/>
          <w:color w:val="auto"/>
          <w:highlight w:val="none"/>
        </w:rPr>
        <w:t>强烈、极强烈、剧烈侵蚀面积分别减少13.65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、10.29</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、10.94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p>
    <w:p>
      <w:pPr>
        <w:rPr>
          <w:rFonts w:cs="Times New Roman"/>
          <w:color w:val="auto"/>
          <w:highlight w:val="none"/>
        </w:rPr>
      </w:pPr>
      <w:r>
        <w:rPr>
          <w:rFonts w:cs="Times New Roman"/>
          <w:color w:val="auto"/>
          <w:highlight w:val="none"/>
        </w:rPr>
        <w:t>柳江区深入推进城镇化健康发展、城市综合执法、生态文明等体制机制改革，扬尘污染防治、农村环境综合整治等工作成绩斐然，县区生态环境明显提升，柳江区曾获“全市林业有害生物防控目标管理检查考核中获得优秀等级”“全市各县区人民政府2018年度保护发展森林资源目标责任制考核结果中获优秀等级”“全市五县五区2018年度耕地保护责任目标履行情况考核中获得优秀等次”荣誉称号。</w:t>
      </w:r>
    </w:p>
    <w:p>
      <w:pPr>
        <w:rPr>
          <w:rFonts w:cs="Times New Roman"/>
          <w:color w:val="auto"/>
          <w:highlight w:val="none"/>
        </w:rPr>
      </w:pPr>
      <w:r>
        <w:rPr>
          <w:rFonts w:cs="Times New Roman"/>
          <w:color w:val="auto"/>
          <w:highlight w:val="none"/>
        </w:rPr>
        <w:t>工业污染和农业面源污染是柳江区水源地水体富营养化的主要因素。在这些区域，水土保持应以保护水质为核心，减少水土流失，控制入库泥沙和面源污染；大力推广清洁小流域建设模式，为城镇居民提供良好的生态环境；通过植物、工程、管理等综合措施，</w:t>
      </w:r>
      <w:r>
        <w:rPr>
          <w:rFonts w:hint="eastAsia" w:cs="Times New Roman"/>
          <w:color w:val="auto"/>
          <w:highlight w:val="none"/>
          <w:lang w:eastAsia="zh-CN"/>
        </w:rPr>
        <w:t>采取</w:t>
      </w:r>
      <w:r>
        <w:rPr>
          <w:rFonts w:cs="Times New Roman"/>
          <w:color w:val="auto"/>
          <w:highlight w:val="none"/>
        </w:rPr>
        <w:t>工程拦蓄、植物土壤分解、净化设施处理等措施进行充分降解、吸收、转化，将化肥、农药和生活垃圾对下游的危害降低到最低限度，充分发挥水土保持的水质维护功能，保障饮水安全。</w:t>
      </w:r>
    </w:p>
    <w:p>
      <w:pPr>
        <w:rPr>
          <w:rFonts w:cs="Times New Roman"/>
          <w:color w:val="auto"/>
          <w:highlight w:val="none"/>
        </w:rPr>
      </w:pPr>
      <w:r>
        <w:rPr>
          <w:rFonts w:cs="Times New Roman"/>
          <w:color w:val="auto"/>
          <w:highlight w:val="none"/>
        </w:rPr>
        <w:t>柳江区基本实现水土保持执法队伍专业化，水土保持监督管理制度化，生产建设项目落实“三同时”制度逐步正规化，水土保持监督检查常态化。但也存在缺乏快速惩戒的事中处罚机制、基层队伍力量和监管手段有待加强、生产建设单位水土保持意识较差等问题。</w:t>
      </w:r>
    </w:p>
    <w:p>
      <w:pPr>
        <w:rPr>
          <w:rFonts w:cs="Times New Roman"/>
          <w:color w:val="auto"/>
          <w:highlight w:val="none"/>
        </w:rPr>
      </w:pPr>
      <w:r>
        <w:rPr>
          <w:rFonts w:cs="Times New Roman"/>
          <w:color w:val="auto"/>
          <w:highlight w:val="none"/>
        </w:rPr>
        <w:t>柳江区水土保持监测主要为生产建设项目小范围</w:t>
      </w:r>
      <w:r>
        <w:rPr>
          <w:rFonts w:hint="eastAsia" w:cs="Times New Roman"/>
          <w:color w:val="auto"/>
          <w:highlight w:val="none"/>
          <w:lang w:eastAsia="zh-CN"/>
        </w:rPr>
        <w:t>地</w:t>
      </w:r>
      <w:r>
        <w:rPr>
          <w:rFonts w:cs="Times New Roman"/>
          <w:color w:val="auto"/>
          <w:highlight w:val="none"/>
        </w:rPr>
        <w:t>监测，以临时监测为主，由于监测人员、资金、技术等方面存在不足，常规化的监测未全面开展。在水土流失日益严峻的形势下，水土保持监测与管理越来越不能满足加强水土保持、建设生态文明社会的需求。</w:t>
      </w:r>
    </w:p>
    <w:p>
      <w:pPr>
        <w:rPr>
          <w:rFonts w:cs="Times New Roman"/>
          <w:color w:val="auto"/>
          <w:highlight w:val="none"/>
          <w:lang w:val="zh-CN"/>
        </w:rPr>
      </w:pPr>
      <w:r>
        <w:rPr>
          <w:rFonts w:cs="Times New Roman"/>
          <w:color w:val="auto"/>
          <w:highlight w:val="none"/>
          <w:lang w:val="zh-CN"/>
        </w:rPr>
        <w:t>（2）水土保持需求分析</w:t>
      </w:r>
    </w:p>
    <w:p>
      <w:pPr>
        <w:rPr>
          <w:rFonts w:cs="Times New Roman"/>
          <w:color w:val="auto"/>
          <w:highlight w:val="none"/>
        </w:rPr>
      </w:pPr>
      <w:r>
        <w:rPr>
          <w:rFonts w:cs="Times New Roman"/>
          <w:color w:val="auto"/>
          <w:highlight w:val="none"/>
        </w:rPr>
        <w:t>水土保持是</w:t>
      </w:r>
      <w:r>
        <w:rPr>
          <w:rFonts w:hint="eastAsia" w:cs="Times New Roman"/>
          <w:color w:val="auto"/>
          <w:highlight w:val="none"/>
        </w:rPr>
        <w:t>改善水环境、治理水生态</w:t>
      </w:r>
      <w:r>
        <w:rPr>
          <w:rFonts w:cs="Times New Roman"/>
          <w:color w:val="auto"/>
          <w:highlight w:val="none"/>
        </w:rPr>
        <w:t>的需要；水土保持是</w:t>
      </w:r>
      <w:r>
        <w:rPr>
          <w:rFonts w:hint="eastAsia" w:cs="Times New Roman"/>
          <w:color w:val="auto"/>
          <w:highlight w:val="none"/>
        </w:rPr>
        <w:t>保护农田生态系统、提升土壤保持能力、促进农业增收</w:t>
      </w:r>
      <w:r>
        <w:rPr>
          <w:rFonts w:cs="Times New Roman"/>
          <w:color w:val="auto"/>
          <w:highlight w:val="none"/>
        </w:rPr>
        <w:t>的需要；水土保持是</w:t>
      </w:r>
      <w:r>
        <w:rPr>
          <w:rFonts w:hint="eastAsia" w:cs="Times New Roman"/>
          <w:color w:val="auto"/>
          <w:highlight w:val="none"/>
        </w:rPr>
        <w:t>区域发展战略</w:t>
      </w:r>
      <w:r>
        <w:rPr>
          <w:rFonts w:cs="Times New Roman"/>
          <w:color w:val="auto"/>
          <w:highlight w:val="none"/>
        </w:rPr>
        <w:t>的需要；乡村振兴要求水土保持发挥积极作用；</w:t>
      </w:r>
      <w:r>
        <w:rPr>
          <w:rFonts w:hint="eastAsia" w:cs="Times New Roman"/>
          <w:color w:val="auto"/>
          <w:highlight w:val="none"/>
        </w:rPr>
        <w:t>“美丽中国”建设要求发挥水土保持作用</w:t>
      </w:r>
      <w:r>
        <w:rPr>
          <w:rFonts w:cs="Times New Roman"/>
          <w:color w:val="auto"/>
          <w:highlight w:val="none"/>
        </w:rPr>
        <w:t>；加强政府的社会管理和公共服务能力，要求水土保持不断深化改革，全面加强行业能力建设。</w:t>
      </w:r>
    </w:p>
    <w:p>
      <w:pPr>
        <w:pStyle w:val="3"/>
        <w:spacing w:before="156"/>
        <w:ind w:firstLine="602"/>
        <w:rPr>
          <w:color w:val="auto"/>
          <w:highlight w:val="none"/>
          <w:lang w:val="en-US"/>
        </w:rPr>
      </w:pPr>
      <w:bookmarkStart w:id="24" w:name="_Toc528945973"/>
      <w:bookmarkStart w:id="25" w:name="_Toc516847568"/>
      <w:bookmarkStart w:id="26" w:name="_Toc10175"/>
      <w:bookmarkStart w:id="27" w:name="_Toc3397"/>
      <w:bookmarkStart w:id="28" w:name="_Toc90399076"/>
      <w:bookmarkStart w:id="29" w:name="_Toc119515822"/>
      <w:r>
        <w:rPr>
          <w:color w:val="auto"/>
          <w:highlight w:val="none"/>
        </w:rPr>
        <w:t>1.3规划</w:t>
      </w:r>
      <w:r>
        <w:rPr>
          <w:color w:val="auto"/>
          <w:highlight w:val="none"/>
          <w:lang w:val="en-US"/>
        </w:rPr>
        <w:t>水平年及</w:t>
      </w:r>
      <w:r>
        <w:rPr>
          <w:color w:val="auto"/>
          <w:highlight w:val="none"/>
        </w:rPr>
        <w:t>目标</w:t>
      </w:r>
      <w:bookmarkEnd w:id="24"/>
      <w:bookmarkEnd w:id="25"/>
      <w:bookmarkEnd w:id="26"/>
      <w:r>
        <w:rPr>
          <w:color w:val="auto"/>
          <w:highlight w:val="none"/>
          <w:lang w:val="en-US"/>
        </w:rPr>
        <w:t>任务</w:t>
      </w:r>
      <w:bookmarkEnd w:id="27"/>
      <w:bookmarkEnd w:id="28"/>
      <w:bookmarkEnd w:id="29"/>
    </w:p>
    <w:p>
      <w:pPr>
        <w:pStyle w:val="4"/>
        <w:spacing w:before="156"/>
        <w:ind w:firstLine="562"/>
        <w:rPr>
          <w:color w:val="auto"/>
          <w:highlight w:val="none"/>
          <w:lang w:val="en-GB"/>
        </w:rPr>
      </w:pPr>
      <w:bookmarkStart w:id="30" w:name="_Toc20770"/>
      <w:bookmarkStart w:id="31" w:name="_Toc13372"/>
      <w:bookmarkStart w:id="32" w:name="_Toc119515823"/>
      <w:r>
        <w:rPr>
          <w:color w:val="auto"/>
          <w:highlight w:val="none"/>
          <w:lang w:val="en-GB"/>
        </w:rPr>
        <w:t>1.3.</w:t>
      </w:r>
      <w:r>
        <w:rPr>
          <w:color w:val="auto"/>
          <w:highlight w:val="none"/>
          <w:lang w:val="en-US"/>
        </w:rPr>
        <w:t>1</w:t>
      </w:r>
      <w:r>
        <w:rPr>
          <w:color w:val="auto"/>
          <w:highlight w:val="none"/>
          <w:lang w:val="en-GB"/>
        </w:rPr>
        <w:t>规划水平年</w:t>
      </w:r>
      <w:bookmarkEnd w:id="30"/>
      <w:bookmarkEnd w:id="31"/>
      <w:bookmarkEnd w:id="32"/>
    </w:p>
    <w:p>
      <w:pPr>
        <w:rPr>
          <w:rFonts w:eastAsia="华文仿宋" w:cs="Times New Roman"/>
          <w:color w:val="auto"/>
          <w:szCs w:val="24"/>
          <w:highlight w:val="none"/>
          <w:lang w:val="zh-CN"/>
        </w:rPr>
      </w:pPr>
      <w:r>
        <w:rPr>
          <w:rFonts w:cs="Times New Roman"/>
          <w:color w:val="auto"/>
          <w:highlight w:val="none"/>
        </w:rPr>
        <w:t>近期规划水平年为2025年，远期规划水平年为2030年。</w:t>
      </w:r>
    </w:p>
    <w:p>
      <w:pPr>
        <w:pStyle w:val="4"/>
        <w:spacing w:before="156"/>
        <w:ind w:firstLine="562"/>
        <w:rPr>
          <w:color w:val="auto"/>
          <w:highlight w:val="none"/>
          <w:lang w:val="en-US"/>
        </w:rPr>
      </w:pPr>
      <w:bookmarkStart w:id="33" w:name="_Toc29203"/>
      <w:bookmarkStart w:id="34" w:name="_Toc5472"/>
      <w:bookmarkStart w:id="35" w:name="_Toc119515824"/>
      <w:r>
        <w:rPr>
          <w:color w:val="auto"/>
          <w:highlight w:val="none"/>
          <w:lang w:val="en-GB"/>
        </w:rPr>
        <w:t>1.3.</w:t>
      </w:r>
      <w:bookmarkEnd w:id="33"/>
      <w:r>
        <w:rPr>
          <w:color w:val="auto"/>
          <w:highlight w:val="none"/>
          <w:lang w:val="en-US"/>
        </w:rPr>
        <w:t>2目标任务</w:t>
      </w:r>
      <w:bookmarkEnd w:id="34"/>
      <w:bookmarkEnd w:id="35"/>
    </w:p>
    <w:p>
      <w:pPr>
        <w:numPr>
          <w:ilvl w:val="0"/>
          <w:numId w:val="0"/>
        </w:numPr>
        <w:ind w:firstLine="560" w:firstLineChars="200"/>
        <w:rPr>
          <w:rFonts w:cs="Times New Roman"/>
          <w:color w:val="auto"/>
          <w:highlight w:val="none"/>
          <w:lang w:val="zh-CN"/>
        </w:rPr>
      </w:pPr>
      <w:r>
        <w:rPr>
          <w:rFonts w:ascii="Times New Roman" w:hAnsi="Times New Roman" w:eastAsia="仿宋" w:cs="Times New Roman"/>
          <w:color w:val="auto"/>
          <w:kern w:val="2"/>
          <w:sz w:val="28"/>
          <w:szCs w:val="28"/>
          <w:lang w:val="zh-CN" w:eastAsia="zh-CN" w:bidi="ar-SA"/>
        </w:rPr>
        <w:t>（1）</w:t>
      </w:r>
      <w:r>
        <w:rPr>
          <w:rFonts w:cs="Times New Roman"/>
          <w:color w:val="auto"/>
          <w:highlight w:val="none"/>
          <w:lang w:val="zh-CN"/>
        </w:rPr>
        <w:t>总体目标和任务</w:t>
      </w:r>
    </w:p>
    <w:p>
      <w:pPr>
        <w:pStyle w:val="45"/>
        <w:numPr>
          <w:ilvl w:val="0"/>
          <w:numId w:val="0"/>
        </w:numPr>
        <w:ind w:firstLine="420" w:firstLineChars="0"/>
        <w:rPr>
          <w:rFonts w:cs="Times New Roman"/>
          <w:color w:val="auto"/>
          <w:highlight w:val="none"/>
        </w:rPr>
      </w:pPr>
      <w:r>
        <w:rPr>
          <w:rFonts w:hint="eastAsia" w:cs="Times New Roman"/>
          <w:color w:val="auto"/>
          <w:kern w:val="2"/>
          <w:sz w:val="28"/>
          <w:szCs w:val="28"/>
          <w:lang w:val="en-US" w:eastAsia="zh-CN" w:bidi="ar-SA"/>
        </w:rPr>
        <w:t xml:space="preserve"> </w:t>
      </w:r>
      <w:r>
        <w:rPr>
          <w:rFonts w:cs="Times New Roman"/>
          <w:color w:val="auto"/>
          <w:highlight w:val="none"/>
        </w:rPr>
        <w:t>全面形成与柳江区经济社会发展相适应的水土流失综合防治体系，防治水土流失，保护和建设林草植被，保护耕地资源，改善农村生产生活条件，提高水源涵养能力，改善生态环境和人居环境，降低水土流失面积和强度，减少入河湖库泥沙量，维护饮用水安全，促进经济社会可持续发展；建成完善的水土保持监测体系；创新体制机制，提升监管能力，建成完善的水土保持监管体系，全面落实生产建设项目“三同时”制度，实现水土保持管理信息化、制度化、规范化，人为水土流失得到全面防治。</w:t>
      </w:r>
    </w:p>
    <w:p>
      <w:pPr>
        <w:numPr>
          <w:ilvl w:val="0"/>
          <w:numId w:val="0"/>
        </w:numPr>
        <w:ind w:firstLine="560" w:firstLineChars="200"/>
        <w:rPr>
          <w:rFonts w:cs="Times New Roman"/>
          <w:color w:val="auto"/>
          <w:highlight w:val="none"/>
          <w:lang w:val="zh-CN"/>
        </w:rPr>
      </w:pPr>
      <w:r>
        <w:rPr>
          <w:rFonts w:ascii="Times New Roman" w:hAnsi="Times New Roman" w:eastAsia="仿宋" w:cs="Times New Roman"/>
          <w:color w:val="auto"/>
          <w:kern w:val="2"/>
          <w:sz w:val="28"/>
          <w:szCs w:val="28"/>
          <w:lang w:val="zh-CN" w:eastAsia="zh-CN" w:bidi="ar-SA"/>
        </w:rPr>
        <w:t>（</w:t>
      </w:r>
      <w:r>
        <w:rPr>
          <w:rFonts w:hint="eastAsia" w:cs="Times New Roman"/>
          <w:color w:val="auto"/>
          <w:kern w:val="2"/>
          <w:sz w:val="28"/>
          <w:szCs w:val="28"/>
          <w:lang w:val="en-US" w:eastAsia="zh-CN" w:bidi="ar-SA"/>
        </w:rPr>
        <w:t>2</w:t>
      </w:r>
      <w:r>
        <w:rPr>
          <w:rFonts w:ascii="Times New Roman" w:hAnsi="Times New Roman" w:eastAsia="仿宋" w:cs="Times New Roman"/>
          <w:color w:val="auto"/>
          <w:kern w:val="2"/>
          <w:sz w:val="28"/>
          <w:szCs w:val="28"/>
          <w:lang w:val="zh-CN" w:eastAsia="zh-CN" w:bidi="ar-SA"/>
        </w:rPr>
        <w:t>）</w:t>
      </w:r>
      <w:r>
        <w:rPr>
          <w:rFonts w:cs="Times New Roman"/>
          <w:color w:val="auto"/>
          <w:highlight w:val="none"/>
          <w:lang w:val="zh-CN"/>
        </w:rPr>
        <w:t>近期</w:t>
      </w:r>
      <w:r>
        <w:rPr>
          <w:rFonts w:cs="Times New Roman"/>
          <w:color w:val="auto"/>
          <w:highlight w:val="none"/>
        </w:rPr>
        <w:t>规划</w:t>
      </w:r>
    </w:p>
    <w:p>
      <w:pPr>
        <w:numPr>
          <w:ilvl w:val="255"/>
          <w:numId w:val="0"/>
        </w:numPr>
        <w:ind w:firstLine="560" w:firstLineChars="200"/>
        <w:rPr>
          <w:rFonts w:cs="Times New Roman"/>
          <w:color w:val="auto"/>
          <w:highlight w:val="none"/>
        </w:rPr>
      </w:pPr>
      <w:r>
        <w:rPr>
          <w:rFonts w:cs="Times New Roman"/>
          <w:color w:val="auto"/>
          <w:highlight w:val="none"/>
        </w:rPr>
        <w:t>到2025年，基本建成与柳江区经济社会发展、水土资源环境承载力相适应的水土流失综合防治体系，水土资源预防保护机制基本形成，重点预防区全面实施预防保护，林草植被得到有效保护与恢复，人为水土流失基本得到控制，生态和人居环境得到明显改善，农业生产基础条件不断提升，抗御水、旱灾害能力不断增强。到2025年，水土保持率达到</w:t>
      </w:r>
      <w:r>
        <w:rPr>
          <w:rFonts w:hint="eastAsia" w:cs="Times New Roman"/>
          <w:color w:val="auto"/>
          <w:highlight w:val="none"/>
          <w:lang w:eastAsia="zh-CN"/>
        </w:rPr>
        <w:t>79.26%</w:t>
      </w:r>
      <w:r>
        <w:rPr>
          <w:rFonts w:cs="Times New Roman"/>
          <w:color w:val="auto"/>
          <w:highlight w:val="none"/>
        </w:rPr>
        <w:t>，新增水土流失预防保护面积</w:t>
      </w:r>
      <w:r>
        <w:rPr>
          <w:rFonts w:hint="eastAsia" w:cs="Times New Roman"/>
          <w:color w:val="auto"/>
          <w:highlight w:val="none"/>
          <w:lang w:val="en-US" w:eastAsia="zh-CN"/>
        </w:rPr>
        <w:t>24.65</w:t>
      </w:r>
      <w:r>
        <w:rPr>
          <w:rFonts w:cs="Times New Roman"/>
          <w:color w:val="auto"/>
          <w:highlight w:val="none"/>
          <w:lang w:val="zh-CN"/>
        </w:rPr>
        <w:t xml:space="preserve"> km</w:t>
      </w:r>
      <w:r>
        <w:rPr>
          <w:rFonts w:cs="Times New Roman"/>
          <w:color w:val="auto"/>
          <w:highlight w:val="none"/>
          <w:vertAlign w:val="superscript"/>
          <w:lang w:val="zh-CN"/>
        </w:rPr>
        <w:t>2</w:t>
      </w:r>
      <w:r>
        <w:rPr>
          <w:rFonts w:cs="Times New Roman"/>
          <w:color w:val="auto"/>
          <w:highlight w:val="none"/>
          <w:lang w:val="zh-CN"/>
        </w:rPr>
        <w:t>，新增水土流失治理面积73.38km</w:t>
      </w:r>
      <w:r>
        <w:rPr>
          <w:rFonts w:cs="Times New Roman"/>
          <w:color w:val="auto"/>
          <w:highlight w:val="none"/>
          <w:vertAlign w:val="superscript"/>
          <w:lang w:val="zh-CN"/>
        </w:rPr>
        <w:t>2</w:t>
      </w:r>
      <w:r>
        <w:rPr>
          <w:rFonts w:cs="Times New Roman"/>
          <w:color w:val="auto"/>
          <w:highlight w:val="none"/>
          <w:lang w:val="zh-CN"/>
        </w:rPr>
        <w:t>，其中水利部门综合治理水土流失面积</w:t>
      </w:r>
      <w:r>
        <w:rPr>
          <w:rFonts w:hint="eastAsia" w:cs="Times New Roman"/>
          <w:color w:val="auto"/>
          <w:highlight w:val="none"/>
          <w:lang w:val="en-US" w:eastAsia="zh-CN"/>
        </w:rPr>
        <w:t>20</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，其他部门及生态建设项目综合治理水土流失面积</w:t>
      </w:r>
      <w:r>
        <w:rPr>
          <w:rFonts w:hint="eastAsia" w:cs="Times New Roman"/>
          <w:color w:val="auto"/>
          <w:highlight w:val="none"/>
          <w:lang w:val="en-US" w:eastAsia="zh-CN"/>
        </w:rPr>
        <w:t>52.38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p>
    <w:p>
      <w:pPr>
        <w:pStyle w:val="45"/>
        <w:numPr>
          <w:ilvl w:val="0"/>
          <w:numId w:val="0"/>
        </w:numPr>
        <w:ind w:firstLine="420" w:firstLineChars="0"/>
        <w:rPr>
          <w:rFonts w:cs="Times New Roman"/>
          <w:color w:val="auto"/>
          <w:highlight w:val="none"/>
        </w:rPr>
      </w:pPr>
      <w:r>
        <w:rPr>
          <w:rFonts w:ascii="Times New Roman" w:hAnsi="Times New Roman" w:eastAsia="仿宋" w:cs="Times New Roman"/>
          <w:color w:val="auto"/>
          <w:kern w:val="2"/>
          <w:sz w:val="28"/>
          <w:szCs w:val="28"/>
          <w:lang w:val="en-US" w:eastAsia="zh-CN" w:bidi="ar-SA"/>
        </w:rPr>
        <w:t>（</w:t>
      </w:r>
      <w:r>
        <w:rPr>
          <w:rFonts w:hint="eastAsia" w:cs="Times New Roman"/>
          <w:color w:val="auto"/>
          <w:kern w:val="2"/>
          <w:sz w:val="28"/>
          <w:szCs w:val="28"/>
          <w:lang w:val="en-US" w:eastAsia="zh-CN" w:bidi="ar-SA"/>
        </w:rPr>
        <w:t>3</w:t>
      </w:r>
      <w:r>
        <w:rPr>
          <w:rFonts w:ascii="Times New Roman" w:hAnsi="Times New Roman" w:eastAsia="仿宋" w:cs="Times New Roman"/>
          <w:color w:val="auto"/>
          <w:kern w:val="2"/>
          <w:sz w:val="28"/>
          <w:szCs w:val="28"/>
          <w:lang w:val="en-US" w:eastAsia="zh-CN" w:bidi="ar-SA"/>
        </w:rPr>
        <w:t>）</w:t>
      </w:r>
      <w:r>
        <w:rPr>
          <w:rFonts w:cs="Times New Roman"/>
          <w:color w:val="auto"/>
          <w:highlight w:val="none"/>
        </w:rPr>
        <w:t>远期目标：到2030年，全面建成与柳江区经济社会发展、水土资源环境承载力相适应的水土流失综合防治体系，水土资源预防保护机制健全，辖区全面实施预防保护，林草植被得到全面保护与恢复，人为水土流失得到有效控制，生态和人居环境全面改善，农业生产基础条件全面提高，抗御水、旱灾害能力显著提升。</w:t>
      </w:r>
      <w:r>
        <w:rPr>
          <w:rFonts w:cs="Times New Roman"/>
          <w:color w:val="auto"/>
          <w:highlight w:val="none"/>
          <w:lang w:val="zh-CN"/>
        </w:rPr>
        <w:t>到2030年，</w:t>
      </w:r>
      <w:r>
        <w:rPr>
          <w:rFonts w:cs="Times New Roman"/>
          <w:color w:val="auto"/>
          <w:highlight w:val="none"/>
        </w:rPr>
        <w:t>水土保持率达到</w:t>
      </w:r>
      <w:r>
        <w:rPr>
          <w:rFonts w:hint="eastAsia" w:cs="Times New Roman"/>
          <w:color w:val="auto"/>
          <w:highlight w:val="none"/>
          <w:lang w:eastAsia="zh-CN"/>
        </w:rPr>
        <w:t>80.71%</w:t>
      </w:r>
      <w:r>
        <w:rPr>
          <w:rFonts w:cs="Times New Roman"/>
          <w:color w:val="auto"/>
          <w:highlight w:val="none"/>
          <w:lang w:val="zh-CN"/>
        </w:rPr>
        <w:t>，</w:t>
      </w:r>
      <w:r>
        <w:rPr>
          <w:rFonts w:cs="Times New Roman"/>
          <w:color w:val="auto"/>
          <w:highlight w:val="none"/>
        </w:rPr>
        <w:t>新增水土流失预防保护面积53.65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，新增水土流失治理面积162.85km</w:t>
      </w:r>
      <w:r>
        <w:rPr>
          <w:rFonts w:cs="Times New Roman"/>
          <w:color w:val="auto"/>
          <w:highlight w:val="none"/>
          <w:vertAlign w:val="superscript"/>
          <w:lang w:val="zh-CN"/>
        </w:rPr>
        <w:t>2</w:t>
      </w:r>
      <w:r>
        <w:rPr>
          <w:rFonts w:cs="Times New Roman"/>
          <w:color w:val="auto"/>
          <w:highlight w:val="none"/>
          <w:lang w:val="zh-CN"/>
        </w:rPr>
        <w:t>，其中水利部门综合治理水土流失面积</w:t>
      </w:r>
      <w:r>
        <w:rPr>
          <w:rFonts w:hint="eastAsia" w:cs="Times New Roman"/>
          <w:color w:val="auto"/>
          <w:highlight w:val="none"/>
          <w:lang w:val="en-US" w:eastAsia="zh-CN"/>
        </w:rPr>
        <w:t>32.57</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，其他部门及生态建设项目综合治理水土流失面积</w:t>
      </w:r>
      <w:r>
        <w:rPr>
          <w:rFonts w:hint="eastAsia" w:cs="Times New Roman"/>
          <w:color w:val="auto"/>
          <w:highlight w:val="none"/>
          <w:lang w:val="en-US" w:eastAsia="zh-CN"/>
        </w:rPr>
        <w:t>130.28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p>
    <w:p>
      <w:pPr>
        <w:pStyle w:val="3"/>
        <w:spacing w:before="156"/>
        <w:ind w:firstLine="602"/>
        <w:rPr>
          <w:color w:val="auto"/>
          <w:highlight w:val="none"/>
        </w:rPr>
      </w:pPr>
      <w:bookmarkStart w:id="36" w:name="_Toc13380"/>
      <w:bookmarkStart w:id="37" w:name="_Toc516847569"/>
      <w:bookmarkStart w:id="38" w:name="_Toc528945974"/>
      <w:bookmarkStart w:id="39" w:name="_Toc90399077"/>
      <w:bookmarkStart w:id="40" w:name="_Toc119515825"/>
      <w:bookmarkStart w:id="41" w:name="_Toc28950"/>
      <w:r>
        <w:rPr>
          <w:color w:val="auto"/>
          <w:highlight w:val="none"/>
        </w:rPr>
        <w:t>1.4</w:t>
      </w:r>
      <w:bookmarkEnd w:id="36"/>
      <w:bookmarkEnd w:id="37"/>
      <w:bookmarkEnd w:id="38"/>
      <w:r>
        <w:rPr>
          <w:color w:val="auto"/>
          <w:highlight w:val="none"/>
        </w:rPr>
        <w:t>总体布局</w:t>
      </w:r>
      <w:bookmarkEnd w:id="39"/>
      <w:bookmarkEnd w:id="40"/>
      <w:bookmarkEnd w:id="41"/>
    </w:p>
    <w:p>
      <w:pPr>
        <w:pStyle w:val="4"/>
        <w:spacing w:before="156"/>
        <w:ind w:firstLine="562"/>
        <w:rPr>
          <w:color w:val="auto"/>
          <w:highlight w:val="none"/>
          <w:lang w:val="en-GB"/>
        </w:rPr>
      </w:pPr>
      <w:bookmarkStart w:id="42" w:name="_Toc119515826"/>
      <w:bookmarkStart w:id="43" w:name="_Toc7378"/>
      <w:r>
        <w:rPr>
          <w:color w:val="auto"/>
          <w:highlight w:val="none"/>
          <w:lang w:val="en-GB"/>
        </w:rPr>
        <w:t>1.4.1区域布局</w:t>
      </w:r>
      <w:bookmarkEnd w:id="42"/>
      <w:bookmarkEnd w:id="43"/>
    </w:p>
    <w:p>
      <w:pPr>
        <w:pStyle w:val="15"/>
        <w:bidi w:val="0"/>
        <w:rPr>
          <w:rFonts w:hint="default" w:ascii="Times New Roman" w:hAnsi="Times New Roman" w:eastAsia="仿宋" w:cs="Times New Roman"/>
          <w:b/>
          <w:color w:val="auto"/>
          <w:kern w:val="2"/>
          <w:sz w:val="28"/>
          <w:szCs w:val="28"/>
          <w:highlight w:val="none"/>
          <w:lang w:val="en-US" w:eastAsia="zh-CN" w:bidi="ar-SA"/>
        </w:rPr>
      </w:pPr>
      <w:r>
        <w:rPr>
          <w:rFonts w:ascii="Times New Roman" w:hAnsi="Times New Roman" w:eastAsia="仿宋" w:cs="Times New Roman"/>
          <w:b/>
          <w:color w:val="auto"/>
          <w:kern w:val="2"/>
          <w:sz w:val="28"/>
          <w:szCs w:val="28"/>
          <w:highlight w:val="none"/>
          <w:lang w:val="en-US" w:eastAsia="zh-CN" w:bidi="ar-SA"/>
        </w:rPr>
        <w:t>（1）</w:t>
      </w:r>
      <w:r>
        <w:rPr>
          <w:rFonts w:hint="eastAsia" w:ascii="Times New Roman" w:hAnsi="Times New Roman" w:eastAsia="仿宋" w:cs="Times New Roman"/>
          <w:b/>
          <w:color w:val="auto"/>
          <w:kern w:val="2"/>
          <w:sz w:val="28"/>
          <w:szCs w:val="28"/>
          <w:highlight w:val="none"/>
          <w:lang w:val="en-US" w:eastAsia="zh-CN" w:bidi="ar-SA"/>
        </w:rPr>
        <w:t>东部低山丘陵植被维护保土区</w:t>
      </w:r>
    </w:p>
    <w:p>
      <w:pPr>
        <w:rPr>
          <w:rFonts w:cs="Times New Roman"/>
          <w:color w:val="auto"/>
          <w:highlight w:val="none"/>
          <w:lang w:val="zh-CN"/>
        </w:rPr>
      </w:pPr>
      <w:r>
        <w:rPr>
          <w:rFonts w:cs="Times New Roman"/>
          <w:color w:val="auto"/>
          <w:highlight w:val="none"/>
        </w:rPr>
        <w:t>本区包括</w:t>
      </w:r>
      <w:r>
        <w:rPr>
          <w:rFonts w:hint="eastAsia" w:cs="Times New Roman"/>
          <w:color w:val="auto"/>
          <w:highlight w:val="none"/>
          <w:lang w:val="en-US" w:eastAsia="zh-CN"/>
        </w:rPr>
        <w:t>穿山</w:t>
      </w:r>
      <w:r>
        <w:rPr>
          <w:rFonts w:cs="Times New Roman"/>
          <w:color w:val="auto"/>
          <w:highlight w:val="none"/>
        </w:rPr>
        <w:t>镇、</w:t>
      </w:r>
      <w:r>
        <w:rPr>
          <w:rFonts w:hint="eastAsia" w:cs="Times New Roman"/>
          <w:color w:val="auto"/>
          <w:highlight w:val="none"/>
          <w:lang w:val="en-US" w:eastAsia="zh-CN"/>
        </w:rPr>
        <w:t>百朋</w:t>
      </w:r>
      <w:r>
        <w:rPr>
          <w:rFonts w:cs="Times New Roman"/>
          <w:color w:val="auto"/>
          <w:highlight w:val="none"/>
        </w:rPr>
        <w:t>镇等</w:t>
      </w:r>
      <w:r>
        <w:rPr>
          <w:rFonts w:hint="eastAsia" w:cs="Times New Roman"/>
          <w:color w:val="auto"/>
          <w:highlight w:val="none"/>
          <w:lang w:val="en-US" w:eastAsia="zh-CN"/>
        </w:rPr>
        <w:t>2</w:t>
      </w:r>
      <w:r>
        <w:rPr>
          <w:rFonts w:cs="Times New Roman"/>
          <w:color w:val="auto"/>
          <w:highlight w:val="none"/>
        </w:rPr>
        <w:t>个乡镇，合计土地面积</w:t>
      </w:r>
      <w:r>
        <w:rPr>
          <w:rFonts w:hint="eastAsia" w:cs="Times New Roman"/>
          <w:color w:val="auto"/>
          <w:highlight w:val="none"/>
          <w:lang w:val="en-US" w:eastAsia="zh-CN"/>
        </w:rPr>
        <w:t>794.80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44.83</w:t>
      </w:r>
      <w:r>
        <w:rPr>
          <w:rFonts w:cs="Times New Roman"/>
          <w:color w:val="auto"/>
          <w:highlight w:val="none"/>
        </w:rPr>
        <w:t>%</w:t>
      </w:r>
      <w:r>
        <w:rPr>
          <w:rFonts w:cs="Times New Roman"/>
          <w:color w:val="auto"/>
          <w:highlight w:val="none"/>
          <w:lang w:val="zh-CN"/>
        </w:rPr>
        <w:t>。</w:t>
      </w:r>
    </w:p>
    <w:p>
      <w:pPr>
        <w:rPr>
          <w:rFonts w:cs="Times New Roman"/>
          <w:color w:val="auto"/>
          <w:highlight w:val="none"/>
        </w:rPr>
      </w:pPr>
      <w:r>
        <w:rPr>
          <w:rFonts w:cs="Times New Roman"/>
          <w:color w:val="auto"/>
          <w:highlight w:val="none"/>
        </w:rPr>
        <w:t>本区水土保持基础功能以</w:t>
      </w:r>
      <w:r>
        <w:rPr>
          <w:rFonts w:hint="eastAsia" w:cs="Times New Roman"/>
          <w:color w:val="auto"/>
          <w:highlight w:val="none"/>
          <w:lang w:val="en-US" w:eastAsia="zh-CN"/>
        </w:rPr>
        <w:t>提高农田生产力，保护森林植被</w:t>
      </w:r>
      <w:r>
        <w:rPr>
          <w:rFonts w:cs="Times New Roman"/>
          <w:color w:val="auto"/>
          <w:highlight w:val="none"/>
        </w:rPr>
        <w:t>为主。具体防治措施有以下几个方面：</w:t>
      </w:r>
    </w:p>
    <w:p>
      <w:pPr>
        <w:rPr>
          <w:rFonts w:cs="Times New Roman"/>
          <w:color w:val="auto"/>
          <w:highlight w:val="none"/>
        </w:rPr>
      </w:pPr>
      <w:r>
        <w:rPr>
          <w:rFonts w:hint="eastAsia" w:cs="Times New Roman"/>
          <w:color w:val="auto"/>
          <w:highlight w:val="none"/>
          <w:lang w:val="en-US" w:eastAsia="zh-CN"/>
        </w:rPr>
        <w:t>1</w:t>
      </w:r>
      <w:r>
        <w:rPr>
          <w:rFonts w:cs="Times New Roman"/>
          <w:color w:val="auto"/>
          <w:highlight w:val="none"/>
        </w:rPr>
        <w:t>）</w:t>
      </w:r>
      <w:r>
        <w:rPr>
          <w:rFonts w:hint="eastAsia" w:cs="Times New Roman"/>
          <w:color w:val="auto"/>
          <w:highlight w:val="none"/>
        </w:rPr>
        <w:t>保护农田生态系统，落实耕地休耕轮作制度，推进高标准农田建设，完善农田灌溉排水体系，提升土壤保持能力。</w:t>
      </w:r>
    </w:p>
    <w:p>
      <w:pPr>
        <w:rPr>
          <w:rFonts w:hint="default" w:cs="Times New Roman"/>
          <w:color w:val="auto"/>
          <w:highlight w:val="none"/>
          <w:lang w:val="en-US" w:eastAsia="zh-CN"/>
        </w:rPr>
      </w:pPr>
      <w:r>
        <w:rPr>
          <w:rFonts w:hint="eastAsia" w:cs="Times New Roman"/>
          <w:color w:val="auto"/>
          <w:highlight w:val="none"/>
          <w:lang w:val="en-US" w:eastAsia="zh-CN"/>
        </w:rPr>
        <w:t>2）</w:t>
      </w:r>
      <w:r>
        <w:rPr>
          <w:rFonts w:hint="default" w:ascii="Arial" w:hAnsi="Arial" w:cs="Arial"/>
          <w:color w:val="auto"/>
          <w:highlight w:val="none"/>
        </w:rPr>
        <w:t>定期对森林生态系统水土流失状况进行监测评估，协同推进森林生态系统水土流失预防保护，巩固提升森林生态系统质量和稳定性，充分发挥林草水土保持功能。</w:t>
      </w:r>
    </w:p>
    <w:p>
      <w:pPr>
        <w:rPr>
          <w:rFonts w:cs="Times New Roman"/>
          <w:color w:val="auto"/>
          <w:highlight w:val="none"/>
        </w:rPr>
      </w:pPr>
      <w:r>
        <w:rPr>
          <w:rFonts w:hint="eastAsia" w:cs="Times New Roman"/>
          <w:color w:val="auto"/>
          <w:highlight w:val="none"/>
          <w:lang w:val="en-US" w:eastAsia="zh-CN"/>
        </w:rPr>
        <w:t>3）</w:t>
      </w:r>
      <w:r>
        <w:rPr>
          <w:rFonts w:hint="eastAsia" w:cs="Times New Roman"/>
          <w:color w:val="auto"/>
          <w:highlight w:val="none"/>
        </w:rPr>
        <w:t>注重天然林保护和修复，实施封山育林，保护生物多样性，全面提高本区</w:t>
      </w:r>
      <w:r>
        <w:rPr>
          <w:rFonts w:hint="eastAsia" w:cs="Times New Roman"/>
          <w:color w:val="auto"/>
          <w:highlight w:val="none"/>
          <w:lang w:val="en-US" w:eastAsia="zh-CN"/>
        </w:rPr>
        <w:t>植被</w:t>
      </w:r>
      <w:r>
        <w:rPr>
          <w:rFonts w:hint="eastAsia" w:cs="Times New Roman"/>
          <w:color w:val="auto"/>
          <w:highlight w:val="none"/>
        </w:rPr>
        <w:t>维护功能</w:t>
      </w:r>
      <w:r>
        <w:rPr>
          <w:rFonts w:cs="Times New Roman"/>
          <w:color w:val="auto"/>
          <w:highlight w:val="none"/>
        </w:rPr>
        <w:t>。</w:t>
      </w:r>
    </w:p>
    <w:p>
      <w:pPr>
        <w:ind w:firstLine="562"/>
        <w:rPr>
          <w:rFonts w:cs="Times New Roman"/>
          <w:b/>
          <w:color w:val="auto"/>
          <w:highlight w:val="none"/>
        </w:rPr>
      </w:pPr>
      <w:r>
        <w:rPr>
          <w:rFonts w:cs="Times New Roman"/>
          <w:b/>
          <w:color w:val="auto"/>
          <w:highlight w:val="none"/>
        </w:rPr>
        <w:t>（2）南部低山丘陵保土区</w:t>
      </w:r>
    </w:p>
    <w:p>
      <w:pPr>
        <w:rPr>
          <w:rFonts w:cs="Times New Roman"/>
          <w:color w:val="auto"/>
          <w:highlight w:val="none"/>
          <w:lang w:val="zh-CN"/>
        </w:rPr>
      </w:pPr>
      <w:r>
        <w:rPr>
          <w:rFonts w:cs="Times New Roman"/>
          <w:color w:val="auto"/>
          <w:highlight w:val="none"/>
        </w:rPr>
        <w:t>本区包括拉堡镇、进德镇、成团镇等</w:t>
      </w:r>
      <w:r>
        <w:rPr>
          <w:rFonts w:hint="eastAsia" w:cs="Times New Roman"/>
          <w:color w:val="auto"/>
          <w:highlight w:val="none"/>
          <w:lang w:val="en-US" w:eastAsia="zh-CN"/>
        </w:rPr>
        <w:t>3</w:t>
      </w:r>
      <w:r>
        <w:rPr>
          <w:rFonts w:cs="Times New Roman"/>
          <w:color w:val="auto"/>
          <w:highlight w:val="none"/>
        </w:rPr>
        <w:t>个乡镇，合计土地面积</w:t>
      </w:r>
      <w:r>
        <w:rPr>
          <w:rFonts w:hint="eastAsia" w:cs="Times New Roman"/>
          <w:color w:val="auto"/>
          <w:highlight w:val="none"/>
          <w:lang w:val="en-US" w:eastAsia="zh-CN"/>
        </w:rPr>
        <w:t>293.33</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16.54</w:t>
      </w:r>
      <w:r>
        <w:rPr>
          <w:rFonts w:cs="Times New Roman"/>
          <w:color w:val="auto"/>
          <w:highlight w:val="none"/>
        </w:rPr>
        <w:t>%</w:t>
      </w:r>
      <w:r>
        <w:rPr>
          <w:rFonts w:cs="Times New Roman"/>
          <w:color w:val="auto"/>
          <w:highlight w:val="none"/>
          <w:lang w:val="zh-CN"/>
        </w:rPr>
        <w:t>。</w:t>
      </w:r>
    </w:p>
    <w:p>
      <w:pPr>
        <w:rPr>
          <w:rFonts w:cs="Times New Roman"/>
          <w:color w:val="auto"/>
          <w:highlight w:val="none"/>
        </w:rPr>
      </w:pPr>
      <w:bookmarkStart w:id="44" w:name="_Toc119515827"/>
      <w:bookmarkStart w:id="45" w:name="_Toc29810"/>
      <w:r>
        <w:rPr>
          <w:rFonts w:cs="Times New Roman"/>
          <w:color w:val="auto"/>
          <w:highlight w:val="none"/>
        </w:rPr>
        <w:t>本区水土保持基础功能以人居环境改善和</w:t>
      </w:r>
      <w:r>
        <w:rPr>
          <w:rFonts w:hint="eastAsia" w:cs="Times New Roman"/>
          <w:color w:val="auto"/>
          <w:highlight w:val="none"/>
          <w:lang w:val="en-US" w:eastAsia="zh-CN"/>
        </w:rPr>
        <w:t>保护耕地</w:t>
      </w:r>
      <w:r>
        <w:rPr>
          <w:rFonts w:cs="Times New Roman"/>
          <w:color w:val="auto"/>
          <w:highlight w:val="none"/>
        </w:rPr>
        <w:t>，开展小流域综合治理。具体防治措施有以下几个方面：</w:t>
      </w:r>
    </w:p>
    <w:p>
      <w:pPr>
        <w:rPr>
          <w:rFonts w:cs="Times New Roman"/>
          <w:color w:val="auto"/>
          <w:highlight w:val="none"/>
        </w:rPr>
      </w:pPr>
      <w:r>
        <w:rPr>
          <w:rFonts w:cs="Times New Roman"/>
          <w:color w:val="auto"/>
          <w:highlight w:val="none"/>
        </w:rPr>
        <w:t>1）强化人口和经济开发集中、农林开发规模大的区域人为水土流失监测监管，减少人为活动对水土资源造成的危害，维护城市及周边生态系统功能和人居环境。</w:t>
      </w:r>
    </w:p>
    <w:p>
      <w:pPr>
        <w:rPr>
          <w:rFonts w:cs="Times New Roman"/>
          <w:color w:val="auto"/>
          <w:highlight w:val="none"/>
        </w:rPr>
      </w:pPr>
      <w:r>
        <w:rPr>
          <w:rFonts w:cs="Times New Roman"/>
          <w:color w:val="auto"/>
          <w:highlight w:val="none"/>
        </w:rPr>
        <w:t>2）加强对坡耕地综合治理，合理配套引、排、蓄水等小型水利水保设施；</w:t>
      </w:r>
      <w:r>
        <w:rPr>
          <w:rFonts w:cs="Times New Roman"/>
          <w:color w:val="auto"/>
          <w:highlight w:val="none"/>
          <w:lang w:val="en-US"/>
        </w:rPr>
        <w:t>采取保护性耕作措施，保护耕地资源，提高耕地资源的综合利用效率</w:t>
      </w:r>
      <w:r>
        <w:rPr>
          <w:rFonts w:cs="Times New Roman"/>
          <w:color w:val="auto"/>
          <w:highlight w:val="none"/>
        </w:rPr>
        <w:t>。</w:t>
      </w:r>
    </w:p>
    <w:p>
      <w:pPr>
        <w:rPr>
          <w:rFonts w:cs="Times New Roman"/>
          <w:color w:val="auto"/>
          <w:highlight w:val="none"/>
        </w:rPr>
      </w:pPr>
      <w:r>
        <w:rPr>
          <w:rFonts w:cs="Times New Roman"/>
          <w:color w:val="auto"/>
          <w:highlight w:val="none"/>
        </w:rPr>
        <w:t>3）大力推进生态清洁型小流域水土保持工程建设，注重村屯美化，加强农村垃圾收集和生活污水处理，突出生态休闲功能，促进农村逐步向生态景观型转变，加强农村人居环境整治，改善人居环境。</w:t>
      </w:r>
    </w:p>
    <w:p>
      <w:pPr>
        <w:ind w:firstLine="562"/>
        <w:rPr>
          <w:rFonts w:hint="eastAsia" w:cs="Times New Roman"/>
          <w:b/>
          <w:color w:val="auto"/>
          <w:highlight w:val="none"/>
          <w:lang w:val="en-US"/>
        </w:rPr>
      </w:pPr>
      <w:r>
        <w:rPr>
          <w:rFonts w:hint="eastAsia" w:cs="Times New Roman"/>
          <w:b/>
          <w:color w:val="auto"/>
          <w:highlight w:val="none"/>
          <w:lang w:eastAsia="zh-CN"/>
        </w:rPr>
        <w:t>（</w:t>
      </w:r>
      <w:r>
        <w:rPr>
          <w:rFonts w:hint="eastAsia" w:cs="Times New Roman"/>
          <w:b/>
          <w:color w:val="auto"/>
          <w:highlight w:val="none"/>
          <w:lang w:val="en-US" w:eastAsia="zh-CN"/>
        </w:rPr>
        <w:t>3</w:t>
      </w:r>
      <w:r>
        <w:rPr>
          <w:rFonts w:hint="eastAsia" w:cs="Times New Roman"/>
          <w:b/>
          <w:color w:val="auto"/>
          <w:highlight w:val="none"/>
          <w:lang w:eastAsia="zh-CN"/>
        </w:rPr>
        <w:t>）</w:t>
      </w:r>
      <w:r>
        <w:rPr>
          <w:rFonts w:hint="eastAsia" w:cs="Times New Roman"/>
          <w:b/>
          <w:color w:val="auto"/>
          <w:highlight w:val="none"/>
          <w:lang w:val="en-US"/>
        </w:rPr>
        <w:t>西部低山丘陵生态维护区</w:t>
      </w:r>
    </w:p>
    <w:p>
      <w:pPr>
        <w:rPr>
          <w:rFonts w:cs="Times New Roman"/>
          <w:color w:val="auto"/>
          <w:highlight w:val="none"/>
        </w:rPr>
      </w:pPr>
      <w:r>
        <w:rPr>
          <w:rFonts w:cs="Times New Roman"/>
          <w:color w:val="auto"/>
          <w:highlight w:val="none"/>
        </w:rPr>
        <w:t>本区涉及土博镇、里高镇、三都镇等</w:t>
      </w:r>
      <w:r>
        <w:rPr>
          <w:rFonts w:hint="eastAsia" w:cs="Times New Roman"/>
          <w:color w:val="auto"/>
          <w:highlight w:val="none"/>
          <w:lang w:val="en-US" w:eastAsia="zh-CN"/>
        </w:rPr>
        <w:t>3</w:t>
      </w:r>
      <w:r>
        <w:rPr>
          <w:rFonts w:cs="Times New Roman"/>
          <w:color w:val="auto"/>
          <w:highlight w:val="none"/>
        </w:rPr>
        <w:t>个镇，合计土地面积</w:t>
      </w:r>
      <w:r>
        <w:rPr>
          <w:rFonts w:hint="eastAsia" w:cs="Times New Roman"/>
          <w:color w:val="auto"/>
          <w:highlight w:val="none"/>
          <w:lang w:val="en-US" w:eastAsia="zh-CN"/>
        </w:rPr>
        <w:t>684.87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38.63</w:t>
      </w:r>
      <w:r>
        <w:rPr>
          <w:rFonts w:cs="Times New Roman"/>
          <w:color w:val="auto"/>
          <w:highlight w:val="none"/>
        </w:rPr>
        <w:t>%。</w:t>
      </w:r>
    </w:p>
    <w:p>
      <w:pPr>
        <w:ind w:firstLineChars="0"/>
        <w:rPr>
          <w:rFonts w:cs="Times New Roman"/>
          <w:color w:val="auto"/>
          <w:highlight w:val="none"/>
        </w:rPr>
      </w:pPr>
      <w:r>
        <w:rPr>
          <w:rFonts w:cs="Times New Roman"/>
          <w:color w:val="auto"/>
          <w:highlight w:val="none"/>
        </w:rPr>
        <w:t>本区水土保持主导基础功能以森林生态维护和</w:t>
      </w:r>
      <w:r>
        <w:rPr>
          <w:rFonts w:hint="eastAsia" w:cs="Times New Roman"/>
          <w:color w:val="auto"/>
          <w:highlight w:val="none"/>
          <w:lang w:val="en-US" w:eastAsia="zh-CN"/>
        </w:rPr>
        <w:t>涵养水源</w:t>
      </w:r>
      <w:r>
        <w:rPr>
          <w:rFonts w:cs="Times New Roman"/>
          <w:color w:val="auto"/>
          <w:highlight w:val="none"/>
        </w:rPr>
        <w:t>为主，科学推进森林抚育和修复</w:t>
      </w:r>
      <w:r>
        <w:rPr>
          <w:rFonts w:hint="eastAsia" w:cs="Times New Roman"/>
          <w:color w:val="auto"/>
          <w:highlight w:val="none"/>
          <w:lang w:eastAsia="zh-CN"/>
        </w:rPr>
        <w:t>，</w:t>
      </w:r>
      <w:r>
        <w:rPr>
          <w:rFonts w:hint="eastAsia" w:cs="Times New Roman"/>
          <w:color w:val="auto"/>
          <w:highlight w:val="none"/>
          <w:lang w:val="en-US" w:eastAsia="zh-CN"/>
        </w:rPr>
        <w:t>开展小流域综合治理。</w:t>
      </w:r>
      <w:r>
        <w:rPr>
          <w:rFonts w:cs="Times New Roman"/>
          <w:color w:val="auto"/>
          <w:highlight w:val="none"/>
        </w:rPr>
        <w:t>具体防治措施有以下几个方面：</w:t>
      </w:r>
    </w:p>
    <w:p>
      <w:pPr>
        <w:ind w:firstLineChars="0"/>
        <w:rPr>
          <w:rFonts w:cs="Times New Roman"/>
          <w:color w:val="auto"/>
          <w:highlight w:val="none"/>
          <w:lang w:val="en-US"/>
        </w:rPr>
      </w:pPr>
      <w:r>
        <w:rPr>
          <w:rFonts w:cs="Times New Roman"/>
          <w:color w:val="auto"/>
          <w:highlight w:val="none"/>
          <w:lang w:val="en-US"/>
        </w:rPr>
        <w:t>1）</w:t>
      </w:r>
      <w:r>
        <w:rPr>
          <w:rFonts w:hint="default" w:cs="Times New Roman"/>
          <w:color w:val="auto"/>
          <w:highlight w:val="none"/>
        </w:rPr>
        <w:t>以</w:t>
      </w:r>
      <w:r>
        <w:rPr>
          <w:rFonts w:cs="Times New Roman"/>
          <w:color w:val="auto"/>
          <w:highlight w:val="none"/>
        </w:rPr>
        <w:t>北之江柳江</w:t>
      </w:r>
      <w:r>
        <w:rPr>
          <w:rFonts w:hint="eastAsia" w:cs="Times New Roman"/>
          <w:color w:val="auto"/>
          <w:highlight w:val="none"/>
          <w:lang w:eastAsia="zh-CN"/>
        </w:rPr>
        <w:t>－</w:t>
      </w:r>
      <w:r>
        <w:rPr>
          <w:rFonts w:cs="Times New Roman"/>
          <w:color w:val="auto"/>
          <w:highlight w:val="none"/>
        </w:rPr>
        <w:t>忻城源头水保护区</w:t>
      </w:r>
      <w:r>
        <w:rPr>
          <w:rFonts w:hint="default" w:cs="Times New Roman"/>
          <w:color w:val="auto"/>
          <w:highlight w:val="none"/>
        </w:rPr>
        <w:t>、重要水源地等区域为重点，加大水土流失预防保护力度，促进生态自我修复和区域水土保持功能提升。</w:t>
      </w:r>
    </w:p>
    <w:p>
      <w:pPr>
        <w:pStyle w:val="12"/>
        <w:ind w:firstLine="560"/>
        <w:rPr>
          <w:rFonts w:eastAsia="仿宋"/>
          <w:color w:val="auto"/>
          <w:szCs w:val="28"/>
          <w:highlight w:val="none"/>
          <w:lang w:val="en-US"/>
        </w:rPr>
      </w:pPr>
      <w:r>
        <w:rPr>
          <w:rFonts w:eastAsia="仿宋"/>
          <w:color w:val="auto"/>
          <w:szCs w:val="28"/>
          <w:highlight w:val="none"/>
          <w:lang w:val="en-US"/>
        </w:rPr>
        <w:t>2）积极开展山区丘陵区小流域综合治理，大力推进生态退化地区的封禁保护力度，保护和恢复森林资源与生物多样性。</w:t>
      </w:r>
    </w:p>
    <w:p>
      <w:pPr>
        <w:rPr>
          <w:rFonts w:cs="Times New Roman"/>
          <w:color w:val="auto"/>
          <w:highlight w:val="none"/>
        </w:rPr>
      </w:pPr>
      <w:r>
        <w:rPr>
          <w:rFonts w:eastAsia="仿宋"/>
          <w:color w:val="auto"/>
          <w:szCs w:val="28"/>
          <w:highlight w:val="none"/>
          <w:lang w:val="en-US"/>
        </w:rPr>
        <w:t>3）</w:t>
      </w:r>
      <w:r>
        <w:rPr>
          <w:rFonts w:cs="Times New Roman"/>
          <w:color w:val="auto"/>
          <w:highlight w:val="none"/>
        </w:rPr>
        <w:t>加大区内矿山治理力度，加快建立矿山环境治理激励机制，把矿山环境治理与恢复工作纳入市场机制中，鼓励社会力量参与矿山环境治理。</w:t>
      </w:r>
    </w:p>
    <w:p>
      <w:pPr>
        <w:pStyle w:val="12"/>
        <w:ind w:firstLine="560"/>
        <w:rPr>
          <w:rFonts w:eastAsia="仿宋"/>
          <w:color w:val="auto"/>
          <w:szCs w:val="28"/>
          <w:highlight w:val="none"/>
          <w:lang w:val="en-US"/>
        </w:rPr>
      </w:pPr>
      <w:r>
        <w:rPr>
          <w:rFonts w:hint="eastAsia" w:eastAsia="仿宋"/>
          <w:color w:val="auto"/>
          <w:szCs w:val="28"/>
          <w:highlight w:val="none"/>
          <w:lang w:val="en-US" w:eastAsia="zh-CN"/>
        </w:rPr>
        <w:t>4</w:t>
      </w:r>
      <w:r>
        <w:rPr>
          <w:rFonts w:eastAsia="仿宋"/>
          <w:color w:val="auto"/>
          <w:szCs w:val="28"/>
          <w:highlight w:val="none"/>
          <w:lang w:val="en-US"/>
        </w:rPr>
        <w:t>）水土保持工程及生产建设项目应考虑风景名胜区和水源保护的相关规划，选择适宜的农、果、休闲旅游复合经营模式，助力乡村振兴。</w:t>
      </w:r>
    </w:p>
    <w:p>
      <w:pPr>
        <w:pStyle w:val="4"/>
        <w:spacing w:before="156"/>
        <w:ind w:firstLine="562"/>
        <w:rPr>
          <w:color w:val="auto"/>
          <w:highlight w:val="none"/>
          <w:lang w:val="en-GB"/>
        </w:rPr>
      </w:pPr>
      <w:r>
        <w:rPr>
          <w:color w:val="auto"/>
          <w:highlight w:val="none"/>
          <w:lang w:val="en-GB"/>
        </w:rPr>
        <w:t>1.4.2重点布局</w:t>
      </w:r>
      <w:bookmarkEnd w:id="44"/>
      <w:bookmarkEnd w:id="45"/>
    </w:p>
    <w:p>
      <w:pPr>
        <w:rPr>
          <w:color w:val="auto"/>
          <w:highlight w:val="none"/>
        </w:rPr>
      </w:pPr>
      <w:bookmarkStart w:id="46" w:name="_Toc516847571"/>
      <w:bookmarkStart w:id="47" w:name="_Toc528945976"/>
      <w:bookmarkStart w:id="48" w:name="_Toc27026"/>
      <w:bookmarkStart w:id="49" w:name="_Toc90399078"/>
      <w:bookmarkStart w:id="50" w:name="_Toc119515828"/>
      <w:bookmarkStart w:id="51" w:name="_Toc22217"/>
      <w:r>
        <w:rPr>
          <w:rFonts w:cs="Times New Roman"/>
          <w:color w:val="auto"/>
          <w:highlight w:val="none"/>
        </w:rPr>
        <w:t>依据《水土流失重点防治区划分导则》（SL717-2015），同级水土流失重点预防区和重点治理区不应交叉，各级水土流失重点防治区在空间上不能重叠，因此，柳江区水土流失重点防治区划分需以国家级、省级、市级水土流失重点防治区划分成果为依托，</w:t>
      </w:r>
      <w:r>
        <w:rPr>
          <w:rFonts w:hint="eastAsia"/>
          <w:color w:val="auto"/>
          <w:highlight w:val="none"/>
        </w:rPr>
        <w:t>对上级已划分区域不再重复划定。根据</w:t>
      </w:r>
      <w:r>
        <w:rPr>
          <w:rFonts w:cs="Times New Roman"/>
          <w:color w:val="auto"/>
          <w:highlight w:val="none"/>
        </w:rPr>
        <w:t>《广西壮族自治区人民政府关于划分水土流失重点防治区的通知》（桂政发〔2017〕5号）</w:t>
      </w:r>
      <w:r>
        <w:rPr>
          <w:color w:val="auto"/>
          <w:highlight w:val="none"/>
        </w:rPr>
        <w:t>，柳江区</w:t>
      </w:r>
      <w:r>
        <w:rPr>
          <w:rFonts w:hint="eastAsia"/>
          <w:color w:val="auto"/>
          <w:highlight w:val="none"/>
        </w:rPr>
        <w:t>属于</w:t>
      </w:r>
      <w:r>
        <w:rPr>
          <w:color w:val="auto"/>
          <w:highlight w:val="none"/>
        </w:rPr>
        <w:t>桂中低山丘陵自治区级水土流失重点治理区。</w:t>
      </w:r>
      <w:r>
        <w:rPr>
          <w:rFonts w:hint="eastAsia"/>
          <w:color w:val="auto"/>
          <w:highlight w:val="none"/>
        </w:rPr>
        <w:t>故本次规划不再对</w:t>
      </w:r>
      <w:r>
        <w:rPr>
          <w:color w:val="auto"/>
          <w:highlight w:val="none"/>
        </w:rPr>
        <w:t>柳江区</w:t>
      </w:r>
      <w:r>
        <w:rPr>
          <w:rFonts w:hint="eastAsia"/>
          <w:color w:val="auto"/>
          <w:highlight w:val="none"/>
        </w:rPr>
        <w:t>进行县级水土流失重点防治区划分。</w:t>
      </w:r>
    </w:p>
    <w:p>
      <w:pPr>
        <w:pStyle w:val="3"/>
        <w:spacing w:before="156"/>
        <w:ind w:firstLine="602"/>
        <w:rPr>
          <w:color w:val="auto"/>
          <w:highlight w:val="none"/>
        </w:rPr>
      </w:pPr>
      <w:r>
        <w:rPr>
          <w:color w:val="auto"/>
          <w:highlight w:val="none"/>
        </w:rPr>
        <w:t>1.</w:t>
      </w:r>
      <w:bookmarkEnd w:id="46"/>
      <w:bookmarkEnd w:id="47"/>
      <w:bookmarkEnd w:id="48"/>
      <w:r>
        <w:rPr>
          <w:color w:val="auto"/>
          <w:highlight w:val="none"/>
        </w:rPr>
        <w:t>5</w:t>
      </w:r>
      <w:r>
        <w:rPr>
          <w:color w:val="auto"/>
          <w:highlight w:val="none"/>
          <w:lang w:val="en-US"/>
        </w:rPr>
        <w:t>预防保护</w:t>
      </w:r>
      <w:bookmarkEnd w:id="49"/>
      <w:bookmarkEnd w:id="50"/>
      <w:bookmarkEnd w:id="51"/>
    </w:p>
    <w:p>
      <w:pPr>
        <w:pStyle w:val="12"/>
        <w:ind w:firstLine="560"/>
        <w:rPr>
          <w:color w:val="auto"/>
          <w:szCs w:val="28"/>
          <w:highlight w:val="none"/>
        </w:rPr>
      </w:pPr>
      <w:r>
        <w:rPr>
          <w:color w:val="auto"/>
          <w:szCs w:val="28"/>
          <w:highlight w:val="none"/>
          <w:lang w:val="en-US"/>
        </w:rPr>
        <w:t>根据预防范围确定的原则以及柳江区的实际情况，柳江区预防保护的范围</w:t>
      </w:r>
      <w:r>
        <w:rPr>
          <w:color w:val="auto"/>
          <w:szCs w:val="28"/>
          <w:highlight w:val="none"/>
        </w:rPr>
        <w:t>为整个柳江区，在对全县区陡坡及荒坡垦殖、林木采伐、农林开发、取土采石等生产建设活动及生产建设项目采取综合监管、实施全面预防的基础上，重点推进崩塌、滑坡、泥石流易发区，饮用水水源保护区，</w:t>
      </w:r>
      <w:r>
        <w:rPr>
          <w:rFonts w:hint="eastAsia"/>
          <w:color w:val="auto"/>
          <w:szCs w:val="28"/>
          <w:highlight w:val="none"/>
          <w:lang w:val="en-US" w:eastAsia="zh-CN"/>
        </w:rPr>
        <w:t>风景名胜区、湿地公园、</w:t>
      </w:r>
      <w:r>
        <w:rPr>
          <w:color w:val="auto"/>
          <w:szCs w:val="28"/>
          <w:highlight w:val="none"/>
        </w:rPr>
        <w:t>湖泊和水库周边区域的预防和保护工作。</w:t>
      </w:r>
    </w:p>
    <w:p>
      <w:pPr>
        <w:rPr>
          <w:rFonts w:cs="Times New Roman"/>
          <w:color w:val="auto"/>
          <w:highlight w:val="none"/>
        </w:rPr>
      </w:pPr>
      <w:r>
        <w:rPr>
          <w:rFonts w:cs="Times New Roman"/>
          <w:color w:val="auto"/>
          <w:highlight w:val="none"/>
          <w:lang w:val="en-GB"/>
        </w:rPr>
        <w:t>柳江区规划新增</w:t>
      </w:r>
      <w:r>
        <w:rPr>
          <w:rFonts w:cs="Times New Roman"/>
          <w:color w:val="auto"/>
          <w:highlight w:val="none"/>
        </w:rPr>
        <w:t>水土流失</w:t>
      </w:r>
      <w:r>
        <w:rPr>
          <w:rFonts w:cs="Times New Roman"/>
          <w:color w:val="auto"/>
          <w:highlight w:val="none"/>
          <w:lang w:val="en-GB"/>
        </w:rPr>
        <w:t>预防保护面积</w:t>
      </w:r>
      <w:r>
        <w:rPr>
          <w:rFonts w:hint="eastAsia"/>
          <w:color w:val="auto"/>
          <w:szCs w:val="28"/>
          <w:highlight w:val="none"/>
          <w:lang w:val="en-US" w:eastAsia="zh-CN"/>
        </w:rPr>
        <w:t>56.50</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。2022</w:t>
      </w:r>
      <w:r>
        <w:rPr>
          <w:rFonts w:hint="eastAsia" w:cs="Times New Roman"/>
          <w:color w:val="auto"/>
          <w:highlight w:val="none"/>
          <w:lang w:val="en-GB" w:eastAsia="zh-CN"/>
        </w:rPr>
        <w:t>—</w:t>
      </w:r>
      <w:r>
        <w:rPr>
          <w:rFonts w:cs="Times New Roman"/>
          <w:color w:val="auto"/>
          <w:highlight w:val="none"/>
        </w:rPr>
        <w:t>2025年，柳江区规划新增水土流失</w:t>
      </w:r>
      <w:r>
        <w:rPr>
          <w:rFonts w:cs="Times New Roman"/>
          <w:color w:val="auto"/>
          <w:highlight w:val="none"/>
          <w:lang w:val="en-GB"/>
        </w:rPr>
        <w:t>预防保护面积</w:t>
      </w:r>
      <w:r>
        <w:rPr>
          <w:rFonts w:hint="eastAsia"/>
          <w:color w:val="auto"/>
          <w:szCs w:val="28"/>
          <w:highlight w:val="none"/>
          <w:lang w:val="en-US" w:eastAsia="zh-CN"/>
        </w:rPr>
        <w:t>24.65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w:t>
      </w:r>
      <w:r>
        <w:rPr>
          <w:rFonts w:cs="Times New Roman"/>
          <w:color w:val="auto"/>
          <w:highlight w:val="none"/>
        </w:rPr>
        <w:t>崩塌危害隐患点</w:t>
      </w:r>
      <w:r>
        <w:rPr>
          <w:rFonts w:hint="eastAsia" w:cs="Times New Roman"/>
          <w:color w:val="auto"/>
          <w:highlight w:val="none"/>
          <w:lang w:val="en-US" w:eastAsia="zh-CN"/>
        </w:rPr>
        <w:t>、湿地公园和旅游景区</w:t>
      </w:r>
      <w:r>
        <w:rPr>
          <w:rFonts w:cs="Times New Roman"/>
          <w:color w:val="auto"/>
          <w:highlight w:val="none"/>
        </w:rPr>
        <w:t>得到全面预防保护</w:t>
      </w:r>
      <w:r>
        <w:rPr>
          <w:color w:val="auto"/>
          <w:szCs w:val="28"/>
          <w:highlight w:val="none"/>
          <w:lang w:val="en-US"/>
        </w:rPr>
        <w:t>，</w:t>
      </w:r>
      <w:r>
        <w:rPr>
          <w:rFonts w:cs="Times New Roman"/>
          <w:color w:val="auto"/>
          <w:highlight w:val="none"/>
        </w:rPr>
        <w:t>使生态脆弱地区的水土流失有所减轻，防范地质灾</w:t>
      </w:r>
      <w:r>
        <w:rPr>
          <w:rFonts w:cs="Times New Roman"/>
          <w:color w:val="auto"/>
          <w:highlight w:val="none"/>
          <w:lang w:val="en-GB"/>
        </w:rPr>
        <w:t>害的发生。2026</w:t>
      </w:r>
      <w:r>
        <w:rPr>
          <w:rFonts w:hint="eastAsia" w:cs="Times New Roman"/>
          <w:color w:val="auto"/>
          <w:highlight w:val="none"/>
          <w:lang w:val="en-GB" w:eastAsia="zh-CN"/>
        </w:rPr>
        <w:t>—</w:t>
      </w:r>
      <w:r>
        <w:rPr>
          <w:rFonts w:cs="Times New Roman"/>
          <w:color w:val="auto"/>
          <w:highlight w:val="none"/>
          <w:lang w:val="en-GB"/>
        </w:rPr>
        <w:t>2030年，规划</w:t>
      </w:r>
      <w:r>
        <w:rPr>
          <w:rFonts w:cs="Times New Roman"/>
          <w:color w:val="auto"/>
          <w:highlight w:val="none"/>
        </w:rPr>
        <w:t>新增水土流失</w:t>
      </w:r>
      <w:r>
        <w:rPr>
          <w:rFonts w:cs="Times New Roman"/>
          <w:color w:val="auto"/>
          <w:highlight w:val="none"/>
          <w:lang w:val="en-GB"/>
        </w:rPr>
        <w:t>预防保护面积</w:t>
      </w:r>
      <w:r>
        <w:rPr>
          <w:rFonts w:cs="Times New Roman"/>
          <w:color w:val="auto"/>
          <w:highlight w:val="none"/>
        </w:rPr>
        <w:t>31.85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，使</w:t>
      </w:r>
      <w:r>
        <w:rPr>
          <w:rFonts w:cs="Times New Roman"/>
          <w:color w:val="auto"/>
          <w:highlight w:val="none"/>
        </w:rPr>
        <w:t>饮用</w:t>
      </w:r>
      <w:r>
        <w:rPr>
          <w:rFonts w:cs="Times New Roman"/>
          <w:color w:val="auto"/>
          <w:highlight w:val="none"/>
          <w:lang w:val="en-GB"/>
        </w:rPr>
        <w:t>水</w:t>
      </w:r>
      <w:r>
        <w:rPr>
          <w:rFonts w:cs="Times New Roman"/>
          <w:color w:val="auto"/>
          <w:highlight w:val="none"/>
        </w:rPr>
        <w:t>水源地、重要江河源头保护区</w:t>
      </w:r>
      <w:r>
        <w:rPr>
          <w:rFonts w:cs="Times New Roman"/>
          <w:color w:val="auto"/>
          <w:highlight w:val="none"/>
          <w:lang w:val="en-GB"/>
        </w:rPr>
        <w:t>水质有所改善，重要</w:t>
      </w:r>
      <w:r>
        <w:rPr>
          <w:rFonts w:cs="Times New Roman"/>
          <w:color w:val="auto"/>
          <w:highlight w:val="none"/>
        </w:rPr>
        <w:t>生态敏感区的</w:t>
      </w:r>
      <w:r>
        <w:rPr>
          <w:rFonts w:cs="Times New Roman"/>
          <w:color w:val="auto"/>
          <w:highlight w:val="none"/>
          <w:lang w:val="en-GB"/>
        </w:rPr>
        <w:t>水土流失有所减轻。</w:t>
      </w:r>
    </w:p>
    <w:p>
      <w:pPr>
        <w:pStyle w:val="3"/>
        <w:spacing w:before="156"/>
        <w:ind w:firstLine="602"/>
        <w:rPr>
          <w:color w:val="auto"/>
          <w:highlight w:val="none"/>
          <w:lang w:val="en-US"/>
        </w:rPr>
      </w:pPr>
      <w:bookmarkStart w:id="52" w:name="_Toc528945977"/>
      <w:bookmarkStart w:id="53" w:name="_Toc28947"/>
      <w:bookmarkStart w:id="54" w:name="_Toc516847572"/>
      <w:bookmarkStart w:id="55" w:name="_Toc90399079"/>
      <w:bookmarkStart w:id="56" w:name="_Toc18190"/>
      <w:bookmarkStart w:id="57" w:name="_Toc119515829"/>
      <w:r>
        <w:rPr>
          <w:color w:val="auto"/>
          <w:highlight w:val="none"/>
        </w:rPr>
        <w:t>1.</w:t>
      </w:r>
      <w:bookmarkEnd w:id="52"/>
      <w:bookmarkEnd w:id="53"/>
      <w:bookmarkEnd w:id="54"/>
      <w:r>
        <w:rPr>
          <w:color w:val="auto"/>
          <w:highlight w:val="none"/>
        </w:rPr>
        <w:t>6</w:t>
      </w:r>
      <w:r>
        <w:rPr>
          <w:color w:val="auto"/>
          <w:highlight w:val="none"/>
          <w:lang w:val="en-US"/>
        </w:rPr>
        <w:t>综合治理</w:t>
      </w:r>
      <w:bookmarkEnd w:id="55"/>
      <w:bookmarkEnd w:id="56"/>
      <w:bookmarkEnd w:id="57"/>
    </w:p>
    <w:p>
      <w:pPr>
        <w:rPr>
          <w:rFonts w:cs="Times New Roman"/>
          <w:color w:val="auto"/>
          <w:highlight w:val="none"/>
        </w:rPr>
      </w:pPr>
      <w:r>
        <w:rPr>
          <w:rFonts w:cs="Times New Roman"/>
          <w:color w:val="auto"/>
          <w:highlight w:val="none"/>
        </w:rPr>
        <w:t>柳江区不涉及国家级、柳州市级重点防治区，涉及1个自治区级水土流失重点治理区，</w:t>
      </w:r>
      <w:r>
        <w:rPr>
          <w:color w:val="auto"/>
          <w:highlight w:val="none"/>
        </w:rPr>
        <w:t>区划名称为桂中低山丘陵自治区级水土流失重点治理区</w:t>
      </w:r>
      <w:r>
        <w:rPr>
          <w:rFonts w:cs="Times New Roman"/>
          <w:color w:val="auto"/>
          <w:highlight w:val="none"/>
        </w:rPr>
        <w:t>。根据《水土流失重点防治区划分导则》（SL717-2015）要求，同级水土流失重点预防区和重点治理区不应交叉，各级水土流失重点防治区在空间上不能重叠，本次规划暂不划定柳江区县级水土流失重点治理区。根据《柳州市水土保持规划（2019</w:t>
      </w:r>
      <w:r>
        <w:rPr>
          <w:rFonts w:hint="eastAsia" w:cs="Times New Roman"/>
          <w:color w:val="auto"/>
          <w:highlight w:val="none"/>
          <w:lang w:eastAsia="zh-CN"/>
        </w:rPr>
        <w:t>～</w:t>
      </w:r>
      <w:r>
        <w:rPr>
          <w:rFonts w:cs="Times New Roman"/>
          <w:color w:val="auto"/>
          <w:highlight w:val="none"/>
        </w:rPr>
        <w:t>2030</w:t>
      </w:r>
      <w:r>
        <w:rPr>
          <w:rFonts w:hint="eastAsia" w:cs="Times New Roman"/>
          <w:color w:val="auto"/>
          <w:highlight w:val="none"/>
          <w:lang w:val="en-US" w:eastAsia="zh-CN"/>
        </w:rPr>
        <w:t>年</w:t>
      </w:r>
      <w:r>
        <w:rPr>
          <w:rFonts w:hint="eastAsia" w:cs="Times New Roman"/>
          <w:color w:val="auto"/>
          <w:highlight w:val="none"/>
          <w:lang w:eastAsia="zh-CN"/>
        </w:rPr>
        <w:t>）</w:t>
      </w:r>
      <w:r>
        <w:rPr>
          <w:rFonts w:cs="Times New Roman"/>
          <w:color w:val="auto"/>
          <w:highlight w:val="none"/>
        </w:rPr>
        <w:t>》本次规划的治理范围主要包括：里高镇、成团镇影响人类居住环境和农林业生产的水土流失区域；柳江区其他影响人类居住环境的水土流失区域。</w:t>
      </w:r>
    </w:p>
    <w:p>
      <w:pPr>
        <w:rPr>
          <w:rFonts w:cs="Times New Roman"/>
          <w:color w:val="auto"/>
          <w:highlight w:val="none"/>
          <w:lang w:val="en-US" w:eastAsia="zh-CN"/>
        </w:rPr>
      </w:pPr>
      <w:r>
        <w:rPr>
          <w:rFonts w:cs="Times New Roman"/>
          <w:color w:val="auto"/>
          <w:highlight w:val="none"/>
          <w:lang w:val="en-US" w:eastAsia="zh-CN"/>
        </w:rPr>
        <w:t>治理措施体系主要包括林草种植（水土保持林、经济果木林）、封禁治理、</w:t>
      </w:r>
      <w:r>
        <w:rPr>
          <w:rFonts w:hint="eastAsia" w:cs="Times New Roman"/>
          <w:color w:val="auto"/>
          <w:highlight w:val="none"/>
          <w:lang w:val="en-US" w:eastAsia="zh-CN"/>
        </w:rPr>
        <w:t>坡耕地治理及配套</w:t>
      </w:r>
      <w:r>
        <w:rPr>
          <w:rFonts w:cs="Times New Roman"/>
          <w:color w:val="auto"/>
          <w:highlight w:val="none"/>
          <w:lang w:val="en-US" w:eastAsia="zh-CN"/>
        </w:rPr>
        <w:t>工程、</w:t>
      </w:r>
      <w:r>
        <w:rPr>
          <w:rFonts w:hint="eastAsia" w:cs="Times New Roman"/>
          <w:color w:val="auto"/>
          <w:highlight w:val="none"/>
          <w:lang w:val="en-US" w:eastAsia="zh-CN"/>
        </w:rPr>
        <w:t>石漠化治理、</w:t>
      </w:r>
      <w:r>
        <w:rPr>
          <w:rFonts w:cs="Times New Roman"/>
          <w:color w:val="auto"/>
          <w:highlight w:val="none"/>
          <w:lang w:val="en-US" w:eastAsia="zh-CN"/>
        </w:rPr>
        <w:t>河（沟）道及湖库周边整治、生态农业、面源污染防治、人居环境整治、生态护坡、生产建设项目的水土流失治理等治理措施。</w:t>
      </w:r>
    </w:p>
    <w:p>
      <w:pPr>
        <w:rPr>
          <w:rFonts w:cs="Times New Roman"/>
          <w:color w:val="auto"/>
          <w:highlight w:val="none"/>
        </w:rPr>
      </w:pPr>
      <w:r>
        <w:rPr>
          <w:rFonts w:cs="Times New Roman"/>
          <w:color w:val="auto"/>
          <w:highlight w:val="none"/>
          <w:lang w:val="en-GB"/>
        </w:rPr>
        <w:t>本规划确定了</w:t>
      </w:r>
      <w:r>
        <w:rPr>
          <w:rFonts w:cs="Times New Roman"/>
          <w:color w:val="auto"/>
          <w:highlight w:val="none"/>
        </w:rPr>
        <w:t>以水利部门牵头，在</w:t>
      </w:r>
      <w:r>
        <w:rPr>
          <w:rFonts w:cs="Times New Roman"/>
          <w:color w:val="auto"/>
          <w:highlight w:val="none"/>
          <w:lang w:val="en-GB"/>
        </w:rPr>
        <w:t>各部门、</w:t>
      </w:r>
      <w:r>
        <w:rPr>
          <w:rFonts w:cs="Times New Roman"/>
          <w:color w:val="auto"/>
          <w:highlight w:val="none"/>
        </w:rPr>
        <w:t>各行业和</w:t>
      </w:r>
      <w:r>
        <w:rPr>
          <w:rFonts w:cs="Times New Roman"/>
          <w:color w:val="auto"/>
          <w:highlight w:val="none"/>
          <w:lang w:val="en-GB"/>
        </w:rPr>
        <w:t>社会力量</w:t>
      </w:r>
      <w:r>
        <w:rPr>
          <w:rFonts w:cs="Times New Roman"/>
          <w:color w:val="auto"/>
          <w:highlight w:val="none"/>
        </w:rPr>
        <w:t>的共同努力下</w:t>
      </w:r>
      <w:r>
        <w:rPr>
          <w:rFonts w:cs="Times New Roman"/>
          <w:color w:val="auto"/>
          <w:highlight w:val="none"/>
          <w:lang w:val="en-GB"/>
        </w:rPr>
        <w:t>，</w:t>
      </w:r>
      <w:r>
        <w:rPr>
          <w:rFonts w:cs="Times New Roman"/>
          <w:color w:val="auto"/>
          <w:highlight w:val="none"/>
        </w:rPr>
        <w:t>到2030年柳江区将累计新增水土流失治理面积162.85km</w:t>
      </w:r>
      <w:r>
        <w:rPr>
          <w:rFonts w:cs="Times New Roman"/>
          <w:color w:val="auto"/>
          <w:highlight w:val="none"/>
          <w:vertAlign w:val="superscript"/>
        </w:rPr>
        <w:t>2</w:t>
      </w:r>
      <w:r>
        <w:rPr>
          <w:rFonts w:cs="Times New Roman"/>
          <w:color w:val="auto"/>
          <w:highlight w:val="none"/>
        </w:rPr>
        <w:t>，其中水利部门综合治理面积</w:t>
      </w:r>
      <w:r>
        <w:rPr>
          <w:rFonts w:hint="eastAsia" w:cs="Times New Roman"/>
          <w:color w:val="auto"/>
          <w:highlight w:val="none"/>
          <w:lang w:val="en-US" w:eastAsia="zh-CN"/>
        </w:rPr>
        <w:t>32.57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，其他部门生态建设项目及社会力量综合治理面积</w:t>
      </w:r>
      <w:r>
        <w:rPr>
          <w:rFonts w:hint="eastAsia" w:cs="Times New Roman"/>
          <w:color w:val="auto"/>
          <w:highlight w:val="none"/>
          <w:lang w:val="en-US" w:eastAsia="zh-CN"/>
        </w:rPr>
        <w:t>130.28</w:t>
      </w:r>
      <w:r>
        <w:rPr>
          <w:rFonts w:cs="Times New Roman"/>
          <w:color w:val="auto"/>
          <w:highlight w:val="none"/>
        </w:rPr>
        <w:t xml:space="preserve"> km</w:t>
      </w:r>
      <w:r>
        <w:rPr>
          <w:rFonts w:cs="Times New Roman"/>
          <w:color w:val="auto"/>
          <w:highlight w:val="none"/>
          <w:vertAlign w:val="superscript"/>
        </w:rPr>
        <w:t>2</w:t>
      </w:r>
      <w:r>
        <w:rPr>
          <w:rFonts w:cs="Times New Roman"/>
          <w:color w:val="auto"/>
          <w:highlight w:val="none"/>
        </w:rPr>
        <w:t>。规划近期（2022</w:t>
      </w:r>
      <w:r>
        <w:rPr>
          <w:rFonts w:hint="eastAsia" w:cs="Times New Roman"/>
          <w:color w:val="auto"/>
          <w:highlight w:val="none"/>
          <w:lang w:eastAsia="zh-CN"/>
        </w:rPr>
        <w:t>—</w:t>
      </w:r>
      <w:r>
        <w:rPr>
          <w:rFonts w:cs="Times New Roman"/>
          <w:color w:val="auto"/>
          <w:highlight w:val="none"/>
        </w:rPr>
        <w:t>2025年）综合治理面积73.85km</w:t>
      </w:r>
      <w:r>
        <w:rPr>
          <w:rFonts w:cs="Times New Roman"/>
          <w:color w:val="auto"/>
          <w:highlight w:val="none"/>
          <w:vertAlign w:val="superscript"/>
        </w:rPr>
        <w:t>2</w:t>
      </w:r>
      <w:r>
        <w:rPr>
          <w:rFonts w:cs="Times New Roman"/>
          <w:color w:val="auto"/>
          <w:highlight w:val="none"/>
        </w:rPr>
        <w:t>，远期（2026</w:t>
      </w:r>
      <w:r>
        <w:rPr>
          <w:rFonts w:hint="eastAsia" w:cs="Times New Roman"/>
          <w:color w:val="auto"/>
          <w:highlight w:val="none"/>
          <w:lang w:eastAsia="zh-CN"/>
        </w:rPr>
        <w:t>—</w:t>
      </w:r>
      <w:r>
        <w:rPr>
          <w:rFonts w:cs="Times New Roman"/>
          <w:color w:val="auto"/>
          <w:highlight w:val="none"/>
        </w:rPr>
        <w:t>2030年）综合治理面积</w:t>
      </w:r>
      <w:r>
        <w:rPr>
          <w:rFonts w:hint="eastAsia" w:cs="Times New Roman"/>
          <w:color w:val="auto"/>
          <w:highlight w:val="none"/>
          <w:lang w:val="en-US" w:eastAsia="zh-CN"/>
        </w:rPr>
        <w:t>90.47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w:t>
      </w:r>
    </w:p>
    <w:p>
      <w:pPr>
        <w:pStyle w:val="3"/>
        <w:spacing w:before="156"/>
        <w:ind w:firstLine="602"/>
        <w:rPr>
          <w:color w:val="auto"/>
          <w:highlight w:val="none"/>
        </w:rPr>
      </w:pPr>
      <w:bookmarkStart w:id="58" w:name="_Toc90399080"/>
      <w:bookmarkStart w:id="59" w:name="_Toc516847573"/>
      <w:bookmarkStart w:id="60" w:name="_Toc30614"/>
      <w:bookmarkStart w:id="61" w:name="_Toc119515830"/>
      <w:bookmarkStart w:id="62" w:name="_Toc528945978"/>
      <w:bookmarkStart w:id="63" w:name="_Toc977"/>
      <w:r>
        <w:rPr>
          <w:color w:val="auto"/>
          <w:highlight w:val="none"/>
        </w:rPr>
        <w:t>1.7监测规划</w:t>
      </w:r>
      <w:bookmarkEnd w:id="58"/>
      <w:bookmarkEnd w:id="59"/>
      <w:bookmarkEnd w:id="60"/>
      <w:bookmarkEnd w:id="61"/>
      <w:bookmarkEnd w:id="62"/>
      <w:bookmarkEnd w:id="63"/>
    </w:p>
    <w:p>
      <w:pPr>
        <w:rPr>
          <w:rFonts w:cs="Times New Roman"/>
          <w:color w:val="auto"/>
          <w:highlight w:val="none"/>
          <w:lang w:val="zh-CN"/>
        </w:rPr>
      </w:pPr>
      <w:r>
        <w:rPr>
          <w:rFonts w:hint="eastAsia" w:cs="Times New Roman"/>
          <w:color w:val="auto"/>
          <w:highlight w:val="none"/>
          <w:lang w:val="en-US" w:eastAsia="zh-CN"/>
        </w:rPr>
        <w:t>依托水土保持治理项目布设水土保持监测点，同时针对重要江河源头区即</w:t>
      </w:r>
      <w:r>
        <w:rPr>
          <w:rFonts w:cs="Times New Roman"/>
          <w:color w:val="auto"/>
          <w:highlight w:val="none"/>
        </w:rPr>
        <w:t>北之江柳江</w:t>
      </w:r>
      <w:r>
        <w:rPr>
          <w:rFonts w:hint="eastAsia" w:cs="Times New Roman"/>
          <w:color w:val="auto"/>
          <w:highlight w:val="none"/>
          <w:lang w:eastAsia="zh-CN"/>
        </w:rPr>
        <w:t>－</w:t>
      </w:r>
      <w:r>
        <w:rPr>
          <w:rFonts w:cs="Times New Roman"/>
          <w:color w:val="auto"/>
          <w:highlight w:val="none"/>
        </w:rPr>
        <w:t>忻城源头水保护区</w:t>
      </w:r>
      <w:r>
        <w:rPr>
          <w:rFonts w:hint="eastAsia" w:cs="Times New Roman"/>
          <w:color w:val="auto"/>
          <w:highlight w:val="none"/>
          <w:lang w:val="en-US" w:eastAsia="zh-CN"/>
        </w:rPr>
        <w:t>设立重点监测区域。</w:t>
      </w:r>
      <w:r>
        <w:rPr>
          <w:rFonts w:cs="Times New Roman"/>
          <w:color w:val="auto"/>
          <w:highlight w:val="none"/>
        </w:rPr>
        <w:t>通过开展生产建设项目水土保持监督性监测、重点工程项目区监测、水土保持特定区域监测、重大水土流失事件监测、水土流失违法事实监测，建立健全县区水土保持监测体系，及时</w:t>
      </w:r>
      <w:r>
        <w:rPr>
          <w:rFonts w:cs="Times New Roman"/>
          <w:color w:val="auto"/>
          <w:highlight w:val="none"/>
          <w:lang w:val="zh-CN"/>
        </w:rPr>
        <w:t>掌握</w:t>
      </w:r>
      <w:r>
        <w:rPr>
          <w:rFonts w:cs="Times New Roman"/>
          <w:color w:val="auto"/>
          <w:highlight w:val="none"/>
        </w:rPr>
        <w:t>重点地区、重点项目的</w:t>
      </w:r>
      <w:r>
        <w:rPr>
          <w:rFonts w:cs="Times New Roman"/>
          <w:color w:val="auto"/>
          <w:highlight w:val="none"/>
          <w:lang w:val="zh-CN"/>
        </w:rPr>
        <w:t>水土流失</w:t>
      </w:r>
      <w:r>
        <w:rPr>
          <w:rFonts w:cs="Times New Roman"/>
          <w:color w:val="auto"/>
          <w:highlight w:val="none"/>
        </w:rPr>
        <w:t>状况</w:t>
      </w:r>
      <w:r>
        <w:rPr>
          <w:rFonts w:cs="Times New Roman"/>
          <w:color w:val="auto"/>
          <w:highlight w:val="none"/>
          <w:lang w:val="zh-CN"/>
        </w:rPr>
        <w:t>和消长情况，</w:t>
      </w:r>
      <w:r>
        <w:rPr>
          <w:rFonts w:cs="Times New Roman"/>
          <w:color w:val="auto"/>
          <w:highlight w:val="none"/>
        </w:rPr>
        <w:t>分析其变化趋势，评价水土流失防治效果，进一步强化柳江区</w:t>
      </w:r>
      <w:r>
        <w:rPr>
          <w:rFonts w:cs="Times New Roman"/>
          <w:color w:val="auto"/>
          <w:highlight w:val="none"/>
          <w:lang w:val="zh-CN"/>
        </w:rPr>
        <w:t>水土保持监测工作，更好地为政府决策、社会经济发展和社会公众服务等提供科学依据。</w:t>
      </w:r>
    </w:p>
    <w:p>
      <w:pPr>
        <w:pStyle w:val="3"/>
        <w:spacing w:before="156"/>
        <w:ind w:firstLine="602"/>
        <w:rPr>
          <w:color w:val="auto"/>
          <w:highlight w:val="none"/>
        </w:rPr>
      </w:pPr>
      <w:bookmarkStart w:id="64" w:name="_Toc516847574"/>
      <w:bookmarkStart w:id="65" w:name="_Toc119515831"/>
      <w:bookmarkStart w:id="66" w:name="_Toc19559"/>
      <w:bookmarkStart w:id="67" w:name="_Toc90399081"/>
      <w:bookmarkStart w:id="68" w:name="_Toc528945979"/>
      <w:bookmarkStart w:id="69" w:name="_Toc810"/>
      <w:r>
        <w:rPr>
          <w:color w:val="auto"/>
          <w:highlight w:val="none"/>
        </w:rPr>
        <w:t>1.8综合监管</w:t>
      </w:r>
      <w:bookmarkEnd w:id="64"/>
      <w:bookmarkEnd w:id="65"/>
      <w:bookmarkEnd w:id="66"/>
      <w:bookmarkEnd w:id="67"/>
      <w:bookmarkEnd w:id="68"/>
      <w:bookmarkEnd w:id="69"/>
    </w:p>
    <w:p>
      <w:pPr>
        <w:rPr>
          <w:rFonts w:hint="eastAsia" w:cs="Times New Roman"/>
          <w:color w:val="auto"/>
          <w:highlight w:val="none"/>
          <w:lang w:eastAsia="zh-CN"/>
        </w:rPr>
      </w:pPr>
      <w:r>
        <w:rPr>
          <w:rFonts w:cs="Times New Roman"/>
          <w:color w:val="auto"/>
          <w:highlight w:val="none"/>
        </w:rPr>
        <w:t>柳江区在新时期要强化人为水土流失监管，以</w:t>
      </w:r>
      <w:r>
        <w:rPr>
          <w:rFonts w:hint="eastAsia" w:cs="Times New Roman"/>
          <w:color w:val="auto"/>
          <w:highlight w:val="none"/>
        </w:rPr>
        <w:t>完善监管制度和标准体系</w:t>
      </w:r>
      <w:r>
        <w:rPr>
          <w:rFonts w:cs="Times New Roman"/>
          <w:color w:val="auto"/>
          <w:highlight w:val="none"/>
        </w:rPr>
        <w:t>为重点，</w:t>
      </w:r>
      <w:r>
        <w:rPr>
          <w:rFonts w:hint="eastAsia" w:cs="Times New Roman"/>
          <w:color w:val="auto"/>
          <w:highlight w:val="none"/>
        </w:rPr>
        <w:t>创新改进监管方式</w:t>
      </w:r>
      <w:r>
        <w:rPr>
          <w:rFonts w:cs="Times New Roman"/>
          <w:color w:val="auto"/>
          <w:highlight w:val="none"/>
        </w:rPr>
        <w:t>，</w:t>
      </w:r>
      <w:r>
        <w:rPr>
          <w:rFonts w:hint="eastAsia" w:cs="Times New Roman"/>
          <w:color w:val="auto"/>
          <w:highlight w:val="none"/>
        </w:rPr>
        <w:t>构建完善协同监管机制</w:t>
      </w:r>
      <w:r>
        <w:rPr>
          <w:rFonts w:hint="eastAsia" w:cs="Times New Roman"/>
          <w:color w:val="auto"/>
          <w:highlight w:val="none"/>
          <w:lang w:eastAsia="zh-CN"/>
        </w:rPr>
        <w:t>，加强部门间协同监管和联动执法。</w:t>
      </w:r>
      <w:r>
        <w:rPr>
          <w:rFonts w:hint="eastAsia" w:cs="Times New Roman"/>
          <w:color w:val="auto"/>
          <w:highlight w:val="none"/>
        </w:rPr>
        <w:t>依法强化企业责任落实</w:t>
      </w:r>
      <w:r>
        <w:rPr>
          <w:rFonts w:hint="eastAsia" w:cs="Times New Roman"/>
          <w:color w:val="auto"/>
          <w:highlight w:val="none"/>
          <w:lang w:eastAsia="zh-CN"/>
        </w:rPr>
        <w:t>，严格生产建设项目水土保持方案审批，加强生产建设项目水土保持全链条全过程监管。健全水行政主管部门与各生产建设项目行业主管部门的沟通协调机制，协同做好生产建设项目水土保持监管和指导。</w:t>
      </w:r>
    </w:p>
    <w:p>
      <w:pPr>
        <w:spacing w:line="600" w:lineRule="exact"/>
        <w:ind w:firstLine="560" w:firstLineChars="200"/>
        <w:rPr>
          <w:rFonts w:hint="eastAsia" w:cs="Times New Roman"/>
          <w:color w:val="auto"/>
          <w:highlight w:val="none"/>
          <w:lang w:eastAsia="zh-CN"/>
        </w:rPr>
      </w:pPr>
      <w:r>
        <w:rPr>
          <w:rFonts w:hint="eastAsia" w:cs="Times New Roman"/>
          <w:color w:val="auto"/>
          <w:highlight w:val="none"/>
          <w:lang w:val="en-US" w:eastAsia="zh-CN"/>
        </w:rPr>
        <w:t>由柳江区人民政府牵头，</w:t>
      </w:r>
      <w:r>
        <w:rPr>
          <w:rFonts w:hint="eastAsia" w:cs="Times New Roman"/>
          <w:color w:val="auto"/>
          <w:highlight w:val="none"/>
          <w:lang w:eastAsia="zh-CN"/>
        </w:rPr>
        <w:t>成立</w:t>
      </w:r>
      <w:r>
        <w:rPr>
          <w:rFonts w:hint="eastAsia" w:cs="Times New Roman"/>
          <w:color w:val="auto"/>
          <w:highlight w:val="none"/>
          <w:lang w:val="en-US" w:eastAsia="zh-CN"/>
        </w:rPr>
        <w:t>柳江区</w:t>
      </w:r>
      <w:r>
        <w:rPr>
          <w:rFonts w:hint="eastAsia" w:cs="Times New Roman"/>
          <w:color w:val="auto"/>
          <w:highlight w:val="none"/>
          <w:lang w:eastAsia="zh-CN"/>
        </w:rPr>
        <w:t>水土保持工作委员会，</w:t>
      </w:r>
      <w:r>
        <w:rPr>
          <w:rFonts w:hint="eastAsia" w:cs="Times New Roman"/>
          <w:color w:val="auto"/>
          <w:highlight w:val="none"/>
          <w:lang w:val="en-US" w:eastAsia="zh-CN"/>
        </w:rPr>
        <w:t>由柳州市柳江区政府主要领导人任会长，柳州市柳江区</w:t>
      </w:r>
      <w:r>
        <w:rPr>
          <w:rFonts w:hint="eastAsia" w:cs="Times New Roman"/>
          <w:color w:val="auto"/>
          <w:highlight w:val="none"/>
          <w:lang w:eastAsia="zh-CN"/>
        </w:rPr>
        <w:t>发展改革局、财政局、自然资源局、住房城乡建设局、水利局、农业农村局、乡村振兴局、生态环境局、林业局</w:t>
      </w:r>
      <w:r>
        <w:rPr>
          <w:rFonts w:hint="eastAsia" w:cs="Times New Roman"/>
          <w:color w:val="auto"/>
          <w:highlight w:val="none"/>
          <w:lang w:val="en-US" w:eastAsia="zh-CN"/>
        </w:rPr>
        <w:t>等部门任成员单位。</w:t>
      </w:r>
      <w:r>
        <w:rPr>
          <w:rFonts w:hint="eastAsia" w:cs="Times New Roman"/>
          <w:color w:val="auto"/>
          <w:highlight w:val="none"/>
          <w:lang w:eastAsia="zh-CN"/>
        </w:rPr>
        <w:t>水土保持工作委员会</w:t>
      </w:r>
      <w:r>
        <w:rPr>
          <w:rFonts w:hint="eastAsia" w:cs="Times New Roman"/>
          <w:color w:val="auto"/>
          <w:highlight w:val="none"/>
          <w:lang w:val="en-US" w:eastAsia="zh-CN"/>
        </w:rPr>
        <w:t>负责</w:t>
      </w:r>
      <w:r>
        <w:rPr>
          <w:rFonts w:hint="eastAsia" w:cs="Times New Roman"/>
          <w:color w:val="auto"/>
          <w:highlight w:val="none"/>
          <w:lang w:eastAsia="zh-CN"/>
        </w:rPr>
        <w:t>组织协调</w:t>
      </w:r>
      <w:r>
        <w:rPr>
          <w:rFonts w:hint="eastAsia" w:cs="Times New Roman"/>
          <w:color w:val="auto"/>
          <w:highlight w:val="none"/>
          <w:lang w:val="en-US" w:eastAsia="zh-CN"/>
        </w:rPr>
        <w:t>县区</w:t>
      </w:r>
      <w:r>
        <w:rPr>
          <w:rFonts w:hint="eastAsia" w:cs="Times New Roman"/>
          <w:color w:val="auto"/>
          <w:highlight w:val="none"/>
          <w:lang w:eastAsia="zh-CN"/>
        </w:rPr>
        <w:t>水土保持工作，研究重大水土保持改革和发展政策，制定相应措施；组织制定并实施</w:t>
      </w:r>
      <w:r>
        <w:rPr>
          <w:rFonts w:hint="eastAsia" w:cs="Times New Roman"/>
          <w:color w:val="auto"/>
          <w:highlight w:val="none"/>
          <w:lang w:val="en-US" w:eastAsia="zh-CN"/>
        </w:rPr>
        <w:t>柳江区</w:t>
      </w:r>
      <w:r>
        <w:rPr>
          <w:rFonts w:hint="eastAsia" w:cs="Times New Roman"/>
          <w:color w:val="auto"/>
          <w:highlight w:val="none"/>
          <w:lang w:eastAsia="zh-CN"/>
        </w:rPr>
        <w:t>水土保持规划；分解落实各乡镇及各部门年度水土流失防治任务；积极筹措水土保持资金，加快推进水土流失综合治理；加强水土保持综合监管，组织全</w:t>
      </w:r>
      <w:r>
        <w:rPr>
          <w:rFonts w:hint="eastAsia" w:cs="Times New Roman"/>
          <w:color w:val="auto"/>
          <w:highlight w:val="none"/>
          <w:lang w:val="en-US" w:eastAsia="zh-CN"/>
        </w:rPr>
        <w:t>区</w:t>
      </w:r>
      <w:r>
        <w:rPr>
          <w:rFonts w:hint="eastAsia" w:cs="Times New Roman"/>
          <w:color w:val="auto"/>
          <w:highlight w:val="none"/>
          <w:lang w:eastAsia="zh-CN"/>
        </w:rPr>
        <w:t>水土保持预防监督执法检查等有关工作。</w:t>
      </w:r>
    </w:p>
    <w:p>
      <w:pPr>
        <w:pStyle w:val="3"/>
        <w:spacing w:before="156"/>
        <w:ind w:firstLine="602"/>
        <w:rPr>
          <w:color w:val="auto"/>
          <w:highlight w:val="none"/>
        </w:rPr>
      </w:pPr>
      <w:bookmarkStart w:id="70" w:name="_Toc516847575"/>
      <w:bookmarkStart w:id="71" w:name="_Toc528945980"/>
      <w:bookmarkStart w:id="72" w:name="_Toc90399082"/>
      <w:bookmarkStart w:id="73" w:name="_Toc7493"/>
      <w:bookmarkStart w:id="74" w:name="_Toc7018"/>
      <w:bookmarkStart w:id="75" w:name="_Toc119515832"/>
      <w:r>
        <w:rPr>
          <w:color w:val="auto"/>
          <w:highlight w:val="none"/>
        </w:rPr>
        <w:t>1.9实施进度及投资匡算</w:t>
      </w:r>
      <w:bookmarkEnd w:id="70"/>
      <w:bookmarkEnd w:id="71"/>
      <w:bookmarkEnd w:id="72"/>
      <w:bookmarkEnd w:id="73"/>
      <w:bookmarkEnd w:id="74"/>
      <w:bookmarkEnd w:id="75"/>
    </w:p>
    <w:p>
      <w:pPr>
        <w:pStyle w:val="4"/>
        <w:spacing w:before="156"/>
        <w:ind w:firstLine="562"/>
        <w:rPr>
          <w:color w:val="auto"/>
          <w:highlight w:val="none"/>
          <w:lang w:val="en-GB"/>
        </w:rPr>
      </w:pPr>
      <w:bookmarkStart w:id="76" w:name="_Toc25201"/>
      <w:bookmarkStart w:id="77" w:name="_Toc1004"/>
      <w:bookmarkStart w:id="78" w:name="_Toc119515833"/>
      <w:r>
        <w:rPr>
          <w:color w:val="auto"/>
          <w:highlight w:val="none"/>
          <w:lang w:val="en-GB"/>
        </w:rPr>
        <w:t>1.9.1实施进度</w:t>
      </w:r>
      <w:bookmarkEnd w:id="76"/>
      <w:r>
        <w:rPr>
          <w:color w:val="auto"/>
          <w:highlight w:val="none"/>
          <w:lang w:val="en-GB"/>
        </w:rPr>
        <w:t>及重点项目安排</w:t>
      </w:r>
      <w:bookmarkEnd w:id="77"/>
      <w:bookmarkEnd w:id="78"/>
    </w:p>
    <w:p>
      <w:pPr>
        <w:rPr>
          <w:rFonts w:cs="Times New Roman"/>
          <w:color w:val="auto"/>
          <w:highlight w:val="none"/>
          <w:lang w:val="en-GB"/>
        </w:rPr>
      </w:pPr>
      <w:r>
        <w:rPr>
          <w:rFonts w:cs="Times New Roman"/>
          <w:color w:val="auto"/>
          <w:highlight w:val="none"/>
          <w:lang w:val="en-GB"/>
        </w:rPr>
        <w:t>（</w:t>
      </w:r>
      <w:r>
        <w:rPr>
          <w:rFonts w:cs="Times New Roman"/>
          <w:color w:val="auto"/>
          <w:highlight w:val="none"/>
        </w:rPr>
        <w:t>1</w:t>
      </w:r>
      <w:r>
        <w:rPr>
          <w:rFonts w:cs="Times New Roman"/>
          <w:color w:val="auto"/>
          <w:highlight w:val="none"/>
          <w:lang w:val="en-GB"/>
        </w:rPr>
        <w:t>）重点预防</w:t>
      </w:r>
      <w:r>
        <w:rPr>
          <w:rFonts w:cs="Times New Roman"/>
          <w:color w:val="auto"/>
          <w:highlight w:val="none"/>
        </w:rPr>
        <w:t>保护</w:t>
      </w:r>
      <w:r>
        <w:rPr>
          <w:rFonts w:cs="Times New Roman"/>
          <w:color w:val="auto"/>
          <w:highlight w:val="none"/>
          <w:lang w:val="en-GB"/>
        </w:rPr>
        <w:t>工程</w:t>
      </w:r>
    </w:p>
    <w:p>
      <w:pPr>
        <w:rPr>
          <w:rFonts w:cs="Times New Roman"/>
          <w:color w:val="auto"/>
          <w:highlight w:val="none"/>
        </w:rPr>
      </w:pPr>
      <w:r>
        <w:rPr>
          <w:rFonts w:eastAsia="华文仿宋" w:cs="Times New Roman"/>
          <w:color w:val="auto"/>
          <w:highlight w:val="none"/>
        </w:rPr>
        <w:t>本规划将</w:t>
      </w:r>
      <w:r>
        <w:rPr>
          <w:rFonts w:cs="Times New Roman"/>
          <w:color w:val="auto"/>
          <w:highlight w:val="none"/>
        </w:rPr>
        <w:t>1处重要江河源头保护区</w:t>
      </w:r>
      <w:r>
        <w:rPr>
          <w:rFonts w:hint="eastAsia" w:cs="Times New Roman"/>
          <w:color w:val="auto"/>
          <w:highlight w:val="none"/>
          <w:lang w:eastAsia="zh-CN"/>
        </w:rPr>
        <w:t>、</w:t>
      </w:r>
      <w:r>
        <w:rPr>
          <w:rFonts w:cs="Times New Roman"/>
          <w:color w:val="auto"/>
          <w:highlight w:val="none"/>
        </w:rPr>
        <w:t>1处崩塌危害隐患点</w:t>
      </w:r>
      <w:r>
        <w:rPr>
          <w:rFonts w:hint="eastAsia" w:cs="Times New Roman"/>
          <w:color w:val="auto"/>
          <w:highlight w:val="none"/>
          <w:lang w:eastAsia="zh-CN"/>
        </w:rPr>
        <w:t>、</w:t>
      </w:r>
      <w:r>
        <w:rPr>
          <w:rFonts w:hint="eastAsia" w:cs="Times New Roman"/>
          <w:color w:val="auto"/>
          <w:highlight w:val="none"/>
          <w:lang w:val="en-US" w:eastAsia="zh-CN"/>
        </w:rPr>
        <w:t>1处湿地公园、6处旅游</w:t>
      </w:r>
      <w:r>
        <w:rPr>
          <w:rFonts w:hint="eastAsia" w:cs="Times New Roman"/>
          <w:color w:val="auto"/>
          <w:highlight w:val="none"/>
        </w:rPr>
        <w:t>景区</w:t>
      </w:r>
      <w:r>
        <w:rPr>
          <w:rFonts w:cs="Times New Roman"/>
          <w:color w:val="auto"/>
          <w:highlight w:val="none"/>
        </w:rPr>
        <w:t>和9处饮用水水源保护区的一级保护区、二级保护区、准保护区确定为预防保护实施范围，实施预防保护面积</w:t>
      </w:r>
      <w:r>
        <w:rPr>
          <w:rFonts w:hint="eastAsia" w:cs="Times New Roman"/>
          <w:color w:val="auto"/>
          <w:highlight w:val="none"/>
          <w:lang w:val="en-US" w:eastAsia="zh-CN"/>
        </w:rPr>
        <w:t>56.50</w:t>
      </w:r>
      <w:r>
        <w:rPr>
          <w:rFonts w:cs="Times New Roman"/>
          <w:color w:val="auto"/>
          <w:highlight w:val="none"/>
        </w:rPr>
        <w:t>km</w:t>
      </w:r>
      <w:r>
        <w:rPr>
          <w:rFonts w:cs="Times New Roman"/>
          <w:color w:val="auto"/>
          <w:highlight w:val="none"/>
          <w:vertAlign w:val="superscript"/>
        </w:rPr>
        <w:t>2</w:t>
      </w:r>
      <w:r>
        <w:rPr>
          <w:rFonts w:hint="eastAsia" w:cs="Times New Roman"/>
          <w:color w:val="auto"/>
          <w:highlight w:val="none"/>
          <w:lang w:eastAsia="zh-CN"/>
        </w:rPr>
        <w:t>。</w:t>
      </w:r>
      <w:r>
        <w:rPr>
          <w:rFonts w:cs="Times New Roman"/>
          <w:color w:val="auto"/>
          <w:highlight w:val="none"/>
          <w:lang w:val="en-GB"/>
        </w:rPr>
        <w:t>2022</w:t>
      </w:r>
      <w:r>
        <w:rPr>
          <w:rFonts w:hint="eastAsia" w:cs="Times New Roman"/>
          <w:color w:val="auto"/>
          <w:highlight w:val="none"/>
          <w:lang w:val="en-GB" w:eastAsia="zh-CN"/>
        </w:rPr>
        <w:t>—</w:t>
      </w:r>
      <w:r>
        <w:rPr>
          <w:rFonts w:cs="Times New Roman"/>
          <w:color w:val="auto"/>
          <w:highlight w:val="none"/>
        </w:rPr>
        <w:t>2025年，柳江区规划新增水土流失</w:t>
      </w:r>
      <w:r>
        <w:rPr>
          <w:rFonts w:cs="Times New Roman"/>
          <w:color w:val="auto"/>
          <w:highlight w:val="none"/>
          <w:lang w:val="en-GB"/>
        </w:rPr>
        <w:t>预防保护面积</w:t>
      </w:r>
      <w:r>
        <w:rPr>
          <w:rFonts w:hint="eastAsia" w:cs="Times New Roman"/>
          <w:color w:val="auto"/>
          <w:highlight w:val="none"/>
          <w:lang w:val="en-US" w:eastAsia="zh-CN"/>
        </w:rPr>
        <w:t>24.65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w:t>
      </w:r>
      <w:r>
        <w:rPr>
          <w:rFonts w:cs="Times New Roman"/>
          <w:color w:val="auto"/>
          <w:highlight w:val="none"/>
        </w:rPr>
        <w:t>崩塌危害隐患点</w:t>
      </w:r>
      <w:r>
        <w:rPr>
          <w:rFonts w:hint="eastAsia" w:cs="Times New Roman"/>
          <w:color w:val="auto"/>
          <w:highlight w:val="none"/>
          <w:lang w:val="en-US" w:eastAsia="zh-CN"/>
        </w:rPr>
        <w:t>、湿地公园和旅游景区</w:t>
      </w:r>
      <w:r>
        <w:rPr>
          <w:rFonts w:cs="Times New Roman"/>
          <w:color w:val="auto"/>
          <w:highlight w:val="none"/>
        </w:rPr>
        <w:t>得到全面预防保护</w:t>
      </w:r>
      <w:r>
        <w:rPr>
          <w:rFonts w:cs="Times New Roman"/>
          <w:color w:val="auto"/>
          <w:highlight w:val="none"/>
          <w:lang w:val="en-GB"/>
        </w:rPr>
        <w:t>。2026</w:t>
      </w:r>
      <w:r>
        <w:rPr>
          <w:rFonts w:hint="eastAsia" w:cs="Times New Roman"/>
          <w:color w:val="auto"/>
          <w:highlight w:val="none"/>
          <w:lang w:val="en-GB" w:eastAsia="zh-CN"/>
        </w:rPr>
        <w:t>—</w:t>
      </w:r>
      <w:r>
        <w:rPr>
          <w:rFonts w:cs="Times New Roman"/>
          <w:color w:val="auto"/>
          <w:highlight w:val="none"/>
          <w:lang w:val="en-GB"/>
        </w:rPr>
        <w:t>2030年，规划</w:t>
      </w:r>
      <w:r>
        <w:rPr>
          <w:rFonts w:cs="Times New Roman"/>
          <w:color w:val="auto"/>
          <w:highlight w:val="none"/>
        </w:rPr>
        <w:t>新增水土流失</w:t>
      </w:r>
      <w:r>
        <w:rPr>
          <w:rFonts w:cs="Times New Roman"/>
          <w:color w:val="auto"/>
          <w:highlight w:val="none"/>
          <w:lang w:val="en-GB"/>
        </w:rPr>
        <w:t>预防保护面积</w:t>
      </w:r>
      <w:r>
        <w:rPr>
          <w:rFonts w:cs="Times New Roman"/>
          <w:color w:val="auto"/>
          <w:highlight w:val="none"/>
        </w:rPr>
        <w:t>31.85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，使</w:t>
      </w:r>
      <w:r>
        <w:rPr>
          <w:rFonts w:cs="Times New Roman"/>
          <w:color w:val="auto"/>
          <w:highlight w:val="none"/>
        </w:rPr>
        <w:t>饮用</w:t>
      </w:r>
      <w:r>
        <w:rPr>
          <w:rFonts w:cs="Times New Roman"/>
          <w:color w:val="auto"/>
          <w:highlight w:val="none"/>
          <w:lang w:val="en-GB"/>
        </w:rPr>
        <w:t>水</w:t>
      </w:r>
      <w:r>
        <w:rPr>
          <w:rFonts w:cs="Times New Roman"/>
          <w:color w:val="auto"/>
          <w:highlight w:val="none"/>
        </w:rPr>
        <w:t>水源地、重要江河源头保护区</w:t>
      </w:r>
      <w:r>
        <w:rPr>
          <w:rFonts w:cs="Times New Roman"/>
          <w:color w:val="auto"/>
          <w:highlight w:val="none"/>
          <w:lang w:val="en-GB"/>
        </w:rPr>
        <w:t>水质有所改善，重要</w:t>
      </w:r>
      <w:r>
        <w:rPr>
          <w:rFonts w:cs="Times New Roman"/>
          <w:color w:val="auto"/>
          <w:highlight w:val="none"/>
        </w:rPr>
        <w:t>生态敏感区的</w:t>
      </w:r>
      <w:r>
        <w:rPr>
          <w:rFonts w:cs="Times New Roman"/>
          <w:color w:val="auto"/>
          <w:highlight w:val="none"/>
          <w:lang w:val="en-GB"/>
        </w:rPr>
        <w:t>水土流失有所减轻。</w:t>
      </w:r>
    </w:p>
    <w:p>
      <w:pPr>
        <w:rPr>
          <w:rFonts w:cs="Times New Roman"/>
          <w:color w:val="auto"/>
          <w:highlight w:val="none"/>
          <w:lang w:val="en-GB"/>
        </w:rPr>
      </w:pPr>
      <w:r>
        <w:rPr>
          <w:rFonts w:cs="Times New Roman"/>
          <w:color w:val="auto"/>
          <w:highlight w:val="none"/>
          <w:lang w:val="en-GB"/>
        </w:rPr>
        <w:t>（</w:t>
      </w:r>
      <w:r>
        <w:rPr>
          <w:rFonts w:cs="Times New Roman"/>
          <w:color w:val="auto"/>
          <w:highlight w:val="none"/>
        </w:rPr>
        <w:t>2</w:t>
      </w:r>
      <w:r>
        <w:rPr>
          <w:rFonts w:cs="Times New Roman"/>
          <w:color w:val="auto"/>
          <w:highlight w:val="none"/>
          <w:lang w:val="en-GB"/>
        </w:rPr>
        <w:t>）重点治理工程</w:t>
      </w:r>
    </w:p>
    <w:p>
      <w:pPr>
        <w:rPr>
          <w:rFonts w:cs="Times New Roman"/>
          <w:color w:val="auto"/>
          <w:highlight w:val="none"/>
        </w:rPr>
      </w:pPr>
      <w:r>
        <w:rPr>
          <w:rFonts w:cs="Times New Roman"/>
          <w:color w:val="auto"/>
          <w:highlight w:val="none"/>
        </w:rPr>
        <w:t>本次规划确定，近期（2022</w:t>
      </w:r>
      <w:r>
        <w:rPr>
          <w:rFonts w:hint="eastAsia" w:cs="Times New Roman"/>
          <w:color w:val="auto"/>
          <w:highlight w:val="none"/>
          <w:lang w:eastAsia="zh-CN"/>
        </w:rPr>
        <w:t>—</w:t>
      </w:r>
      <w:r>
        <w:rPr>
          <w:rFonts w:cs="Times New Roman"/>
          <w:color w:val="auto"/>
          <w:highlight w:val="none"/>
        </w:rPr>
        <w:t>2025年）在里高镇、成团镇等2个镇实施2个小流域水土流失综合治理工程，全部采用生态清洁型的治理模式，计划完成水土流失治理面积</w:t>
      </w:r>
      <w:r>
        <w:rPr>
          <w:rFonts w:hint="eastAsia" w:cs="Times New Roman"/>
          <w:color w:val="auto"/>
          <w:highlight w:val="none"/>
          <w:lang w:val="en-US" w:eastAsia="zh-CN"/>
        </w:rPr>
        <w:t>20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w:t>
      </w:r>
    </w:p>
    <w:p>
      <w:pPr>
        <w:pStyle w:val="4"/>
        <w:spacing w:before="156"/>
        <w:ind w:firstLine="562"/>
        <w:rPr>
          <w:color w:val="auto"/>
          <w:highlight w:val="none"/>
          <w:lang w:val="en-GB"/>
        </w:rPr>
      </w:pPr>
      <w:bookmarkStart w:id="79" w:name="_Toc119515834"/>
      <w:bookmarkStart w:id="80" w:name="_Toc20468"/>
      <w:bookmarkStart w:id="81" w:name="_Toc1101"/>
      <w:r>
        <w:rPr>
          <w:color w:val="auto"/>
          <w:highlight w:val="none"/>
          <w:lang w:val="en-GB"/>
        </w:rPr>
        <w:t>1.9.</w:t>
      </w:r>
      <w:r>
        <w:rPr>
          <w:color w:val="auto"/>
          <w:highlight w:val="none"/>
          <w:lang w:val="en-US"/>
        </w:rPr>
        <w:t>2</w:t>
      </w:r>
      <w:r>
        <w:rPr>
          <w:color w:val="auto"/>
          <w:highlight w:val="none"/>
          <w:lang w:val="en-GB"/>
        </w:rPr>
        <w:t>投资匡算</w:t>
      </w:r>
      <w:bookmarkEnd w:id="79"/>
      <w:bookmarkEnd w:id="80"/>
      <w:bookmarkEnd w:id="81"/>
    </w:p>
    <w:p>
      <w:pPr>
        <w:rPr>
          <w:rFonts w:cs="Times New Roman"/>
          <w:color w:val="auto"/>
          <w:highlight w:val="none"/>
        </w:rPr>
      </w:pPr>
      <w:bookmarkStart w:id="82" w:name="_Toc516847576"/>
      <w:bookmarkStart w:id="83" w:name="_Toc24626"/>
      <w:bookmarkStart w:id="84" w:name="_Toc528945981"/>
      <w:bookmarkStart w:id="85" w:name="_Toc90399083"/>
      <w:r>
        <w:rPr>
          <w:rFonts w:cs="Times New Roman"/>
          <w:color w:val="auto"/>
          <w:highlight w:val="none"/>
          <w:lang w:val="en-GB"/>
        </w:rPr>
        <w:t>根据匡算，柳江区水土保持规划总投资</w:t>
      </w:r>
      <w:r>
        <w:rPr>
          <w:rFonts w:hint="eastAsia" w:cs="Times New Roman"/>
          <w:color w:val="auto"/>
          <w:highlight w:val="none"/>
          <w:lang w:val="en-GB"/>
        </w:rPr>
        <w:t>6121.21</w:t>
      </w:r>
      <w:r>
        <w:rPr>
          <w:rFonts w:cs="Times New Roman"/>
          <w:color w:val="auto"/>
          <w:highlight w:val="none"/>
          <w:lang w:val="en-GB"/>
        </w:rPr>
        <w:t>万元。其中，</w:t>
      </w:r>
      <w:r>
        <w:rPr>
          <w:rFonts w:cs="Times New Roman"/>
          <w:color w:val="auto"/>
          <w:highlight w:val="none"/>
        </w:rPr>
        <w:t>水土保持预防保护投资</w:t>
      </w:r>
      <w:r>
        <w:rPr>
          <w:rFonts w:hint="eastAsia" w:cs="Times New Roman"/>
          <w:color w:val="auto"/>
          <w:highlight w:val="none"/>
        </w:rPr>
        <w:t>1695</w:t>
      </w:r>
      <w:r>
        <w:rPr>
          <w:rFonts w:cs="Times New Roman"/>
          <w:color w:val="auto"/>
          <w:highlight w:val="none"/>
        </w:rPr>
        <w:t>万元，</w:t>
      </w:r>
      <w:r>
        <w:rPr>
          <w:rFonts w:cs="Times New Roman"/>
          <w:color w:val="auto"/>
          <w:highlight w:val="none"/>
          <w:lang w:val="en-GB"/>
        </w:rPr>
        <w:t>水土流失</w:t>
      </w:r>
      <w:r>
        <w:rPr>
          <w:rFonts w:cs="Times New Roman"/>
          <w:color w:val="auto"/>
          <w:highlight w:val="none"/>
        </w:rPr>
        <w:t>综合治理</w:t>
      </w:r>
      <w:r>
        <w:rPr>
          <w:rFonts w:cs="Times New Roman"/>
          <w:color w:val="auto"/>
          <w:highlight w:val="none"/>
          <w:lang w:val="en-GB"/>
        </w:rPr>
        <w:t>投资</w:t>
      </w:r>
      <w:r>
        <w:rPr>
          <w:rFonts w:hint="eastAsia" w:cs="Times New Roman"/>
          <w:color w:val="auto"/>
          <w:highlight w:val="none"/>
          <w:lang w:val="en-GB"/>
        </w:rPr>
        <w:t>1726.21</w:t>
      </w:r>
      <w:r>
        <w:rPr>
          <w:rFonts w:cs="Times New Roman"/>
          <w:color w:val="auto"/>
          <w:highlight w:val="none"/>
          <w:lang w:val="en-GB"/>
        </w:rPr>
        <w:t>万元，</w:t>
      </w:r>
      <w:r>
        <w:rPr>
          <w:rFonts w:cs="Times New Roman"/>
          <w:color w:val="auto"/>
          <w:highlight w:val="none"/>
        </w:rPr>
        <w:t>水土保持监测投资900万元，</w:t>
      </w:r>
      <w:r>
        <w:rPr>
          <w:rFonts w:cs="Times New Roman"/>
          <w:color w:val="auto"/>
          <w:highlight w:val="none"/>
          <w:lang w:val="en-GB"/>
        </w:rPr>
        <w:t>水土保持综合监管</w:t>
      </w:r>
      <w:r>
        <w:rPr>
          <w:rFonts w:cs="Times New Roman"/>
          <w:color w:val="auto"/>
          <w:highlight w:val="none"/>
        </w:rPr>
        <w:t>投资1800</w:t>
      </w:r>
      <w:r>
        <w:rPr>
          <w:rFonts w:cs="Times New Roman"/>
          <w:color w:val="auto"/>
          <w:highlight w:val="none"/>
          <w:lang w:val="en-GB"/>
        </w:rPr>
        <w:t>万元</w:t>
      </w:r>
      <w:r>
        <w:rPr>
          <w:rFonts w:cs="Times New Roman"/>
          <w:color w:val="auto"/>
          <w:highlight w:val="none"/>
        </w:rPr>
        <w:t>。</w:t>
      </w:r>
    </w:p>
    <w:p>
      <w:pPr>
        <w:rPr>
          <w:rFonts w:cs="Times New Roman"/>
          <w:color w:val="auto"/>
          <w:highlight w:val="none"/>
        </w:rPr>
      </w:pPr>
      <w:bookmarkStart w:id="86" w:name="_Toc119515835"/>
      <w:bookmarkStart w:id="87" w:name="_Toc2213"/>
      <w:r>
        <w:rPr>
          <w:rFonts w:cs="Times New Roman"/>
          <w:color w:val="auto"/>
          <w:highlight w:val="none"/>
          <w:lang w:val="en-GB"/>
        </w:rPr>
        <w:t>柳江区水土保持规划</w:t>
      </w:r>
      <w:r>
        <w:rPr>
          <w:rFonts w:cs="Times New Roman"/>
          <w:color w:val="auto"/>
          <w:highlight w:val="none"/>
        </w:rPr>
        <w:t>近期</w:t>
      </w:r>
      <w:r>
        <w:rPr>
          <w:rFonts w:cs="Times New Roman"/>
          <w:color w:val="auto"/>
          <w:highlight w:val="none"/>
          <w:lang w:val="en-GB"/>
        </w:rPr>
        <w:t>总投资</w:t>
      </w:r>
      <w:r>
        <w:rPr>
          <w:rFonts w:hint="eastAsia" w:cs="Times New Roman"/>
          <w:color w:val="auto"/>
          <w:highlight w:val="none"/>
          <w:lang w:val="en-GB"/>
        </w:rPr>
        <w:t>2999.50</w:t>
      </w:r>
      <w:r>
        <w:rPr>
          <w:rFonts w:cs="Times New Roman"/>
          <w:color w:val="auto"/>
          <w:highlight w:val="none"/>
          <w:lang w:val="en-GB"/>
        </w:rPr>
        <w:t>万元。其中，</w:t>
      </w:r>
      <w:r>
        <w:rPr>
          <w:rFonts w:cs="Times New Roman"/>
          <w:color w:val="auto"/>
          <w:highlight w:val="none"/>
        </w:rPr>
        <w:t>水土保持预防保护近期投资</w:t>
      </w:r>
      <w:r>
        <w:rPr>
          <w:rFonts w:hint="eastAsia" w:cs="Times New Roman"/>
          <w:color w:val="auto"/>
          <w:highlight w:val="none"/>
        </w:rPr>
        <w:t>739.50</w:t>
      </w:r>
      <w:r>
        <w:rPr>
          <w:rFonts w:cs="Times New Roman"/>
          <w:color w:val="auto"/>
          <w:highlight w:val="none"/>
        </w:rPr>
        <w:t>万元，</w:t>
      </w:r>
      <w:r>
        <w:rPr>
          <w:rFonts w:cs="Times New Roman"/>
          <w:color w:val="auto"/>
          <w:highlight w:val="none"/>
          <w:lang w:val="en-GB"/>
        </w:rPr>
        <w:t>水土流失</w:t>
      </w:r>
      <w:r>
        <w:rPr>
          <w:rFonts w:cs="Times New Roman"/>
          <w:color w:val="auto"/>
          <w:highlight w:val="none"/>
        </w:rPr>
        <w:t>综合治理近期</w:t>
      </w:r>
      <w:r>
        <w:rPr>
          <w:rFonts w:cs="Times New Roman"/>
          <w:color w:val="auto"/>
          <w:highlight w:val="none"/>
          <w:lang w:val="en-GB"/>
        </w:rPr>
        <w:t>投资</w:t>
      </w:r>
      <w:r>
        <w:rPr>
          <w:rFonts w:hint="eastAsia" w:cs="Times New Roman"/>
          <w:color w:val="auto"/>
          <w:highlight w:val="none"/>
          <w:lang w:val="en-GB"/>
        </w:rPr>
        <w:t>1060</w:t>
      </w:r>
      <w:r>
        <w:rPr>
          <w:rFonts w:cs="Times New Roman"/>
          <w:color w:val="auto"/>
          <w:highlight w:val="none"/>
          <w:lang w:val="en-GB"/>
        </w:rPr>
        <w:t>万元，</w:t>
      </w:r>
      <w:r>
        <w:rPr>
          <w:rFonts w:cs="Times New Roman"/>
          <w:color w:val="auto"/>
          <w:highlight w:val="none"/>
        </w:rPr>
        <w:t>水土保持监测近期投资400万元，</w:t>
      </w:r>
      <w:r>
        <w:rPr>
          <w:rFonts w:cs="Times New Roman"/>
          <w:color w:val="auto"/>
          <w:highlight w:val="none"/>
          <w:lang w:val="en-GB"/>
        </w:rPr>
        <w:t>水土保持综合监管</w:t>
      </w:r>
      <w:r>
        <w:rPr>
          <w:rFonts w:cs="Times New Roman"/>
          <w:color w:val="auto"/>
          <w:highlight w:val="none"/>
        </w:rPr>
        <w:t>近期投资800</w:t>
      </w:r>
      <w:r>
        <w:rPr>
          <w:rFonts w:cs="Times New Roman"/>
          <w:color w:val="auto"/>
          <w:highlight w:val="none"/>
          <w:lang w:val="en-GB"/>
        </w:rPr>
        <w:t>万元</w:t>
      </w:r>
      <w:r>
        <w:rPr>
          <w:rFonts w:cs="Times New Roman"/>
          <w:color w:val="auto"/>
          <w:highlight w:val="none"/>
        </w:rPr>
        <w:t>。</w:t>
      </w:r>
    </w:p>
    <w:p>
      <w:pPr>
        <w:pStyle w:val="3"/>
        <w:spacing w:before="156"/>
        <w:ind w:firstLine="602"/>
        <w:rPr>
          <w:color w:val="auto"/>
          <w:highlight w:val="none"/>
        </w:rPr>
      </w:pPr>
      <w:r>
        <w:rPr>
          <w:color w:val="auto"/>
          <w:highlight w:val="none"/>
        </w:rPr>
        <w:t>1.10实施效果分析</w:t>
      </w:r>
      <w:bookmarkEnd w:id="82"/>
      <w:bookmarkEnd w:id="83"/>
      <w:bookmarkEnd w:id="84"/>
      <w:bookmarkEnd w:id="85"/>
      <w:bookmarkEnd w:id="86"/>
      <w:bookmarkEnd w:id="87"/>
    </w:p>
    <w:p>
      <w:pPr>
        <w:rPr>
          <w:rFonts w:cs="Times New Roman"/>
          <w:color w:val="auto"/>
          <w:highlight w:val="none"/>
        </w:rPr>
      </w:pPr>
      <w:r>
        <w:rPr>
          <w:rFonts w:cs="Times New Roman"/>
          <w:color w:val="auto"/>
          <w:highlight w:val="none"/>
          <w:lang w:val="zh-CN"/>
        </w:rPr>
        <w:t>规划实施后</w:t>
      </w:r>
      <w:r>
        <w:rPr>
          <w:rFonts w:cs="Times New Roman"/>
          <w:color w:val="auto"/>
          <w:highlight w:val="none"/>
        </w:rPr>
        <w:t>将会极大地促进区域</w:t>
      </w:r>
      <w:r>
        <w:rPr>
          <w:rFonts w:cs="Times New Roman"/>
          <w:color w:val="auto"/>
          <w:highlight w:val="none"/>
          <w:lang w:val="zh-CN"/>
        </w:rPr>
        <w:t>生态</w:t>
      </w:r>
      <w:r>
        <w:rPr>
          <w:rFonts w:cs="Times New Roman"/>
          <w:color w:val="auto"/>
          <w:highlight w:val="none"/>
        </w:rPr>
        <w:t>效益</w:t>
      </w:r>
      <w:r>
        <w:rPr>
          <w:rFonts w:cs="Times New Roman"/>
          <w:color w:val="auto"/>
          <w:highlight w:val="none"/>
          <w:lang w:val="zh-CN"/>
        </w:rPr>
        <w:t>、经济</w:t>
      </w:r>
      <w:r>
        <w:rPr>
          <w:rFonts w:cs="Times New Roman"/>
          <w:color w:val="auto"/>
          <w:highlight w:val="none"/>
        </w:rPr>
        <w:t>效益</w:t>
      </w:r>
      <w:r>
        <w:rPr>
          <w:rFonts w:cs="Times New Roman"/>
          <w:color w:val="auto"/>
          <w:highlight w:val="none"/>
          <w:lang w:val="zh-CN"/>
        </w:rPr>
        <w:t>和社会效益</w:t>
      </w:r>
      <w:r>
        <w:rPr>
          <w:rFonts w:cs="Times New Roman"/>
          <w:color w:val="auto"/>
          <w:highlight w:val="none"/>
        </w:rPr>
        <w:t>的全面发展</w:t>
      </w:r>
      <w:r>
        <w:rPr>
          <w:rFonts w:cs="Times New Roman"/>
          <w:color w:val="auto"/>
          <w:highlight w:val="none"/>
          <w:lang w:val="zh-CN"/>
        </w:rPr>
        <w:t>。</w:t>
      </w:r>
      <w:r>
        <w:rPr>
          <w:rFonts w:cs="Times New Roman"/>
          <w:color w:val="auto"/>
          <w:highlight w:val="none"/>
        </w:rPr>
        <w:t>一是减轻区域水土流失，减少泥沙入河，提高防洪能力，大幅增加植被覆盖率，减轻自然灾害，切实改善生态环境。二是提高区域土地生产能力，改善农业生产条件，优化土地利用结构，为调整农村产业结构、发展高效农业、增加农民群众收入提供保障。三是改善农村人居生活条件，通过培育当地特色农业产业，促进区域人口脱贫致富。</w:t>
      </w:r>
    </w:p>
    <w:p>
      <w:pPr>
        <w:rPr>
          <w:rFonts w:cs="Times New Roman"/>
          <w:color w:val="auto"/>
          <w:highlight w:val="none"/>
        </w:rPr>
      </w:pPr>
      <w:r>
        <w:rPr>
          <w:rFonts w:cs="Times New Roman"/>
          <w:color w:val="auto"/>
          <w:highlight w:val="none"/>
          <w:lang w:val="zh-CN"/>
        </w:rPr>
        <w:t>经估算，</w:t>
      </w:r>
      <w:r>
        <w:rPr>
          <w:rFonts w:cs="Times New Roman"/>
          <w:color w:val="auto"/>
          <w:highlight w:val="none"/>
        </w:rPr>
        <w:t>规划的重点治理工程实施完毕并正常发挥效益后，可增加蓄水效益约</w:t>
      </w:r>
      <w:r>
        <w:rPr>
          <w:rFonts w:hint="eastAsia" w:cs="Times New Roman"/>
          <w:color w:val="auto"/>
          <w:highlight w:val="none"/>
          <w:lang w:val="en-US" w:eastAsia="zh-CN"/>
        </w:rPr>
        <w:t>64.85</w:t>
      </w:r>
      <w:r>
        <w:rPr>
          <w:rFonts w:cs="Times New Roman"/>
          <w:color w:val="auto"/>
          <w:highlight w:val="none"/>
        </w:rPr>
        <w:t>万m</w:t>
      </w:r>
      <w:r>
        <w:rPr>
          <w:rFonts w:cs="Times New Roman"/>
          <w:color w:val="auto"/>
          <w:highlight w:val="none"/>
          <w:vertAlign w:val="superscript"/>
        </w:rPr>
        <w:t>3</w:t>
      </w:r>
      <w:r>
        <w:rPr>
          <w:rFonts w:cs="Times New Roman"/>
          <w:color w:val="auto"/>
          <w:highlight w:val="none"/>
        </w:rPr>
        <w:t>，新增保土能力约</w:t>
      </w:r>
      <w:r>
        <w:rPr>
          <w:rFonts w:hint="eastAsia" w:cs="Times New Roman"/>
          <w:color w:val="auto"/>
          <w:highlight w:val="none"/>
          <w:lang w:val="en-US" w:eastAsia="zh-CN"/>
        </w:rPr>
        <w:t>2.95</w:t>
      </w:r>
      <w:r>
        <w:rPr>
          <w:rFonts w:cs="Times New Roman"/>
          <w:color w:val="auto"/>
          <w:highlight w:val="none"/>
        </w:rPr>
        <w:t>万t。规划完成后粮食单产可增加约3%，经济果品增产约5%，活立木年蓄积量可增加约5%，饲草年产量增加约7%。</w:t>
      </w:r>
    </w:p>
    <w:p>
      <w:pPr>
        <w:pStyle w:val="3"/>
        <w:spacing w:before="156"/>
        <w:ind w:firstLine="602"/>
        <w:rPr>
          <w:color w:val="auto"/>
          <w:highlight w:val="none"/>
        </w:rPr>
      </w:pPr>
      <w:bookmarkStart w:id="88" w:name="_Toc119515836"/>
      <w:bookmarkStart w:id="89" w:name="_Toc90399084"/>
      <w:bookmarkStart w:id="90" w:name="_Toc516847577"/>
      <w:bookmarkStart w:id="91" w:name="_Toc21223"/>
      <w:bookmarkStart w:id="92" w:name="_Toc16356"/>
      <w:bookmarkStart w:id="93" w:name="_Toc528945982"/>
      <w:r>
        <w:rPr>
          <w:color w:val="auto"/>
          <w:highlight w:val="none"/>
        </w:rPr>
        <w:t>1.11实施保障措施</w:t>
      </w:r>
      <w:bookmarkEnd w:id="88"/>
      <w:bookmarkEnd w:id="89"/>
      <w:bookmarkEnd w:id="90"/>
      <w:bookmarkEnd w:id="91"/>
      <w:bookmarkEnd w:id="92"/>
      <w:bookmarkEnd w:id="93"/>
    </w:p>
    <w:p>
      <w:pPr>
        <w:rPr>
          <w:rFonts w:cs="Times New Roman"/>
          <w:color w:val="auto"/>
          <w:highlight w:val="none"/>
          <w:lang w:val="zh-CN"/>
        </w:rPr>
      </w:pPr>
      <w:r>
        <w:rPr>
          <w:rFonts w:cs="Times New Roman"/>
          <w:color w:val="auto"/>
          <w:highlight w:val="none"/>
        </w:rPr>
        <w:t>本次</w:t>
      </w:r>
      <w:r>
        <w:rPr>
          <w:rFonts w:cs="Times New Roman"/>
          <w:color w:val="auto"/>
          <w:highlight w:val="none"/>
          <w:lang w:val="zh-CN"/>
        </w:rPr>
        <w:t>规划</w:t>
      </w:r>
      <w:r>
        <w:rPr>
          <w:rFonts w:cs="Times New Roman"/>
          <w:color w:val="auto"/>
          <w:highlight w:val="none"/>
        </w:rPr>
        <w:t>主要</w:t>
      </w:r>
      <w:r>
        <w:rPr>
          <w:rFonts w:cs="Times New Roman"/>
          <w:color w:val="auto"/>
          <w:highlight w:val="none"/>
          <w:lang w:val="zh-CN"/>
        </w:rPr>
        <w:t>通过组织管理、法规政策、投入资金、技术支持和宣传科普等</w:t>
      </w:r>
      <w:r>
        <w:rPr>
          <w:rFonts w:cs="Times New Roman"/>
          <w:color w:val="auto"/>
          <w:highlight w:val="none"/>
        </w:rPr>
        <w:t>5个</w:t>
      </w:r>
      <w:r>
        <w:rPr>
          <w:rFonts w:cs="Times New Roman"/>
          <w:color w:val="auto"/>
          <w:highlight w:val="none"/>
          <w:lang w:val="zh-CN"/>
        </w:rPr>
        <w:t>方面保障措施确保</w:t>
      </w:r>
      <w:r>
        <w:rPr>
          <w:rFonts w:cs="Times New Roman"/>
          <w:color w:val="auto"/>
          <w:highlight w:val="none"/>
        </w:rPr>
        <w:t>各项工作</w:t>
      </w:r>
      <w:r>
        <w:rPr>
          <w:rFonts w:cs="Times New Roman"/>
          <w:color w:val="auto"/>
          <w:highlight w:val="none"/>
          <w:lang w:val="zh-CN"/>
        </w:rPr>
        <w:t>顺利实施。</w:t>
      </w:r>
    </w:p>
    <w:p>
      <w:pPr>
        <w:rPr>
          <w:rFonts w:cs="Times New Roman"/>
          <w:b/>
          <w:bCs/>
          <w:color w:val="auto"/>
          <w:highlight w:val="none"/>
        </w:rPr>
      </w:pPr>
      <w:r>
        <w:rPr>
          <w:rFonts w:cs="Times New Roman"/>
          <w:color w:val="auto"/>
          <w:highlight w:val="none"/>
        </w:rPr>
        <w:t>一是通过加强组织领导、建立健全组织机构、完善考核评估机制，确保各部门各乡镇各司其职，县区水土流失防治工作稳步推进。二是通过完善水土保持地方性政策法规、严格依法行政，进而加强水土保持监管工作。三是通过建立稳定投入机制、规范水土保持补偿费征收管理、拓宽水土保持资金渠道，确保水土保持工作资金长期稳定。四是通过加大科技投入、加强科技成果推广，从而提高水土保持科技水平和科技成果转化率。五是采取多种传播形式加强水土保持宣传教育，增强公民水土保持意识，营造全社会共同参与水土保持生态建设的浓厚氛围。</w:t>
      </w:r>
    </w:p>
    <w:p>
      <w:pPr>
        <w:rPr>
          <w:rFonts w:cs="Times New Roman"/>
          <w:color w:val="auto"/>
          <w:highlight w:val="none"/>
          <w:lang w:val="en-GB"/>
        </w:rPr>
      </w:pPr>
      <w:r>
        <w:rPr>
          <w:rFonts w:cs="Times New Roman"/>
          <w:color w:val="auto"/>
          <w:highlight w:val="none"/>
          <w:lang w:val="en-GB"/>
        </w:rPr>
        <w:br w:type="page"/>
      </w:r>
    </w:p>
    <w:p>
      <w:pPr>
        <w:pStyle w:val="2"/>
        <w:rPr>
          <w:color w:val="auto"/>
          <w:highlight w:val="none"/>
        </w:rPr>
      </w:pPr>
      <w:bookmarkStart w:id="94" w:name="_Toc3874"/>
      <w:r>
        <w:rPr>
          <w:color w:val="auto"/>
          <w:highlight w:val="none"/>
          <w:lang w:val="en-GB"/>
        </w:rPr>
        <w:t>2基本情况</w:t>
      </w:r>
      <w:bookmarkEnd w:id="0"/>
      <w:bookmarkEnd w:id="94"/>
    </w:p>
    <w:p>
      <w:pPr>
        <w:rPr>
          <w:rFonts w:cs="Times New Roman"/>
          <w:color w:val="auto"/>
          <w:highlight w:val="none"/>
          <w:lang w:val="zh-CN"/>
        </w:rPr>
      </w:pPr>
      <w:r>
        <w:rPr>
          <w:rFonts w:cs="Times New Roman"/>
          <w:color w:val="auto"/>
          <w:highlight w:val="none"/>
          <w:lang w:val="zh-CN"/>
        </w:rPr>
        <w:t>柳江区位于广西中部，柳州西南面，地处东经108°54′40″-109°44′45″、北纬23°54′30″-24°29′00″。北面紧连</w:t>
      </w:r>
      <w:r>
        <w:rPr>
          <w:rFonts w:hint="eastAsia" w:cs="Times New Roman"/>
          <w:color w:val="auto"/>
          <w:highlight w:val="none"/>
          <w:lang w:val="en-US" w:eastAsia="zh-CN"/>
        </w:rPr>
        <w:t>柳城县</w:t>
      </w:r>
      <w:r>
        <w:rPr>
          <w:rFonts w:cs="Times New Roman"/>
          <w:color w:val="auto"/>
          <w:highlight w:val="none"/>
          <w:lang w:val="zh-CN"/>
        </w:rPr>
        <w:t>；西北</w:t>
      </w:r>
      <w:r>
        <w:rPr>
          <w:rFonts w:hint="eastAsia" w:cs="Times New Roman"/>
          <w:color w:val="auto"/>
          <w:highlight w:val="none"/>
          <w:lang w:val="en-US" w:eastAsia="zh-CN"/>
        </w:rPr>
        <w:t>接河池市宜州区</w:t>
      </w:r>
      <w:r>
        <w:rPr>
          <w:rFonts w:hint="eastAsia" w:cs="Times New Roman"/>
          <w:color w:val="auto"/>
          <w:highlight w:val="none"/>
          <w:lang w:val="zh-CN"/>
        </w:rPr>
        <w:t>，</w:t>
      </w:r>
      <w:r>
        <w:rPr>
          <w:rFonts w:cs="Times New Roman"/>
          <w:color w:val="auto"/>
          <w:highlight w:val="none"/>
          <w:lang w:val="zh-CN"/>
        </w:rPr>
        <w:t>西南接忻城县；南靠来宾市兴宾区；东南邻象州县；东北隔柳江与鹿寨县相望。全境东西最大横距84.6公里，南北最大纵距67.6公里。2016年3月，国务院批复柳江县撤县设区，2017年1月6日，柳江区正式挂牌成立。根据自治区行政区划调整，2018年5月31日，将柳江区里雍镇、白沙镇划入鱼峰区管辖；2019年5月21日，将柳江区的流山镇、洛满镇划入柳南区管辖。现柳江区辖8个镇118个村（社区），区域面积1773平方公里。湘桂、黔桂、枝柳铁路和322、209国道贯穿柳江境内；桂柳、南柳、宜柳、柳武、柳梧、柳州北环高速公路在境内交汇；白莲机场坐落于柳江新兴工业园旁边，距城区仅7公里；西江水系通过柳江区境内，水运可直达广州、香港，交通、陆运、水运、航运、铁运十分便利。</w:t>
      </w:r>
    </w:p>
    <w:p>
      <w:pPr>
        <w:pStyle w:val="3"/>
        <w:spacing w:before="156"/>
        <w:ind w:firstLine="602"/>
        <w:rPr>
          <w:color w:val="auto"/>
          <w:highlight w:val="none"/>
          <w:lang w:val="en-GB"/>
        </w:rPr>
      </w:pPr>
      <w:bookmarkStart w:id="95" w:name="_Toc90399086"/>
      <w:bookmarkStart w:id="96" w:name="_Toc482812759"/>
      <w:bookmarkStart w:id="97" w:name="_Toc14245"/>
      <w:bookmarkStart w:id="98" w:name="_Toc439661477"/>
      <w:bookmarkStart w:id="99" w:name="_Toc101681420"/>
      <w:bookmarkStart w:id="100" w:name="_Toc18832"/>
      <w:bookmarkStart w:id="101" w:name="_Toc528945984"/>
      <w:r>
        <w:rPr>
          <w:color w:val="auto"/>
          <w:highlight w:val="none"/>
          <w:lang w:val="en-GB"/>
        </w:rPr>
        <w:t>2.1自然条件</w:t>
      </w:r>
      <w:bookmarkEnd w:id="95"/>
      <w:bookmarkEnd w:id="96"/>
      <w:bookmarkEnd w:id="97"/>
      <w:bookmarkEnd w:id="98"/>
      <w:bookmarkEnd w:id="99"/>
      <w:bookmarkEnd w:id="100"/>
      <w:bookmarkEnd w:id="101"/>
    </w:p>
    <w:p>
      <w:pPr>
        <w:pStyle w:val="4"/>
        <w:spacing w:before="156"/>
        <w:ind w:firstLine="562"/>
        <w:rPr>
          <w:color w:val="auto"/>
          <w:highlight w:val="none"/>
          <w:lang w:val="en-GB"/>
        </w:rPr>
      </w:pPr>
      <w:bookmarkStart w:id="102" w:name="_Toc23510"/>
      <w:bookmarkStart w:id="103" w:name="_Toc439661478"/>
      <w:bookmarkStart w:id="104" w:name="_Toc9890"/>
      <w:bookmarkStart w:id="105" w:name="_Toc101681421"/>
      <w:r>
        <w:rPr>
          <w:color w:val="auto"/>
          <w:highlight w:val="none"/>
          <w:lang w:val="en-GB"/>
        </w:rPr>
        <w:t>2.1.1</w:t>
      </w:r>
      <w:r>
        <w:rPr>
          <w:color w:val="auto"/>
          <w:highlight w:val="none"/>
          <w:lang w:val="en-US"/>
        </w:rPr>
        <w:t>地形</w:t>
      </w:r>
      <w:r>
        <w:rPr>
          <w:color w:val="auto"/>
          <w:highlight w:val="none"/>
          <w:lang w:val="en-GB"/>
        </w:rPr>
        <w:t>地貌</w:t>
      </w:r>
      <w:bookmarkEnd w:id="102"/>
      <w:bookmarkEnd w:id="103"/>
      <w:bookmarkEnd w:id="104"/>
      <w:bookmarkEnd w:id="105"/>
    </w:p>
    <w:p>
      <w:pPr>
        <w:rPr>
          <w:rFonts w:cs="Times New Roman"/>
          <w:color w:val="auto"/>
          <w:highlight w:val="none"/>
        </w:rPr>
      </w:pPr>
      <w:r>
        <w:rPr>
          <w:rFonts w:cs="Times New Roman"/>
          <w:color w:val="auto"/>
          <w:highlight w:val="none"/>
        </w:rPr>
        <w:t>柳江区境内呈岩溶地貌和低丘陵地貌，全区土地面积1773平方公里，其中山地面积占全区土地面积的51%；平原面积占全区土地面积的29%；丘陵面积占全区土地面积的11%。柳江区版图形状大致是向西南突出的扇形，其北西</w:t>
      </w:r>
      <w:r>
        <w:rPr>
          <w:rFonts w:hint="eastAsia" w:cs="Times New Roman"/>
          <w:color w:val="auto"/>
          <w:highlight w:val="none"/>
          <w:lang w:eastAsia="zh-CN"/>
        </w:rPr>
        <w:t>—</w:t>
      </w:r>
      <w:r>
        <w:rPr>
          <w:rFonts w:cs="Times New Roman"/>
          <w:color w:val="auto"/>
          <w:highlight w:val="none"/>
        </w:rPr>
        <w:t>南东向弧长约80km，北东</w:t>
      </w:r>
      <w:r>
        <w:rPr>
          <w:rFonts w:hint="eastAsia" w:cs="Times New Roman"/>
          <w:color w:val="auto"/>
          <w:highlight w:val="none"/>
          <w:lang w:eastAsia="zh-CN"/>
        </w:rPr>
        <w:t>－</w:t>
      </w:r>
      <w:r>
        <w:rPr>
          <w:rFonts w:cs="Times New Roman"/>
          <w:color w:val="auto"/>
          <w:highlight w:val="none"/>
        </w:rPr>
        <w:t>南西向扇宽30km余，柳江河与红水河的分水岭就位于这条弧形带内。</w:t>
      </w:r>
    </w:p>
    <w:p>
      <w:pPr>
        <w:rPr>
          <w:rFonts w:hint="eastAsia" w:cs="Times New Roman"/>
          <w:color w:val="auto"/>
          <w:highlight w:val="none"/>
        </w:rPr>
      </w:pPr>
      <w:r>
        <w:rPr>
          <w:rFonts w:hint="eastAsia" w:cs="Times New Roman"/>
          <w:color w:val="auto"/>
          <w:highlight w:val="none"/>
        </w:rPr>
        <w:t>全区岩溶地貌占绝对优势，其面积占全县80%以上，地貌成因类型主要分溶蚀堆积及侵蚀溶蚀两类，其次为非岩溶地貌的构造溶蚀、剥蚀类型，零星分布着一些河流侵蚀堆积类型。全区大致可以分为峰丛谷地区、峰林谷地和孤峰平原区、丘陵区三个区。峰丛谷地区位于柳江区的西部和南部，包括土博镇和里高镇全境、三都镇的</w:t>
      </w:r>
      <w:r>
        <w:rPr>
          <w:rFonts w:hint="eastAsia" w:cs="Times New Roman"/>
          <w:color w:val="auto"/>
          <w:highlight w:val="none"/>
          <w:lang w:val="en-US" w:eastAsia="zh-CN"/>
        </w:rPr>
        <w:t>2</w:t>
      </w:r>
      <w:r>
        <w:rPr>
          <w:rFonts w:hint="eastAsia" w:cs="Times New Roman"/>
          <w:color w:val="auto"/>
          <w:highlight w:val="none"/>
        </w:rPr>
        <w:t>个村、百朋镇西部的</w:t>
      </w:r>
      <w:r>
        <w:rPr>
          <w:rFonts w:hint="eastAsia" w:cs="Times New Roman"/>
          <w:color w:val="auto"/>
          <w:highlight w:val="none"/>
          <w:lang w:val="en-US" w:eastAsia="zh-CN"/>
        </w:rPr>
        <w:t>9</w:t>
      </w:r>
      <w:r>
        <w:rPr>
          <w:rFonts w:hint="eastAsia" w:cs="Times New Roman"/>
          <w:color w:val="auto"/>
          <w:highlight w:val="none"/>
        </w:rPr>
        <w:t>个村；峰林谷地和孤峰平原区位于柳江区中部，包括进德镇、拉堡镇、成团镇全境以及百朋镇的</w:t>
      </w:r>
      <w:r>
        <w:rPr>
          <w:rFonts w:hint="eastAsia" w:cs="Times New Roman"/>
          <w:color w:val="auto"/>
          <w:highlight w:val="none"/>
          <w:lang w:val="en-US" w:eastAsia="zh-CN"/>
        </w:rPr>
        <w:t>6</w:t>
      </w:r>
      <w:r>
        <w:rPr>
          <w:rFonts w:hint="eastAsia" w:cs="Times New Roman"/>
          <w:color w:val="auto"/>
          <w:highlight w:val="none"/>
        </w:rPr>
        <w:t>个村、穿山镇的</w:t>
      </w:r>
      <w:r>
        <w:rPr>
          <w:rFonts w:hint="eastAsia" w:cs="Times New Roman"/>
          <w:color w:val="auto"/>
          <w:highlight w:val="none"/>
          <w:lang w:val="en-US" w:eastAsia="zh-CN"/>
        </w:rPr>
        <w:t>13</w:t>
      </w:r>
      <w:r>
        <w:rPr>
          <w:rFonts w:hint="eastAsia" w:cs="Times New Roman"/>
          <w:color w:val="auto"/>
          <w:highlight w:val="none"/>
        </w:rPr>
        <w:t>个村；丘陵区主要位于柳江区东部，主要为穿山镇的林寺村一带，以丘陵为主，间有石山。</w:t>
      </w:r>
    </w:p>
    <w:p>
      <w:pPr>
        <w:ind w:left="0" w:leftChars="0" w:firstLine="560" w:firstLineChars="200"/>
        <w:rPr>
          <w:rFonts w:cs="Times New Roman"/>
          <w:color w:val="auto"/>
          <w:highlight w:val="none"/>
        </w:rPr>
      </w:pPr>
      <w:r>
        <w:rPr>
          <w:rFonts w:cs="Times New Roman"/>
          <w:color w:val="auto"/>
          <w:highlight w:val="none"/>
        </w:rPr>
        <w:t>柳江区地形西南高，标高300</w:t>
      </w:r>
      <w:r>
        <w:rPr>
          <w:rFonts w:hint="eastAsia" w:cs="Times New Roman"/>
          <w:color w:val="auto"/>
          <w:highlight w:val="none"/>
          <w:lang w:eastAsia="zh-CN"/>
        </w:rPr>
        <w:t>～</w:t>
      </w:r>
      <w:r>
        <w:rPr>
          <w:rFonts w:cs="Times New Roman"/>
          <w:color w:val="auto"/>
          <w:highlight w:val="none"/>
        </w:rPr>
        <w:t>600m；地势西南高，多山地；东部次高，多丘陵；中部低平，多平原。山脉属南岭山脉中的凤凰山脉，最高山为大仁山，海拔712m，在土博镇梅里村甘梅屯西南面。</w:t>
      </w:r>
    </w:p>
    <w:p>
      <w:pPr>
        <w:pStyle w:val="4"/>
        <w:spacing w:before="156"/>
        <w:ind w:firstLine="562"/>
        <w:rPr>
          <w:color w:val="auto"/>
          <w:highlight w:val="none"/>
          <w:lang w:val="en-GB"/>
        </w:rPr>
      </w:pPr>
      <w:bookmarkStart w:id="106" w:name="_Toc7462"/>
      <w:bookmarkStart w:id="107" w:name="_Toc101681422"/>
      <w:bookmarkStart w:id="108" w:name="_Toc13515"/>
      <w:r>
        <w:rPr>
          <w:color w:val="auto"/>
          <w:highlight w:val="none"/>
          <w:lang w:val="en-GB"/>
        </w:rPr>
        <w:t>2.1.2气象、水文</w:t>
      </w:r>
      <w:bookmarkEnd w:id="106"/>
      <w:bookmarkEnd w:id="107"/>
      <w:bookmarkEnd w:id="108"/>
    </w:p>
    <w:p>
      <w:pPr>
        <w:pStyle w:val="5"/>
        <w:spacing w:before="156"/>
        <w:ind w:firstLine="562"/>
        <w:rPr>
          <w:color w:val="auto"/>
          <w:highlight w:val="none"/>
          <w:lang w:val="en-GB"/>
        </w:rPr>
      </w:pPr>
      <w:r>
        <w:rPr>
          <w:color w:val="auto"/>
          <w:highlight w:val="none"/>
          <w:lang w:val="en-GB"/>
        </w:rPr>
        <w:t>2.1.</w:t>
      </w:r>
      <w:r>
        <w:rPr>
          <w:color w:val="auto"/>
          <w:highlight w:val="none"/>
          <w:lang w:val="en-US"/>
        </w:rPr>
        <w:t>2</w:t>
      </w:r>
      <w:r>
        <w:rPr>
          <w:color w:val="auto"/>
          <w:highlight w:val="none"/>
          <w:lang w:val="en-GB"/>
        </w:rPr>
        <w:t>.1气象</w:t>
      </w:r>
    </w:p>
    <w:p>
      <w:pPr>
        <w:rPr>
          <w:rFonts w:hint="eastAsia" w:cs="Times New Roman"/>
          <w:color w:val="auto"/>
          <w:highlight w:val="none"/>
        </w:rPr>
      </w:pPr>
      <w:r>
        <w:rPr>
          <w:rFonts w:hint="eastAsia" w:cs="Times New Roman"/>
          <w:color w:val="auto"/>
          <w:highlight w:val="none"/>
        </w:rPr>
        <w:t>柳江区处于南亚热带向中亚热带过渡的季风气候区，冬短夏长，雨热同季，气候多变。多年年均气温20.9℃，年极端最高气温39.0℃，年极端最低气温-1.6℃；多年平均降雨量为1543.8mm，多集中在5～9月。多年平均日照时数1396.8小时，年均相对湿度76%。年均蒸发量1510.8mm，年无霜期360d。年平均风速1.7m/s，最多风向为NNE风。</w:t>
      </w:r>
    </w:p>
    <w:p>
      <w:pPr>
        <w:ind w:firstLine="562"/>
        <w:jc w:val="center"/>
        <w:rPr>
          <w:rFonts w:eastAsia="仿宋_GB2312" w:cs="Times New Roman"/>
          <w:b/>
          <w:bCs/>
          <w:color w:val="auto"/>
          <w:highlight w:val="none"/>
        </w:rPr>
      </w:pPr>
    </w:p>
    <w:p>
      <w:pPr>
        <w:ind w:firstLine="562"/>
        <w:jc w:val="center"/>
        <w:rPr>
          <w:rFonts w:eastAsia="仿宋_GB2312" w:cs="Times New Roman"/>
          <w:b/>
          <w:bCs/>
          <w:color w:val="auto"/>
          <w:highlight w:val="none"/>
        </w:rPr>
      </w:pPr>
    </w:p>
    <w:p>
      <w:pPr>
        <w:ind w:firstLine="562"/>
        <w:jc w:val="center"/>
        <w:rPr>
          <w:rFonts w:eastAsia="仿宋_GB2312" w:cs="Times New Roman"/>
          <w:b/>
          <w:bCs/>
          <w:color w:val="auto"/>
          <w:highlight w:val="none"/>
        </w:rPr>
      </w:pPr>
      <w:r>
        <w:rPr>
          <w:rFonts w:eastAsia="仿宋_GB2312" w:cs="Times New Roman"/>
          <w:b/>
          <w:bCs/>
          <w:color w:val="auto"/>
          <w:highlight w:val="none"/>
        </w:rPr>
        <w:t>表2.1-1 项目区主要气象指标统计表</w:t>
      </w:r>
    </w:p>
    <w:tbl>
      <w:tblPr>
        <w:tblStyle w:val="30"/>
        <w:tblW w:w="8528" w:type="dxa"/>
        <w:jc w:val="center"/>
        <w:tblInd w:w="0" w:type="dxa"/>
        <w:tblLayout w:type="fixed"/>
        <w:tblCellMar>
          <w:top w:w="0" w:type="dxa"/>
          <w:left w:w="108" w:type="dxa"/>
          <w:bottom w:w="0" w:type="dxa"/>
          <w:right w:w="108" w:type="dxa"/>
        </w:tblCellMar>
      </w:tblPr>
      <w:tblGrid>
        <w:gridCol w:w="852"/>
        <w:gridCol w:w="749"/>
        <w:gridCol w:w="872"/>
        <w:gridCol w:w="875"/>
        <w:gridCol w:w="872"/>
        <w:gridCol w:w="1018"/>
        <w:gridCol w:w="873"/>
        <w:gridCol w:w="873"/>
        <w:gridCol w:w="739"/>
        <w:gridCol w:w="805"/>
      </w:tblGrid>
      <w:tr>
        <w:tblPrEx>
          <w:tblLayout w:type="fixed"/>
          <w:tblCellMar>
            <w:top w:w="0" w:type="dxa"/>
            <w:left w:w="108" w:type="dxa"/>
            <w:bottom w:w="0" w:type="dxa"/>
            <w:right w:w="108" w:type="dxa"/>
          </w:tblCellMar>
        </w:tblPrEx>
        <w:trPr>
          <w:trHeight w:val="480" w:hRule="atLeast"/>
          <w:jc w:val="center"/>
        </w:trPr>
        <w:tc>
          <w:tcPr>
            <w:tcW w:w="8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行政区</w:t>
            </w:r>
          </w:p>
        </w:tc>
        <w:tc>
          <w:tcPr>
            <w:tcW w:w="749"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多年平均气温</w:t>
            </w:r>
          </w:p>
        </w:tc>
        <w:tc>
          <w:tcPr>
            <w:tcW w:w="87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年极端最高气温</w:t>
            </w:r>
          </w:p>
        </w:tc>
        <w:tc>
          <w:tcPr>
            <w:tcW w:w="875"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年极端最低气温</w:t>
            </w:r>
          </w:p>
        </w:tc>
        <w:tc>
          <w:tcPr>
            <w:tcW w:w="87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多年平均降雨量</w:t>
            </w:r>
          </w:p>
        </w:tc>
        <w:tc>
          <w:tcPr>
            <w:tcW w:w="1018"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多年平均蒸发量</w:t>
            </w:r>
          </w:p>
        </w:tc>
        <w:tc>
          <w:tcPr>
            <w:tcW w:w="873"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年均相对湿度</w:t>
            </w:r>
          </w:p>
        </w:tc>
        <w:tc>
          <w:tcPr>
            <w:tcW w:w="8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多年平均日照时数</w:t>
            </w:r>
          </w:p>
        </w:tc>
        <w:tc>
          <w:tcPr>
            <w:tcW w:w="739"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历年平均风速</w:t>
            </w:r>
          </w:p>
        </w:tc>
        <w:tc>
          <w:tcPr>
            <w:tcW w:w="805"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多年平均无霜期</w:t>
            </w:r>
          </w:p>
        </w:tc>
      </w:tr>
      <w:tr>
        <w:tblPrEx>
          <w:tblLayout w:type="fixed"/>
          <w:tblCellMar>
            <w:top w:w="0" w:type="dxa"/>
            <w:left w:w="108" w:type="dxa"/>
            <w:bottom w:w="0" w:type="dxa"/>
            <w:right w:w="108" w:type="dxa"/>
          </w:tblCellMar>
        </w:tblPrEx>
        <w:trPr>
          <w:trHeight w:val="285"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color w:val="auto"/>
                <w:kern w:val="0"/>
                <w:sz w:val="20"/>
                <w:szCs w:val="20"/>
                <w:highlight w:val="none"/>
              </w:rPr>
            </w:pPr>
          </w:p>
        </w:tc>
        <w:tc>
          <w:tcPr>
            <w:tcW w:w="74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lang w:eastAsia="zh-TW"/>
              </w:rPr>
              <w:t>℃</w:t>
            </w:r>
          </w:p>
        </w:tc>
        <w:tc>
          <w:tcPr>
            <w:tcW w:w="87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lang w:eastAsia="zh-TW"/>
              </w:rPr>
              <w:t>℃</w:t>
            </w:r>
          </w:p>
        </w:tc>
        <w:tc>
          <w:tcPr>
            <w:tcW w:w="875"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lang w:eastAsia="zh-TW"/>
              </w:rPr>
              <w:t>℃</w:t>
            </w:r>
          </w:p>
        </w:tc>
        <w:tc>
          <w:tcPr>
            <w:tcW w:w="87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mm</w:t>
            </w:r>
          </w:p>
        </w:tc>
        <w:tc>
          <w:tcPr>
            <w:tcW w:w="1018"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mm</w:t>
            </w:r>
          </w:p>
        </w:tc>
        <w:tc>
          <w:tcPr>
            <w:tcW w:w="873"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w:t>
            </w:r>
          </w:p>
        </w:tc>
        <w:tc>
          <w:tcPr>
            <w:tcW w:w="873"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小时</w:t>
            </w:r>
          </w:p>
        </w:tc>
        <w:tc>
          <w:tcPr>
            <w:tcW w:w="73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m/s</w:t>
            </w:r>
          </w:p>
        </w:tc>
        <w:tc>
          <w:tcPr>
            <w:tcW w:w="805"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天</w:t>
            </w:r>
          </w:p>
        </w:tc>
      </w:tr>
      <w:tr>
        <w:tblPrEx>
          <w:tblLayout w:type="fixed"/>
          <w:tblCellMar>
            <w:top w:w="0" w:type="dxa"/>
            <w:left w:w="108" w:type="dxa"/>
            <w:bottom w:w="0" w:type="dxa"/>
            <w:right w:w="108" w:type="dxa"/>
          </w:tblCellMar>
        </w:tblPrEx>
        <w:trPr>
          <w:trHeight w:val="285" w:hRule="atLeast"/>
          <w:jc w:val="center"/>
        </w:trPr>
        <w:tc>
          <w:tcPr>
            <w:tcW w:w="85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0"/>
                <w:szCs w:val="20"/>
                <w:highlight w:val="none"/>
              </w:rPr>
            </w:pPr>
            <w:r>
              <w:rPr>
                <w:rFonts w:eastAsia="宋体" w:cs="Times New Roman"/>
                <w:color w:val="auto"/>
                <w:kern w:val="0"/>
                <w:sz w:val="20"/>
                <w:szCs w:val="20"/>
                <w:highlight w:val="none"/>
              </w:rPr>
              <w:t>柳江区</w:t>
            </w:r>
          </w:p>
        </w:tc>
        <w:tc>
          <w:tcPr>
            <w:tcW w:w="74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20.9</w:t>
            </w:r>
          </w:p>
        </w:tc>
        <w:tc>
          <w:tcPr>
            <w:tcW w:w="87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39.0</w:t>
            </w:r>
          </w:p>
        </w:tc>
        <w:tc>
          <w:tcPr>
            <w:tcW w:w="875"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-1.6</w:t>
            </w:r>
          </w:p>
        </w:tc>
        <w:tc>
          <w:tcPr>
            <w:tcW w:w="87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1543.8</w:t>
            </w:r>
          </w:p>
        </w:tc>
        <w:tc>
          <w:tcPr>
            <w:tcW w:w="1018"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1510.8</w:t>
            </w:r>
          </w:p>
        </w:tc>
        <w:tc>
          <w:tcPr>
            <w:tcW w:w="873"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76</w:t>
            </w:r>
          </w:p>
        </w:tc>
        <w:tc>
          <w:tcPr>
            <w:tcW w:w="873"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1396.8</w:t>
            </w:r>
          </w:p>
        </w:tc>
        <w:tc>
          <w:tcPr>
            <w:tcW w:w="73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1.7</w:t>
            </w:r>
          </w:p>
        </w:tc>
        <w:tc>
          <w:tcPr>
            <w:tcW w:w="805"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360</w:t>
            </w:r>
          </w:p>
        </w:tc>
      </w:tr>
    </w:tbl>
    <w:p>
      <w:pPr>
        <w:ind w:firstLine="0" w:firstLineChars="0"/>
        <w:rPr>
          <w:rFonts w:cs="Times New Roman" w:eastAsiaTheme="minorEastAsia"/>
          <w:color w:val="auto"/>
          <w:kern w:val="0"/>
          <w:sz w:val="21"/>
          <w:szCs w:val="21"/>
          <w:highlight w:val="none"/>
        </w:rPr>
      </w:pPr>
      <w:r>
        <w:rPr>
          <w:rFonts w:eastAsia="宋体" w:cs="Times New Roman"/>
          <w:color w:val="auto"/>
          <w:kern w:val="0"/>
          <w:sz w:val="21"/>
          <w:szCs w:val="21"/>
          <w:highlight w:val="none"/>
          <w:lang w:eastAsia="zh-TW"/>
        </w:rPr>
        <w:t>注：</w:t>
      </w:r>
      <w:r>
        <w:rPr>
          <w:rFonts w:hint="eastAsia" w:ascii="Times New Roman" w:hAnsi="Times New Roman" w:eastAsia="仿宋_GB2312" w:cs="仿宋_GB2312"/>
          <w:color w:val="auto"/>
          <w:kern w:val="0"/>
          <w:sz w:val="24"/>
          <w:szCs w:val="24"/>
          <w:lang w:val="zh-CN" w:eastAsia="zh-TW" w:bidi="ar-SA"/>
        </w:rPr>
        <w:t>表中数据源于</w:t>
      </w:r>
      <w:r>
        <w:rPr>
          <w:rFonts w:hint="eastAsia" w:ascii="Times New Roman" w:hAnsi="Times New Roman" w:eastAsia="仿宋_GB2312" w:cs="仿宋_GB2312"/>
          <w:color w:val="auto"/>
          <w:kern w:val="0"/>
          <w:sz w:val="24"/>
          <w:szCs w:val="24"/>
          <w:lang w:val="en-US" w:eastAsia="zh-CN" w:bidi="ar-SA"/>
        </w:rPr>
        <w:t>柳江区国家基本气象站1991</w:t>
      </w:r>
      <w:r>
        <w:rPr>
          <w:rFonts w:hint="eastAsia" w:eastAsia="仿宋_GB2312" w:cs="仿宋_GB2312"/>
          <w:color w:val="auto"/>
          <w:kern w:val="0"/>
          <w:sz w:val="24"/>
          <w:szCs w:val="24"/>
          <w:lang w:val="en-US" w:eastAsia="zh-CN" w:bidi="ar-SA"/>
        </w:rPr>
        <w:t>—</w:t>
      </w:r>
      <w:r>
        <w:rPr>
          <w:rFonts w:hint="eastAsia" w:ascii="Times New Roman" w:hAnsi="Times New Roman" w:eastAsia="仿宋_GB2312" w:cs="仿宋_GB2312"/>
          <w:color w:val="auto"/>
          <w:kern w:val="0"/>
          <w:sz w:val="24"/>
          <w:szCs w:val="24"/>
          <w:lang w:val="en-US" w:eastAsia="zh-CN" w:bidi="ar-SA"/>
        </w:rPr>
        <w:t>2020年30年统计数据</w:t>
      </w:r>
      <w:r>
        <w:rPr>
          <w:rFonts w:eastAsia="宋体" w:cs="Times New Roman"/>
          <w:color w:val="auto"/>
          <w:kern w:val="0"/>
          <w:sz w:val="21"/>
          <w:szCs w:val="21"/>
          <w:highlight w:val="none"/>
          <w:lang w:eastAsia="zh-TW"/>
        </w:rPr>
        <w:t>。</w:t>
      </w:r>
    </w:p>
    <w:p>
      <w:pPr>
        <w:pStyle w:val="5"/>
        <w:spacing w:before="156"/>
        <w:ind w:firstLine="562"/>
        <w:rPr>
          <w:color w:val="auto"/>
          <w:highlight w:val="none"/>
          <w:lang w:val="en-GB"/>
        </w:rPr>
      </w:pPr>
      <w:r>
        <w:rPr>
          <w:color w:val="auto"/>
          <w:highlight w:val="none"/>
          <w:lang w:val="en-GB"/>
        </w:rPr>
        <w:t>2.1.</w:t>
      </w:r>
      <w:r>
        <w:rPr>
          <w:color w:val="auto"/>
          <w:highlight w:val="none"/>
          <w:lang w:val="en-US"/>
        </w:rPr>
        <w:t>2</w:t>
      </w:r>
      <w:r>
        <w:rPr>
          <w:color w:val="auto"/>
          <w:highlight w:val="none"/>
          <w:lang w:val="en-GB"/>
        </w:rPr>
        <w:t>.2水文、水资源</w:t>
      </w:r>
    </w:p>
    <w:p>
      <w:pPr>
        <w:rPr>
          <w:rFonts w:cs="Times New Roman"/>
          <w:color w:val="auto"/>
          <w:highlight w:val="none"/>
        </w:rPr>
      </w:pPr>
      <w:r>
        <w:rPr>
          <w:rFonts w:cs="Times New Roman"/>
          <w:color w:val="auto"/>
          <w:highlight w:val="none"/>
          <w:lang w:val="zh-CN"/>
        </w:rPr>
        <w:t>柳江区境内河流均属珠江流域西江水系，</w:t>
      </w:r>
      <w:r>
        <w:rPr>
          <w:rFonts w:cs="Times New Roman"/>
          <w:color w:val="auto"/>
          <w:highlight w:val="none"/>
        </w:rPr>
        <w:t>柳江区水资源总量16.05亿立方米，有大小河流142条，流域面积1766.5平方千米，根据《第一次全国水利普查》成果，柳江区境内集雨面积50平方千米以上的河流23条，均属于红水河流域和柳江流域。</w:t>
      </w:r>
    </w:p>
    <w:p>
      <w:pPr>
        <w:rPr>
          <w:rFonts w:cs="Times New Roman"/>
          <w:color w:val="auto"/>
          <w:highlight w:val="none"/>
        </w:rPr>
      </w:pPr>
      <w:r>
        <w:rPr>
          <w:rFonts w:cs="Times New Roman"/>
          <w:color w:val="auto"/>
          <w:highlight w:val="none"/>
        </w:rPr>
        <w:t>（1）红水河：红水河是西江的干流，上游称南盘江，发源于云南省沾益县马雄山，经广西西林、隆林、田林与贵州的兴义、安隆、册亨等至蔗香（双江口）与北盘江汇合后称红水河，流经乐业、天峨、南丹、东兰、巴马、都安、马山、忻城、来宾至象州县境的三江口。红水河流域总集水面积52600 km</w:t>
      </w:r>
      <w:r>
        <w:rPr>
          <w:rFonts w:cs="Times New Roman"/>
          <w:color w:val="auto"/>
          <w:highlight w:val="none"/>
          <w:vertAlign w:val="superscript"/>
        </w:rPr>
        <w:t>2</w:t>
      </w:r>
      <w:r>
        <w:rPr>
          <w:rFonts w:cs="Times New Roman"/>
          <w:color w:val="auto"/>
          <w:highlight w:val="none"/>
        </w:rPr>
        <w:t>，河长659km，平均比降0.37‰。</w:t>
      </w:r>
    </w:p>
    <w:p>
      <w:pPr>
        <w:rPr>
          <w:rFonts w:cs="Times New Roman"/>
          <w:color w:val="auto"/>
          <w:highlight w:val="none"/>
        </w:rPr>
      </w:pPr>
      <w:r>
        <w:rPr>
          <w:rFonts w:cs="Times New Roman"/>
          <w:color w:val="auto"/>
          <w:highlight w:val="none"/>
        </w:rPr>
        <w:t>红水河在柳江区境内集雨面积为928 km</w:t>
      </w:r>
      <w:r>
        <w:rPr>
          <w:rFonts w:cs="Times New Roman"/>
          <w:color w:val="auto"/>
          <w:highlight w:val="none"/>
          <w:vertAlign w:val="superscript"/>
        </w:rPr>
        <w:t>2</w:t>
      </w:r>
      <w:r>
        <w:rPr>
          <w:rFonts w:cs="Times New Roman"/>
          <w:color w:val="auto"/>
          <w:highlight w:val="none"/>
        </w:rPr>
        <w:t>，涉及的河流主要有北之江、凤凰河、穿山河等。</w:t>
      </w:r>
    </w:p>
    <w:p>
      <w:pPr>
        <w:rPr>
          <w:rFonts w:cs="Times New Roman"/>
          <w:color w:val="auto"/>
          <w:highlight w:val="none"/>
        </w:rPr>
      </w:pPr>
      <w:r>
        <w:rPr>
          <w:rFonts w:cs="Times New Roman"/>
          <w:color w:val="auto"/>
          <w:highlight w:val="none"/>
        </w:rPr>
        <w:t>（2）柳江：柳江是珠江流域西江水系第二大支流，位于广西北部。发源于贵州省独山县里纳九十九滩，上游段称都柳江，由西北向东南流，经贵州三都、榕江、从江三县后，于八洛进入广西北部的三江县，在三江县老堡口与古宜河（也称寻江）汇合后称融江，河流折向南流，经融安、融水、柳江区，至凤山镇与支流龙江汇合后始称柳江，流向又变为由西北向东南流，经柳江区、柳州市、象州县，在象州县石龙镇三江口与红水河汇合流入黔江，于梧州注入西江。柳江流域总集水面积58398km</w:t>
      </w:r>
      <w:r>
        <w:rPr>
          <w:rFonts w:cs="Times New Roman"/>
          <w:color w:val="auto"/>
          <w:highlight w:val="none"/>
          <w:vertAlign w:val="superscript"/>
        </w:rPr>
        <w:t>2</w:t>
      </w:r>
      <w:r>
        <w:rPr>
          <w:rFonts w:cs="Times New Roman"/>
          <w:color w:val="auto"/>
          <w:highlight w:val="none"/>
        </w:rPr>
        <w:t>（其中广西境内42044km</w:t>
      </w:r>
      <w:r>
        <w:rPr>
          <w:rFonts w:cs="Times New Roman"/>
          <w:color w:val="auto"/>
          <w:highlight w:val="none"/>
          <w:vertAlign w:val="superscript"/>
        </w:rPr>
        <w:t>2</w:t>
      </w:r>
      <w:r>
        <w:rPr>
          <w:rFonts w:cs="Times New Roman"/>
          <w:color w:val="auto"/>
          <w:highlight w:val="none"/>
        </w:rPr>
        <w:t>，占总流域面积的72 %；贵州境内面积15698 km</w:t>
      </w:r>
      <w:r>
        <w:rPr>
          <w:rFonts w:cs="Times New Roman"/>
          <w:color w:val="auto"/>
          <w:highlight w:val="none"/>
          <w:vertAlign w:val="superscript"/>
        </w:rPr>
        <w:t>2</w:t>
      </w:r>
      <w:r>
        <w:rPr>
          <w:rFonts w:cs="Times New Roman"/>
          <w:color w:val="auto"/>
          <w:highlight w:val="none"/>
        </w:rPr>
        <w:t>，占流域总面积的26.9％，湖南境内面积656 km</w:t>
      </w:r>
      <w:r>
        <w:rPr>
          <w:rFonts w:cs="Times New Roman"/>
          <w:color w:val="auto"/>
          <w:highlight w:val="none"/>
          <w:vertAlign w:val="superscript"/>
        </w:rPr>
        <w:t>2</w:t>
      </w:r>
      <w:r>
        <w:rPr>
          <w:rFonts w:cs="Times New Roman"/>
          <w:color w:val="auto"/>
          <w:highlight w:val="none"/>
        </w:rPr>
        <w:t xml:space="preserve">，占1.1％），干流河长750.5km，总落差1297m，平均坡降为1.7‰。都柳江为上游河段，融江为中游河段；龙江汇入后的柳江为下游河段，河长202.5km，落差35.5m，平均坡降0.18‰。 </w:t>
      </w:r>
    </w:p>
    <w:p>
      <w:pPr>
        <w:rPr>
          <w:rFonts w:cs="Times New Roman"/>
          <w:color w:val="auto"/>
          <w:highlight w:val="none"/>
        </w:rPr>
      </w:pPr>
      <w:r>
        <w:rPr>
          <w:rFonts w:cs="Times New Roman"/>
          <w:color w:val="auto"/>
          <w:highlight w:val="none"/>
        </w:rPr>
        <w:t>柳江在柳江区境内集雨面积约1695 km</w:t>
      </w:r>
      <w:r>
        <w:rPr>
          <w:rFonts w:cs="Times New Roman"/>
          <w:color w:val="auto"/>
          <w:highlight w:val="none"/>
          <w:vertAlign w:val="superscript"/>
        </w:rPr>
        <w:t>2</w:t>
      </w:r>
      <w:r>
        <w:rPr>
          <w:rFonts w:cs="Times New Roman"/>
          <w:color w:val="auto"/>
          <w:highlight w:val="none"/>
        </w:rPr>
        <w:t>，涉及的主要河流有龙江、凤山河、大桥河（又名响水河）、里雍河、红罗河等。</w:t>
      </w:r>
    </w:p>
    <w:p>
      <w:pPr>
        <w:rPr>
          <w:rFonts w:cs="Times New Roman"/>
          <w:color w:val="auto"/>
          <w:highlight w:val="none"/>
        </w:rPr>
      </w:pPr>
      <w:r>
        <w:rPr>
          <w:rFonts w:cs="Times New Roman"/>
          <w:color w:val="auto"/>
          <w:highlight w:val="none"/>
        </w:rPr>
        <w:t>柳江区境内有中型水库2座（北弓水库、</w:t>
      </w:r>
      <w:r>
        <w:rPr>
          <w:rFonts w:hint="eastAsia" w:cs="Times New Roman"/>
          <w:color w:val="auto"/>
          <w:highlight w:val="none"/>
        </w:rPr>
        <w:t>工农</w:t>
      </w:r>
      <w:r>
        <w:rPr>
          <w:rFonts w:cs="Times New Roman"/>
          <w:color w:val="auto"/>
          <w:highlight w:val="none"/>
        </w:rPr>
        <w:t>水库），总库容2680万m</w:t>
      </w:r>
      <w:r>
        <w:rPr>
          <w:rFonts w:cs="Times New Roman"/>
          <w:color w:val="auto"/>
          <w:highlight w:val="none"/>
          <w:vertAlign w:val="superscript"/>
        </w:rPr>
        <w:t>3</w:t>
      </w:r>
      <w:r>
        <w:rPr>
          <w:rFonts w:cs="Times New Roman"/>
          <w:color w:val="auto"/>
          <w:highlight w:val="none"/>
        </w:rPr>
        <w:t>；小型水库21座，总库容5202万m</w:t>
      </w:r>
      <w:r>
        <w:rPr>
          <w:rFonts w:cs="Times New Roman"/>
          <w:color w:val="auto"/>
          <w:highlight w:val="none"/>
          <w:vertAlign w:val="superscript"/>
        </w:rPr>
        <w:t>3</w:t>
      </w:r>
      <w:r>
        <w:rPr>
          <w:rFonts w:cs="Times New Roman"/>
          <w:color w:val="auto"/>
          <w:highlight w:val="none"/>
        </w:rPr>
        <w:t>；塘坝34座，总库容520万m</w:t>
      </w:r>
      <w:r>
        <w:rPr>
          <w:rFonts w:cs="Times New Roman"/>
          <w:color w:val="auto"/>
          <w:highlight w:val="none"/>
          <w:vertAlign w:val="superscript"/>
        </w:rPr>
        <w:t>3</w:t>
      </w:r>
      <w:r>
        <w:rPr>
          <w:rFonts w:cs="Times New Roman"/>
          <w:color w:val="auto"/>
          <w:highlight w:val="none"/>
        </w:rPr>
        <w:t>。柳江区全区蓄水工程总库容为9075万m</w:t>
      </w:r>
      <w:r>
        <w:rPr>
          <w:rFonts w:cs="Times New Roman"/>
          <w:color w:val="auto"/>
          <w:highlight w:val="none"/>
          <w:vertAlign w:val="superscript"/>
        </w:rPr>
        <w:t>3</w:t>
      </w:r>
      <w:r>
        <w:rPr>
          <w:rFonts w:cs="Times New Roman"/>
          <w:color w:val="auto"/>
          <w:highlight w:val="none"/>
        </w:rPr>
        <w:t>，总设计供水能力为11421万m</w:t>
      </w:r>
      <w:r>
        <w:rPr>
          <w:rFonts w:cs="Times New Roman"/>
          <w:color w:val="auto"/>
          <w:highlight w:val="none"/>
          <w:vertAlign w:val="superscript"/>
        </w:rPr>
        <w:t>3</w:t>
      </w:r>
      <w:r>
        <w:rPr>
          <w:rFonts w:cs="Times New Roman"/>
          <w:color w:val="auto"/>
          <w:highlight w:val="none"/>
        </w:rPr>
        <w:t>，现状年供水量9156万m</w:t>
      </w:r>
      <w:r>
        <w:rPr>
          <w:rFonts w:cs="Times New Roman"/>
          <w:color w:val="auto"/>
          <w:highlight w:val="none"/>
          <w:vertAlign w:val="superscript"/>
        </w:rPr>
        <w:t>3</w:t>
      </w:r>
      <w:r>
        <w:rPr>
          <w:rFonts w:cs="Times New Roman"/>
          <w:color w:val="auto"/>
          <w:highlight w:val="none"/>
        </w:rPr>
        <w:t>，其中，水库供水量8642万m</w:t>
      </w:r>
      <w:r>
        <w:rPr>
          <w:rFonts w:cs="Times New Roman"/>
          <w:color w:val="auto"/>
          <w:highlight w:val="none"/>
          <w:vertAlign w:val="superscript"/>
        </w:rPr>
        <w:t>3</w:t>
      </w:r>
      <w:r>
        <w:rPr>
          <w:rFonts w:cs="Times New Roman"/>
          <w:color w:val="auto"/>
          <w:highlight w:val="none"/>
        </w:rPr>
        <w:t>，塘坝供水量514万m</w:t>
      </w:r>
      <w:r>
        <w:rPr>
          <w:rFonts w:cs="Times New Roman"/>
          <w:color w:val="auto"/>
          <w:highlight w:val="none"/>
          <w:vertAlign w:val="superscript"/>
        </w:rPr>
        <w:t>3</w:t>
      </w:r>
      <w:r>
        <w:rPr>
          <w:rFonts w:cs="Times New Roman"/>
          <w:color w:val="auto"/>
          <w:highlight w:val="none"/>
        </w:rPr>
        <w:t>。</w:t>
      </w:r>
    </w:p>
    <w:p>
      <w:pPr>
        <w:rPr>
          <w:rFonts w:cs="Times New Roman"/>
          <w:color w:val="auto"/>
          <w:highlight w:val="none"/>
        </w:rPr>
      </w:pPr>
      <w:r>
        <w:rPr>
          <w:rFonts w:cs="Times New Roman"/>
          <w:color w:val="auto"/>
          <w:highlight w:val="none"/>
        </w:rPr>
        <w:t>柳江区地下水类型主要以碳酸盐岩岩溶水为主，富水性中等～丰富。柳江区境内有地下水生产井2001口，地下水总供水能力为2849万立方米。</w:t>
      </w:r>
    </w:p>
    <w:p>
      <w:pPr>
        <w:pStyle w:val="4"/>
        <w:spacing w:before="156"/>
        <w:ind w:firstLine="562"/>
        <w:rPr>
          <w:color w:val="auto"/>
          <w:highlight w:val="none"/>
          <w:lang w:val="en-US"/>
        </w:rPr>
      </w:pPr>
      <w:bookmarkStart w:id="109" w:name="_Toc2720"/>
      <w:bookmarkStart w:id="110" w:name="_Toc101681423"/>
      <w:bookmarkStart w:id="111" w:name="_Toc15682"/>
      <w:r>
        <w:rPr>
          <w:color w:val="auto"/>
          <w:highlight w:val="none"/>
          <w:lang w:val="en-GB"/>
        </w:rPr>
        <w:t>2.1.3土壤、植物</w:t>
      </w:r>
      <w:r>
        <w:rPr>
          <w:color w:val="auto"/>
          <w:highlight w:val="none"/>
          <w:lang w:val="en-US"/>
        </w:rPr>
        <w:t>、</w:t>
      </w:r>
      <w:bookmarkEnd w:id="109"/>
      <w:r>
        <w:rPr>
          <w:color w:val="auto"/>
          <w:highlight w:val="none"/>
          <w:lang w:val="en-US"/>
        </w:rPr>
        <w:t>动物、矿产资源</w:t>
      </w:r>
      <w:bookmarkEnd w:id="110"/>
      <w:bookmarkEnd w:id="111"/>
    </w:p>
    <w:p>
      <w:pPr>
        <w:pStyle w:val="5"/>
        <w:spacing w:before="156"/>
        <w:ind w:firstLine="562"/>
        <w:rPr>
          <w:color w:val="auto"/>
          <w:highlight w:val="none"/>
          <w:lang w:val="en-GB"/>
        </w:rPr>
      </w:pPr>
      <w:r>
        <w:rPr>
          <w:color w:val="auto"/>
          <w:highlight w:val="none"/>
          <w:lang w:val="en-GB"/>
        </w:rPr>
        <w:t>2.1.3.1土壤</w:t>
      </w:r>
    </w:p>
    <w:p>
      <w:pPr>
        <w:rPr>
          <w:rFonts w:hint="default" w:eastAsia="仿宋" w:cs="Times New Roman"/>
          <w:b/>
          <w:bCs/>
          <w:color w:val="auto"/>
          <w:highlight w:val="none"/>
          <w:lang w:val="en-US" w:eastAsia="zh-CN"/>
        </w:rPr>
      </w:pPr>
      <w:r>
        <w:rPr>
          <w:rFonts w:hint="eastAsia" w:cs="Times New Roman"/>
          <w:color w:val="auto"/>
          <w:highlight w:val="none"/>
        </w:rPr>
        <w:t>柳江区西、南、东部地区土地瘠薄，地形坡度较大，耕作比较困难，相当一部分耕地要退耕还林；中部虽土地肥沃，地势平坦，水利设施齐全，但人口密度大，人均耕地少，绝大部分后备土地资源已被开发利用。县内主要成土母质主要有红土母质、洪积物、河流冲积物、基性结晶岩类残积物、砂岩类残积物和碳酸盐岩类残积物等。</w:t>
      </w:r>
      <w:r>
        <w:rPr>
          <w:rFonts w:cs="Times New Roman"/>
          <w:color w:val="auto"/>
          <w:highlight w:val="none"/>
        </w:rPr>
        <w:t>柳江区境内土壤大体可归纳为</w:t>
      </w:r>
      <w:r>
        <w:rPr>
          <w:rFonts w:hint="eastAsia" w:cs="Times New Roman"/>
          <w:color w:val="auto"/>
          <w:highlight w:val="none"/>
          <w:lang w:val="en-US" w:eastAsia="zh-CN"/>
        </w:rPr>
        <w:t>棕色石灰土、石灰（岩）土、硅质岩粗骨土、红壤、赤红壤、水稻土、岩石7个类别</w:t>
      </w:r>
      <w:r>
        <w:rPr>
          <w:rFonts w:cs="Times New Roman"/>
          <w:color w:val="auto"/>
          <w:highlight w:val="none"/>
        </w:rPr>
        <w:t>。全境</w:t>
      </w:r>
      <w:r>
        <w:rPr>
          <w:rFonts w:hint="eastAsia" w:cs="Times New Roman"/>
          <w:color w:val="auto"/>
          <w:highlight w:val="none"/>
          <w:lang w:val="en-US" w:eastAsia="zh-CN"/>
        </w:rPr>
        <w:t>7</w:t>
      </w:r>
      <w:r>
        <w:rPr>
          <w:rFonts w:cs="Times New Roman"/>
          <w:color w:val="auto"/>
          <w:highlight w:val="none"/>
        </w:rPr>
        <w:t>个土类中又以</w:t>
      </w:r>
      <w:r>
        <w:rPr>
          <w:rFonts w:hint="eastAsia" w:cs="Times New Roman"/>
          <w:color w:val="auto"/>
          <w:highlight w:val="none"/>
          <w:lang w:val="en-US" w:eastAsia="zh-CN"/>
        </w:rPr>
        <w:t>硅质岩粗骨土、</w:t>
      </w:r>
      <w:r>
        <w:rPr>
          <w:rFonts w:cs="Times New Roman"/>
          <w:color w:val="auto"/>
          <w:highlight w:val="none"/>
        </w:rPr>
        <w:t>红壤、石灰土为主，红壤</w:t>
      </w:r>
      <w:r>
        <w:rPr>
          <w:rFonts w:hint="eastAsia" w:cs="Times New Roman"/>
          <w:color w:val="auto"/>
          <w:highlight w:val="none"/>
          <w:lang w:eastAsia="zh-CN"/>
        </w:rPr>
        <w:t>呈酸性</w:t>
      </w:r>
      <w:r>
        <w:rPr>
          <w:rFonts w:cs="Times New Roman"/>
          <w:color w:val="auto"/>
          <w:highlight w:val="none"/>
        </w:rPr>
        <w:t>，质地黏重，pH4.0~5.0之间，盐基不饱和，土壤土层厚重，养分中等，有机质含量可达</w:t>
      </w:r>
      <w:r>
        <w:rPr>
          <w:rFonts w:hint="eastAsia" w:cs="Times New Roman"/>
          <w:color w:val="auto"/>
          <w:highlight w:val="none"/>
          <w:lang w:eastAsia="zh-CN"/>
        </w:rPr>
        <w:t>2%～6%</w:t>
      </w:r>
      <w:r>
        <w:rPr>
          <w:rFonts w:cs="Times New Roman"/>
          <w:color w:val="auto"/>
          <w:highlight w:val="none"/>
        </w:rPr>
        <w:t>；石灰土多有碳酸盐岩溶蚀残余物发育而成的，pH6.0~8.5之间，土层厚度较薄，有机质分解较快，腐殖质积累作用较微弱，有机质含量较低。</w:t>
      </w:r>
      <w:r>
        <w:rPr>
          <w:rFonts w:hint="eastAsia" w:cs="Times New Roman"/>
          <w:color w:val="auto"/>
          <w:highlight w:val="none"/>
          <w:lang w:val="en-US" w:eastAsia="zh-CN"/>
        </w:rPr>
        <w:t>土博镇主要土壤类型为石灰（岩）土、硅质岩粗骨土、岩石；里高镇主要土壤类型为石灰（岩）土、硅质岩粗骨土、水稻土；三都镇主要土壤类型为水稻土、硅质岩粗骨土、水稻土；成团镇土壤类型为水稻土、石灰（岩）土、红壤；拉堡镇主要土壤类型为水稻土、红壤；进德镇主要土壤类型为水稻土、石灰（岩）土、硅质岩粗骨土；百朋镇主要土壤类型为硅质岩粗骨土、石灰（岩）土、水稻土；穿山镇主要土壤类型为硅质岩粗骨土、棕色石灰土、水稻土。</w:t>
      </w:r>
    </w:p>
    <w:p>
      <w:pPr>
        <w:pStyle w:val="5"/>
        <w:spacing w:before="156"/>
        <w:ind w:firstLine="562"/>
        <w:rPr>
          <w:color w:val="auto"/>
          <w:highlight w:val="none"/>
          <w:lang w:val="en-GB"/>
        </w:rPr>
      </w:pPr>
      <w:r>
        <w:rPr>
          <w:color w:val="auto"/>
          <w:highlight w:val="none"/>
          <w:lang w:val="en-GB"/>
        </w:rPr>
        <w:t>2.1.</w:t>
      </w:r>
      <w:r>
        <w:rPr>
          <w:color w:val="auto"/>
          <w:highlight w:val="none"/>
          <w:lang w:val="en-US"/>
        </w:rPr>
        <w:t>3</w:t>
      </w:r>
      <w:r>
        <w:rPr>
          <w:color w:val="auto"/>
          <w:highlight w:val="none"/>
          <w:lang w:val="en-GB"/>
        </w:rPr>
        <w:t>.2植物资源</w:t>
      </w:r>
    </w:p>
    <w:p>
      <w:pPr>
        <w:rPr>
          <w:rFonts w:hint="default" w:eastAsia="仿宋" w:cs="Times New Roman"/>
          <w:color w:val="auto"/>
          <w:highlight w:val="none"/>
          <w:lang w:val="en-US" w:eastAsia="zh-CN"/>
        </w:rPr>
      </w:pPr>
      <w:r>
        <w:rPr>
          <w:rFonts w:cs="Times New Roman"/>
          <w:color w:val="auto"/>
          <w:highlight w:val="none"/>
        </w:rPr>
        <w:t>柳江区属亚热带气候区，气候温暖湿润，雨量充沛。根统计，柳江区多年平均气温为20.4℃，多年平均年降雨量1424.7mm，雨季5～9月，雨季降雨量占全年雨量的70%。全柳江区森林植被类型属亚热带常绿阔叶林。由于长期的开荒、樵采等人为活动反复干扰以及不合理的开发利用，县境内原生植被多已不复存在，现存植被主要由次生天然植被和人工植被组成。按成土母质不同可分为土山植被和喀斯特石灰岩植被。土山土层深厚，易于植树造林，多为杉木林、马尾松林、桉树林、油桐林、油茶林及多类经济林。常见的灌木有算盘子、黄荆、鬼灯笼、桃金娘、野牡丹等。草本植物多为铁芒萁、白茅、野古草等。喀斯特石灰岩植被立地条件较差，加上受人为破坏严重，植被恢复困难，已退化成落叶阔叶林、灌丛、灌草丛、草丛，石山地区残存的典型森林—常绿落叶阔叶林树种主要是壳斗科青冈属植物，落叶树种主要为榆科朴属、榆属、桦木科化香属等植物。常见的灌丛有老虎刺、龙须藤、红背山麻杆、黄荆、灰毛浆果楝等，其他伴生种有竹叶花椒、金丝桃、马桑、亮叶崖豆藤等。</w:t>
      </w:r>
      <w:r>
        <w:rPr>
          <w:rFonts w:hint="eastAsia" w:cs="Times New Roman"/>
          <w:color w:val="auto"/>
          <w:highlight w:val="none"/>
          <w:lang w:val="en-US" w:eastAsia="zh-CN"/>
        </w:rPr>
        <w:t>2021年柳江区森林覆盖率62.51%。</w:t>
      </w:r>
    </w:p>
    <w:p>
      <w:pPr>
        <w:pStyle w:val="5"/>
        <w:spacing w:before="156"/>
        <w:ind w:firstLine="562"/>
        <w:rPr>
          <w:color w:val="auto"/>
          <w:highlight w:val="none"/>
          <w:lang w:val="en-US"/>
        </w:rPr>
      </w:pPr>
      <w:r>
        <w:rPr>
          <w:color w:val="auto"/>
          <w:highlight w:val="none"/>
          <w:lang w:val="en-US"/>
        </w:rPr>
        <w:t>2.1.3.3矿产资源</w:t>
      </w:r>
    </w:p>
    <w:p>
      <w:pPr>
        <w:rPr>
          <w:rFonts w:cs="Times New Roman"/>
          <w:color w:val="auto"/>
          <w:highlight w:val="none"/>
        </w:rPr>
      </w:pPr>
      <w:bookmarkStart w:id="112" w:name="_Toc90399087"/>
      <w:bookmarkStart w:id="113" w:name="_Toc28898"/>
      <w:bookmarkStart w:id="114" w:name="_Toc528945985"/>
      <w:bookmarkStart w:id="115" w:name="_Toc482812760"/>
      <w:bookmarkStart w:id="116" w:name="_Toc8338"/>
      <w:bookmarkStart w:id="117" w:name="_Toc26400"/>
      <w:bookmarkStart w:id="118" w:name="_Toc439661486"/>
      <w:r>
        <w:rPr>
          <w:rFonts w:cs="Times New Roman"/>
          <w:color w:val="auto"/>
          <w:highlight w:val="none"/>
        </w:rPr>
        <w:t>柳江区由于特殊的地质条件，柳江沉积了巨厚的碳酸盐岩类、含锰岩系。柳江区境内的主要金属矿产有锰矿、铁矿，非金属矿产有石灰岩（建筑用灰岩、溶剂用灰岩、饰面用生物灰岩）、方解石、砖瓦用页岩、硅土等。八一思荣锰矿、柳江区锰矿开采于上世纪50年代，经60余载，累计开采锰矿石数百万吨，经检测评估，矿区尾残矿储量在60万吨左右。柳江区石灰石开采正在形成规模化和产业化，年产石灰石约250万吨。已探明建筑用石灰石储量8处，储量10.3284亿吨；饰面用灰岩9处，资源量1.1亿立方米。建筑用灰岩及水泥用灰岩主要分布在拉堡镇、成团镇、进德、穿山镇。饰面用灰岩主要分布于成团镇、里高镇一带。白云岩分布在三都、进德、成团等镇。</w:t>
      </w:r>
    </w:p>
    <w:p>
      <w:pPr>
        <w:pStyle w:val="3"/>
        <w:spacing w:before="156"/>
        <w:ind w:firstLine="602"/>
        <w:rPr>
          <w:color w:val="auto"/>
          <w:highlight w:val="none"/>
          <w:lang w:val="en-GB"/>
        </w:rPr>
      </w:pPr>
      <w:bookmarkStart w:id="119" w:name="_Toc32263"/>
      <w:bookmarkStart w:id="120" w:name="_Toc101681424"/>
      <w:r>
        <w:rPr>
          <w:color w:val="auto"/>
          <w:highlight w:val="none"/>
          <w:lang w:val="en-GB"/>
        </w:rPr>
        <w:t>2.2社会经济</w:t>
      </w:r>
      <w:bookmarkEnd w:id="112"/>
      <w:bookmarkEnd w:id="113"/>
      <w:bookmarkEnd w:id="114"/>
      <w:bookmarkEnd w:id="115"/>
      <w:bookmarkEnd w:id="116"/>
      <w:bookmarkEnd w:id="119"/>
      <w:bookmarkEnd w:id="120"/>
    </w:p>
    <w:p>
      <w:pPr>
        <w:pStyle w:val="4"/>
        <w:spacing w:before="156"/>
        <w:ind w:firstLine="562"/>
        <w:rPr>
          <w:color w:val="auto"/>
          <w:highlight w:val="none"/>
          <w:lang w:val="en-GB"/>
        </w:rPr>
      </w:pPr>
      <w:bookmarkStart w:id="121" w:name="_Toc3919"/>
      <w:bookmarkStart w:id="122" w:name="_Toc439661483"/>
      <w:bookmarkStart w:id="123" w:name="_Toc101681425"/>
      <w:bookmarkStart w:id="124" w:name="_Toc12457"/>
      <w:r>
        <w:rPr>
          <w:color w:val="auto"/>
          <w:highlight w:val="none"/>
          <w:lang w:val="en-GB"/>
        </w:rPr>
        <w:t>2.2.1行政区划</w:t>
      </w:r>
      <w:bookmarkEnd w:id="121"/>
      <w:bookmarkEnd w:id="122"/>
      <w:bookmarkEnd w:id="123"/>
      <w:bookmarkEnd w:id="124"/>
    </w:p>
    <w:p>
      <w:pPr>
        <w:rPr>
          <w:rFonts w:eastAsia="华文仿宋" w:cs="Times New Roman"/>
          <w:color w:val="auto"/>
          <w:szCs w:val="24"/>
          <w:highlight w:val="none"/>
          <w:lang w:val="zh-CN"/>
        </w:rPr>
      </w:pPr>
      <w:r>
        <w:rPr>
          <w:rFonts w:eastAsia="华文仿宋" w:cs="Times New Roman"/>
          <w:color w:val="auto"/>
          <w:szCs w:val="24"/>
          <w:highlight w:val="none"/>
          <w:lang w:val="zh-CN"/>
        </w:rPr>
        <w:t>2016年3月，国务院批复柳江县撤县设区，2017年1月6日，柳江区正式挂牌成立。根据自治区行政区划调整，2018年5月31日，将柳江区里雍镇、白沙镇划入鱼峰区管辖；2019年5月21日，将柳江区的流山镇、洛满镇划入柳南区管辖。现柳江区辖</w:t>
      </w:r>
      <w:r>
        <w:rPr>
          <w:rFonts w:cs="Times New Roman"/>
          <w:color w:val="auto"/>
          <w:highlight w:val="none"/>
        </w:rPr>
        <w:t>拉堡镇</w:t>
      </w:r>
      <w:r>
        <w:rPr>
          <w:rFonts w:cs="Times New Roman"/>
          <w:color w:val="auto"/>
          <w:highlight w:val="none"/>
          <w:lang w:val="zh-CN"/>
        </w:rPr>
        <w:t>、进德镇、成团镇、百朋镇、三都镇、土博镇、里高镇、穿山镇等8个镇、</w:t>
      </w:r>
      <w:r>
        <w:rPr>
          <w:rFonts w:eastAsia="华文仿宋" w:cs="Times New Roman"/>
          <w:color w:val="auto"/>
          <w:szCs w:val="24"/>
          <w:highlight w:val="none"/>
          <w:lang w:val="zh-CN"/>
        </w:rPr>
        <w:t>92个行政村，26个社区，</w:t>
      </w:r>
      <w:r>
        <w:rPr>
          <w:rFonts w:cs="Times New Roman"/>
          <w:color w:val="auto"/>
          <w:highlight w:val="none"/>
        </w:rPr>
        <w:t>行政区域面积1773</w:t>
      </w:r>
      <w:r>
        <w:rPr>
          <w:rFonts w:cs="Times New Roman"/>
          <w:color w:val="auto"/>
          <w:highlight w:val="none"/>
          <w:lang w:val="en-GB"/>
        </w:rPr>
        <w:t>km</w:t>
      </w:r>
      <w:r>
        <w:rPr>
          <w:rFonts w:cs="Times New Roman"/>
          <w:color w:val="auto"/>
          <w:highlight w:val="none"/>
          <w:vertAlign w:val="superscript"/>
        </w:rPr>
        <w:t>2</w:t>
      </w:r>
      <w:r>
        <w:rPr>
          <w:rFonts w:cs="Times New Roman"/>
          <w:color w:val="auto"/>
          <w:highlight w:val="none"/>
        </w:rPr>
        <w:t>。</w:t>
      </w:r>
    </w:p>
    <w:p>
      <w:pPr>
        <w:pStyle w:val="4"/>
        <w:spacing w:before="156"/>
        <w:ind w:firstLine="562"/>
        <w:rPr>
          <w:color w:val="auto"/>
          <w:highlight w:val="none"/>
        </w:rPr>
      </w:pPr>
      <w:bookmarkStart w:id="125" w:name="_Toc3663"/>
      <w:bookmarkStart w:id="126" w:name="_Toc439661484"/>
      <w:bookmarkStart w:id="127" w:name="_Toc101681426"/>
      <w:bookmarkStart w:id="128" w:name="_Toc19740"/>
      <w:r>
        <w:rPr>
          <w:color w:val="auto"/>
          <w:highlight w:val="none"/>
        </w:rPr>
        <w:t>2.2.2人口</w:t>
      </w:r>
      <w:bookmarkEnd w:id="125"/>
      <w:bookmarkEnd w:id="126"/>
      <w:bookmarkEnd w:id="127"/>
      <w:bookmarkEnd w:id="128"/>
      <w:bookmarkStart w:id="129" w:name="_Toc22741"/>
      <w:bookmarkStart w:id="130" w:name="_Toc101681427"/>
    </w:p>
    <w:p>
      <w:pPr>
        <w:rPr>
          <w:rFonts w:cs="Times New Roman"/>
          <w:color w:val="auto"/>
          <w:highlight w:val="none"/>
        </w:rPr>
      </w:pP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年末户籍总人口48.</w:t>
      </w:r>
      <w:r>
        <w:rPr>
          <w:rFonts w:hint="eastAsia" w:cs="Times New Roman"/>
          <w:color w:val="auto"/>
          <w:highlight w:val="none"/>
          <w:lang w:val="en-US" w:eastAsia="zh-CN"/>
        </w:rPr>
        <w:t>40</w:t>
      </w:r>
      <w:r>
        <w:rPr>
          <w:rFonts w:cs="Times New Roman"/>
          <w:color w:val="auto"/>
          <w:highlight w:val="none"/>
        </w:rPr>
        <w:t>万人（剔除划出的4个镇），其中壮族人口</w:t>
      </w:r>
      <w:r>
        <w:rPr>
          <w:rFonts w:hint="eastAsia" w:cs="Times New Roman"/>
          <w:color w:val="auto"/>
          <w:highlight w:val="none"/>
        </w:rPr>
        <w:t>37.06</w:t>
      </w:r>
      <w:r>
        <w:rPr>
          <w:rFonts w:cs="Times New Roman"/>
          <w:color w:val="auto"/>
          <w:highlight w:val="none"/>
        </w:rPr>
        <w:t>万人，占总人口的76.6%。户籍</w:t>
      </w:r>
      <w:r>
        <w:rPr>
          <w:color w:val="auto"/>
          <w:highlight w:val="none"/>
        </w:rPr>
        <w:fldChar w:fldCharType="begin"/>
      </w:r>
      <w:r>
        <w:rPr>
          <w:color w:val="auto"/>
          <w:highlight w:val="none"/>
        </w:rPr>
        <w:instrText xml:space="preserve"> HYPERLINK "https://baike.sogou.com/lemma/ShowInnerLink.htm?lemmaId=63294953&amp;ss_c=ssc.citiao.link" \t "_blank" </w:instrText>
      </w:r>
      <w:r>
        <w:rPr>
          <w:color w:val="auto"/>
          <w:highlight w:val="none"/>
        </w:rPr>
        <w:fldChar w:fldCharType="separate"/>
      </w:r>
      <w:r>
        <w:rPr>
          <w:rFonts w:cs="Times New Roman"/>
          <w:color w:val="auto"/>
          <w:highlight w:val="none"/>
        </w:rPr>
        <w:t>人口城镇化</w:t>
      </w:r>
      <w:r>
        <w:rPr>
          <w:rFonts w:cs="Times New Roman"/>
          <w:color w:val="auto"/>
          <w:highlight w:val="none"/>
        </w:rPr>
        <w:fldChar w:fldCharType="end"/>
      </w:r>
      <w:r>
        <w:rPr>
          <w:rFonts w:cs="Times New Roman"/>
          <w:color w:val="auto"/>
          <w:highlight w:val="none"/>
        </w:rPr>
        <w:t>率为</w:t>
      </w:r>
      <w:r>
        <w:rPr>
          <w:rFonts w:hint="eastAsia" w:cs="Times New Roman"/>
          <w:color w:val="auto"/>
          <w:highlight w:val="none"/>
          <w:lang w:val="en-US" w:eastAsia="zh-CN"/>
        </w:rPr>
        <w:t>37.06</w:t>
      </w:r>
      <w:r>
        <w:rPr>
          <w:rFonts w:cs="Times New Roman"/>
          <w:color w:val="auto"/>
          <w:highlight w:val="none"/>
        </w:rPr>
        <w:t>%，比上年末提高0.19个百分点。常住人口50.</w:t>
      </w:r>
      <w:r>
        <w:rPr>
          <w:rFonts w:hint="eastAsia" w:cs="Times New Roman"/>
          <w:color w:val="auto"/>
          <w:highlight w:val="none"/>
          <w:lang w:val="en-US" w:eastAsia="zh-CN"/>
        </w:rPr>
        <w:t>5</w:t>
      </w:r>
      <w:r>
        <w:rPr>
          <w:rFonts w:cs="Times New Roman"/>
          <w:color w:val="auto"/>
          <w:highlight w:val="none"/>
        </w:rPr>
        <w:t>8万人，其中城镇人口30.</w:t>
      </w:r>
      <w:r>
        <w:rPr>
          <w:rFonts w:hint="eastAsia" w:cs="Times New Roman"/>
          <w:color w:val="auto"/>
          <w:highlight w:val="none"/>
          <w:lang w:val="en-US" w:eastAsia="zh-CN"/>
        </w:rPr>
        <w:t>89</w:t>
      </w:r>
      <w:r>
        <w:rPr>
          <w:rFonts w:cs="Times New Roman"/>
          <w:color w:val="auto"/>
          <w:highlight w:val="none"/>
        </w:rPr>
        <w:t>万人，常住人口城镇化率为</w:t>
      </w:r>
      <w:r>
        <w:rPr>
          <w:rFonts w:hint="eastAsia" w:cs="Times New Roman"/>
          <w:color w:val="auto"/>
          <w:highlight w:val="none"/>
          <w:lang w:val="en-US" w:eastAsia="zh-CN"/>
        </w:rPr>
        <w:t>61.07.</w:t>
      </w:r>
      <w:r>
        <w:rPr>
          <w:rFonts w:cs="Times New Roman"/>
          <w:color w:val="auto"/>
          <w:highlight w:val="none"/>
        </w:rPr>
        <w:t>%，比上年提高</w:t>
      </w:r>
      <w:r>
        <w:rPr>
          <w:rFonts w:hint="eastAsia" w:cs="Times New Roman"/>
          <w:color w:val="auto"/>
          <w:highlight w:val="none"/>
          <w:lang w:val="en-US" w:eastAsia="zh-CN"/>
        </w:rPr>
        <w:t>0.44</w:t>
      </w:r>
      <w:r>
        <w:rPr>
          <w:rFonts w:cs="Times New Roman"/>
          <w:color w:val="auto"/>
          <w:highlight w:val="none"/>
        </w:rPr>
        <w:t>个百分点。</w:t>
      </w:r>
    </w:p>
    <w:p>
      <w:pPr>
        <w:pStyle w:val="4"/>
        <w:spacing w:before="156"/>
        <w:ind w:firstLine="562"/>
        <w:rPr>
          <w:color w:val="auto"/>
          <w:highlight w:val="none"/>
          <w:lang w:val="en-US"/>
        </w:rPr>
      </w:pPr>
      <w:bookmarkStart w:id="131" w:name="_Toc18616"/>
      <w:r>
        <w:rPr>
          <w:color w:val="auto"/>
          <w:highlight w:val="none"/>
          <w:lang w:val="en-GB"/>
        </w:rPr>
        <w:t>2.2.3</w:t>
      </w:r>
      <w:r>
        <w:rPr>
          <w:color w:val="auto"/>
          <w:highlight w:val="none"/>
          <w:lang w:val="en-US"/>
        </w:rPr>
        <w:t>社会经济</w:t>
      </w:r>
      <w:bookmarkEnd w:id="129"/>
      <w:r>
        <w:rPr>
          <w:color w:val="auto"/>
          <w:highlight w:val="none"/>
          <w:lang w:val="en-US"/>
        </w:rPr>
        <w:t>情况</w:t>
      </w:r>
      <w:bookmarkEnd w:id="130"/>
      <w:bookmarkEnd w:id="131"/>
    </w:p>
    <w:p>
      <w:pPr>
        <w:rPr>
          <w:rFonts w:cs="Times New Roman"/>
          <w:color w:val="auto"/>
          <w:highlight w:val="none"/>
        </w:rPr>
      </w:pPr>
      <w:r>
        <w:rPr>
          <w:rFonts w:cs="Times New Roman"/>
          <w:color w:val="auto"/>
          <w:highlight w:val="none"/>
        </w:rPr>
        <w:t>根据202</w:t>
      </w:r>
      <w:r>
        <w:rPr>
          <w:rFonts w:hint="eastAsia" w:cs="Times New Roman"/>
          <w:color w:val="auto"/>
          <w:highlight w:val="none"/>
          <w:lang w:val="en-US" w:eastAsia="zh-CN"/>
        </w:rPr>
        <w:t>1</w:t>
      </w:r>
      <w:r>
        <w:rPr>
          <w:rFonts w:cs="Times New Roman"/>
          <w:color w:val="auto"/>
          <w:highlight w:val="none"/>
        </w:rPr>
        <w:t>年柳江区</w:t>
      </w:r>
      <w:r>
        <w:rPr>
          <w:rFonts w:hint="eastAsia" w:cs="Times New Roman"/>
          <w:color w:val="auto"/>
          <w:highlight w:val="none"/>
          <w:lang w:val="en-US" w:eastAsia="zh-CN"/>
        </w:rPr>
        <w:t>国民经济和社会发展统计公报</w:t>
      </w: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年柳江区地区生产总值</w:t>
      </w:r>
      <w:r>
        <w:rPr>
          <w:rFonts w:hint="eastAsia" w:cs="Times New Roman"/>
          <w:color w:val="auto"/>
          <w:highlight w:val="none"/>
          <w:lang w:val="en-US" w:eastAsia="zh-CN"/>
        </w:rPr>
        <w:t>286.14</w:t>
      </w:r>
      <w:r>
        <w:rPr>
          <w:rFonts w:cs="Times New Roman"/>
          <w:color w:val="auto"/>
          <w:highlight w:val="none"/>
        </w:rPr>
        <w:t>亿元，其中第一产业增加值</w:t>
      </w:r>
      <w:r>
        <w:rPr>
          <w:rFonts w:hint="eastAsia" w:cs="Times New Roman"/>
          <w:color w:val="auto"/>
          <w:highlight w:val="none"/>
          <w:lang w:val="en-US" w:eastAsia="zh-CN"/>
        </w:rPr>
        <w:t>46.51</w:t>
      </w:r>
      <w:r>
        <w:rPr>
          <w:rFonts w:cs="Times New Roman"/>
          <w:color w:val="auto"/>
          <w:highlight w:val="none"/>
        </w:rPr>
        <w:t>亿元</w:t>
      </w:r>
      <w:r>
        <w:rPr>
          <w:rFonts w:hint="eastAsia" w:cs="Times New Roman"/>
          <w:color w:val="auto"/>
          <w:highlight w:val="none"/>
          <w:lang w:eastAsia="zh-CN"/>
        </w:rPr>
        <w:t>，</w:t>
      </w:r>
      <w:r>
        <w:rPr>
          <w:rFonts w:cs="Times New Roman"/>
          <w:color w:val="auto"/>
          <w:highlight w:val="none"/>
        </w:rPr>
        <w:t>第二产业增加值</w:t>
      </w:r>
      <w:r>
        <w:rPr>
          <w:rFonts w:hint="eastAsia" w:cs="Times New Roman"/>
          <w:color w:val="auto"/>
          <w:highlight w:val="none"/>
          <w:lang w:val="en-US" w:eastAsia="zh-CN"/>
        </w:rPr>
        <w:t>87.70</w:t>
      </w:r>
      <w:r>
        <w:rPr>
          <w:rFonts w:cs="Times New Roman"/>
          <w:color w:val="auto"/>
          <w:highlight w:val="none"/>
        </w:rPr>
        <w:t>亿元，第三产业增加值</w:t>
      </w:r>
      <w:r>
        <w:rPr>
          <w:rFonts w:hint="eastAsia" w:cs="Times New Roman"/>
          <w:color w:val="auto"/>
          <w:highlight w:val="none"/>
          <w:lang w:val="en-US" w:eastAsia="zh-CN"/>
        </w:rPr>
        <w:t>151.93</w:t>
      </w:r>
      <w:r>
        <w:rPr>
          <w:rFonts w:cs="Times New Roman"/>
          <w:color w:val="auto"/>
          <w:highlight w:val="none"/>
        </w:rPr>
        <w:t>亿元。</w:t>
      </w:r>
    </w:p>
    <w:p>
      <w:pPr>
        <w:rPr>
          <w:rFonts w:hint="default" w:cs="Times New Roman"/>
          <w:color w:val="auto"/>
          <w:highlight w:val="none"/>
          <w:lang w:val="en-US" w:eastAsia="zh-CN"/>
        </w:rPr>
      </w:pPr>
      <w:r>
        <w:rPr>
          <w:rFonts w:hint="eastAsia" w:cs="Times New Roman"/>
          <w:color w:val="auto"/>
          <w:highlight w:val="none"/>
          <w:lang w:val="en-US" w:eastAsia="zh-CN"/>
        </w:rPr>
        <w:t>2021年，柳江区</w:t>
      </w:r>
      <w:r>
        <w:rPr>
          <w:rFonts w:cs="Times New Roman"/>
          <w:color w:val="auto"/>
          <w:highlight w:val="none"/>
        </w:rPr>
        <w:t>财政收入</w:t>
      </w:r>
      <w:r>
        <w:rPr>
          <w:rFonts w:hint="eastAsia" w:cs="Times New Roman"/>
          <w:color w:val="auto"/>
          <w:highlight w:val="none"/>
        </w:rPr>
        <w:t>25.09亿元，其中，一般公共财政预算收入15.07亿元，一般公共财政预算支出31.82亿元。</w:t>
      </w:r>
    </w:p>
    <w:p>
      <w:pPr>
        <w:rPr>
          <w:rFonts w:hint="eastAsia" w:cs="Times New Roman"/>
          <w:color w:val="auto"/>
          <w:highlight w:val="none"/>
          <w:lang w:eastAsia="zh-CN"/>
        </w:rPr>
      </w:pP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年，柳江区全年</w:t>
      </w:r>
      <w:r>
        <w:rPr>
          <w:rFonts w:cs="Times New Roman"/>
          <w:color w:val="auto"/>
          <w:highlight w:val="none"/>
        </w:rPr>
        <w:fldChar w:fldCharType="begin"/>
      </w:r>
      <w:r>
        <w:rPr>
          <w:rFonts w:cs="Times New Roman"/>
          <w:color w:val="auto"/>
          <w:highlight w:val="none"/>
        </w:rPr>
        <w:instrText xml:space="preserve"> HYPERLINK "https://baike.sogou.com/lemma/ShowInnerLink.htm?lemmaId=356411&amp;ss_c=ssc.citiao.link" \t "_blank" </w:instrText>
      </w:r>
      <w:r>
        <w:rPr>
          <w:rFonts w:cs="Times New Roman"/>
          <w:color w:val="auto"/>
          <w:highlight w:val="none"/>
        </w:rPr>
        <w:fldChar w:fldCharType="separate"/>
      </w:r>
      <w:r>
        <w:rPr>
          <w:rFonts w:cs="Times New Roman"/>
          <w:color w:val="auto"/>
          <w:highlight w:val="none"/>
        </w:rPr>
        <w:t>农林牧渔业总产值</w:t>
      </w:r>
      <w:r>
        <w:rPr>
          <w:rFonts w:cs="Times New Roman"/>
          <w:color w:val="auto"/>
          <w:highlight w:val="none"/>
        </w:rPr>
        <w:fldChar w:fldCharType="end"/>
      </w:r>
      <w:r>
        <w:rPr>
          <w:rFonts w:hint="eastAsia" w:cs="Times New Roman"/>
          <w:color w:val="auto"/>
          <w:highlight w:val="none"/>
        </w:rPr>
        <w:t>76.59</w:t>
      </w:r>
      <w:r>
        <w:rPr>
          <w:rFonts w:cs="Times New Roman"/>
          <w:color w:val="auto"/>
          <w:highlight w:val="none"/>
        </w:rPr>
        <w:t>亿元。全年主要农产品产量情况：</w:t>
      </w:r>
      <w:r>
        <w:rPr>
          <w:rFonts w:hint="eastAsia" w:cs="Times New Roman"/>
          <w:color w:val="auto"/>
          <w:highlight w:val="none"/>
        </w:rPr>
        <w:t>粮食总产量10.5万吨，甘蔗产量126.32万吨，蔬菜产量103.34万吨，园林水果产量18.1万吨，水产品产量0.98万吨，肉类总产量3.90万吨，其中猪肉产量2.59万吨，牛肉和羊肉产量分别为0.29万吨和0.11万吨。禽肉产量为0.81万吨，禽蛋产量0.13万吨</w:t>
      </w:r>
      <w:r>
        <w:rPr>
          <w:rFonts w:hint="eastAsia" w:cs="Times New Roman"/>
          <w:color w:val="auto"/>
          <w:highlight w:val="none"/>
          <w:lang w:eastAsia="zh-CN"/>
        </w:rPr>
        <w:t>。</w:t>
      </w:r>
    </w:p>
    <w:p>
      <w:pPr>
        <w:rPr>
          <w:rFonts w:cs="Times New Roman"/>
          <w:color w:val="auto"/>
          <w:highlight w:val="none"/>
        </w:rPr>
      </w:pP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年，柳江区规模以上工业增加值</w:t>
      </w:r>
      <w:r>
        <w:rPr>
          <w:rFonts w:hint="eastAsia" w:cs="Times New Roman"/>
          <w:color w:val="auto"/>
          <w:highlight w:val="none"/>
        </w:rPr>
        <w:t>60.15</w:t>
      </w:r>
      <w:r>
        <w:rPr>
          <w:rFonts w:cs="Times New Roman"/>
          <w:color w:val="auto"/>
          <w:highlight w:val="none"/>
        </w:rPr>
        <w:t>亿元。规模以上工业实现营业收入</w:t>
      </w:r>
      <w:r>
        <w:rPr>
          <w:rFonts w:hint="eastAsia" w:cs="Times New Roman"/>
          <w:color w:val="auto"/>
          <w:highlight w:val="none"/>
        </w:rPr>
        <w:t>248.1</w:t>
      </w:r>
      <w:r>
        <w:rPr>
          <w:rFonts w:cs="Times New Roman"/>
          <w:color w:val="auto"/>
          <w:highlight w:val="none"/>
        </w:rPr>
        <w:t>亿元，利税总额</w:t>
      </w:r>
      <w:r>
        <w:rPr>
          <w:rFonts w:hint="eastAsia" w:cs="Times New Roman"/>
          <w:color w:val="auto"/>
          <w:highlight w:val="none"/>
          <w:lang w:val="en-US" w:eastAsia="zh-CN"/>
        </w:rPr>
        <w:t>21.30</w:t>
      </w:r>
      <w:r>
        <w:rPr>
          <w:rFonts w:cs="Times New Roman"/>
          <w:color w:val="auto"/>
          <w:highlight w:val="none"/>
        </w:rPr>
        <w:t>亿元，利润总额</w:t>
      </w:r>
      <w:r>
        <w:rPr>
          <w:rFonts w:hint="eastAsia" w:cs="Times New Roman"/>
          <w:color w:val="auto"/>
          <w:highlight w:val="none"/>
          <w:lang w:val="en-US" w:eastAsia="zh-CN"/>
        </w:rPr>
        <w:t>16</w:t>
      </w:r>
      <w:r>
        <w:rPr>
          <w:rFonts w:cs="Times New Roman"/>
          <w:color w:val="auto"/>
          <w:highlight w:val="none"/>
        </w:rPr>
        <w:t>亿元，营业收入利润率7.08 %。</w:t>
      </w:r>
    </w:p>
    <w:p>
      <w:pPr>
        <w:rPr>
          <w:rFonts w:cs="Times New Roman"/>
          <w:color w:val="auto"/>
          <w:highlight w:val="none"/>
        </w:rPr>
      </w:pPr>
      <w:r>
        <w:rPr>
          <w:rFonts w:cs="Times New Roman"/>
          <w:color w:val="auto"/>
          <w:highlight w:val="none"/>
        </w:rPr>
        <w:t>202</w:t>
      </w:r>
      <w:r>
        <w:rPr>
          <w:rFonts w:hint="eastAsia" w:cs="Times New Roman"/>
          <w:color w:val="auto"/>
          <w:highlight w:val="none"/>
          <w:lang w:val="en-US" w:eastAsia="zh-CN"/>
        </w:rPr>
        <w:t>1</w:t>
      </w:r>
      <w:r>
        <w:rPr>
          <w:rFonts w:cs="Times New Roman"/>
          <w:color w:val="auto"/>
          <w:highlight w:val="none"/>
        </w:rPr>
        <w:t>年，柳江区</w:t>
      </w:r>
      <w:r>
        <w:rPr>
          <w:rFonts w:hint="eastAsia" w:cs="Times New Roman"/>
          <w:color w:val="auto"/>
          <w:highlight w:val="none"/>
        </w:rPr>
        <w:t>全体居民人均可支配收入30468元</w:t>
      </w:r>
      <w:r>
        <w:rPr>
          <w:rFonts w:hint="eastAsia" w:cs="Times New Roman"/>
          <w:color w:val="auto"/>
          <w:highlight w:val="none"/>
          <w:lang w:eastAsia="zh-CN"/>
        </w:rPr>
        <w:t>，</w:t>
      </w:r>
      <w:r>
        <w:rPr>
          <w:rFonts w:cs="Times New Roman"/>
          <w:color w:val="auto"/>
          <w:highlight w:val="none"/>
        </w:rPr>
        <w:t>城镇居民人均可支配收入</w:t>
      </w:r>
      <w:r>
        <w:rPr>
          <w:rFonts w:hint="eastAsia" w:cs="Times New Roman"/>
          <w:color w:val="auto"/>
          <w:highlight w:val="none"/>
        </w:rPr>
        <w:t>42025</w:t>
      </w:r>
      <w:r>
        <w:rPr>
          <w:rFonts w:cs="Times New Roman"/>
          <w:color w:val="auto"/>
          <w:highlight w:val="none"/>
        </w:rPr>
        <w:t>元，农村居民人均可支配收入</w:t>
      </w:r>
      <w:r>
        <w:rPr>
          <w:rFonts w:hint="eastAsia" w:cs="Times New Roman"/>
          <w:color w:val="auto"/>
          <w:highlight w:val="none"/>
        </w:rPr>
        <w:t>17943</w:t>
      </w:r>
      <w:r>
        <w:rPr>
          <w:rFonts w:cs="Times New Roman"/>
          <w:color w:val="auto"/>
          <w:highlight w:val="none"/>
        </w:rPr>
        <w:t>元。</w:t>
      </w:r>
    </w:p>
    <w:p>
      <w:pPr>
        <w:pStyle w:val="4"/>
        <w:spacing w:before="156"/>
        <w:ind w:firstLine="562"/>
        <w:rPr>
          <w:color w:val="auto"/>
          <w:highlight w:val="none"/>
          <w:lang w:val="en-GB"/>
        </w:rPr>
      </w:pPr>
      <w:bookmarkStart w:id="132" w:name="_Toc101681428"/>
      <w:bookmarkStart w:id="133" w:name="_Toc12314"/>
      <w:r>
        <w:rPr>
          <w:color w:val="auto"/>
          <w:highlight w:val="none"/>
          <w:lang w:val="en-GB"/>
        </w:rPr>
        <w:t>2.2.4土地利用现状</w:t>
      </w:r>
      <w:bookmarkEnd w:id="117"/>
      <w:bookmarkEnd w:id="118"/>
      <w:bookmarkEnd w:id="132"/>
      <w:bookmarkEnd w:id="133"/>
    </w:p>
    <w:p>
      <w:pPr>
        <w:rPr>
          <w:rFonts w:cs="Times New Roman"/>
          <w:bCs/>
          <w:color w:val="auto"/>
          <w:highlight w:val="none"/>
        </w:rPr>
      </w:pPr>
      <w:r>
        <w:rPr>
          <w:rFonts w:cs="Times New Roman"/>
          <w:bCs/>
          <w:color w:val="auto"/>
          <w:highlight w:val="none"/>
        </w:rPr>
        <w:t>根据第二次全国土地调查农村土地利用现状二级分类，柳江区现有土地总面积1773km</w:t>
      </w:r>
      <w:r>
        <w:rPr>
          <w:rFonts w:cs="Times New Roman"/>
          <w:bCs/>
          <w:color w:val="auto"/>
          <w:highlight w:val="none"/>
          <w:vertAlign w:val="superscript"/>
        </w:rPr>
        <w:t>2</w:t>
      </w:r>
      <w:r>
        <w:rPr>
          <w:rFonts w:cs="Times New Roman"/>
          <w:bCs/>
          <w:color w:val="auto"/>
          <w:highlight w:val="none"/>
        </w:rPr>
        <w:t>。其中：耕地面积662.86km</w:t>
      </w:r>
      <w:r>
        <w:rPr>
          <w:rFonts w:cs="Times New Roman"/>
          <w:bCs/>
          <w:color w:val="auto"/>
          <w:highlight w:val="none"/>
          <w:vertAlign w:val="superscript"/>
        </w:rPr>
        <w:t>2</w:t>
      </w:r>
      <w:r>
        <w:rPr>
          <w:rFonts w:cs="Times New Roman"/>
          <w:bCs/>
          <w:color w:val="auto"/>
          <w:highlight w:val="none"/>
        </w:rPr>
        <w:t>，园地面积25.70km</w:t>
      </w:r>
      <w:r>
        <w:rPr>
          <w:rFonts w:cs="Times New Roman"/>
          <w:bCs/>
          <w:color w:val="auto"/>
          <w:highlight w:val="none"/>
          <w:vertAlign w:val="superscript"/>
        </w:rPr>
        <w:t>2</w:t>
      </w:r>
      <w:r>
        <w:rPr>
          <w:rFonts w:cs="Times New Roman"/>
          <w:bCs/>
          <w:color w:val="auto"/>
          <w:highlight w:val="none"/>
        </w:rPr>
        <w:t>，林地面积872.74km</w:t>
      </w:r>
      <w:r>
        <w:rPr>
          <w:rFonts w:cs="Times New Roman"/>
          <w:bCs/>
          <w:color w:val="auto"/>
          <w:highlight w:val="none"/>
          <w:vertAlign w:val="superscript"/>
        </w:rPr>
        <w:t>2</w:t>
      </w:r>
      <w:r>
        <w:rPr>
          <w:rFonts w:cs="Times New Roman"/>
          <w:bCs/>
          <w:color w:val="auto"/>
          <w:highlight w:val="none"/>
        </w:rPr>
        <w:t>，草地面积64.23km</w:t>
      </w:r>
      <w:r>
        <w:rPr>
          <w:rFonts w:cs="Times New Roman"/>
          <w:bCs/>
          <w:color w:val="auto"/>
          <w:highlight w:val="none"/>
          <w:vertAlign w:val="superscript"/>
        </w:rPr>
        <w:t>2</w:t>
      </w:r>
      <w:r>
        <w:rPr>
          <w:rFonts w:cs="Times New Roman"/>
          <w:bCs/>
          <w:color w:val="auto"/>
          <w:highlight w:val="none"/>
        </w:rPr>
        <w:t>，城镇村及公共用地面积80.95km</w:t>
      </w:r>
      <w:r>
        <w:rPr>
          <w:rFonts w:cs="Times New Roman"/>
          <w:bCs/>
          <w:color w:val="auto"/>
          <w:highlight w:val="none"/>
          <w:vertAlign w:val="superscript"/>
        </w:rPr>
        <w:t>2</w:t>
      </w:r>
      <w:r>
        <w:rPr>
          <w:rFonts w:cs="Times New Roman"/>
          <w:bCs/>
          <w:color w:val="auto"/>
          <w:highlight w:val="none"/>
        </w:rPr>
        <w:t>，交通运输用地13.85km</w:t>
      </w:r>
      <w:r>
        <w:rPr>
          <w:rFonts w:cs="Times New Roman"/>
          <w:bCs/>
          <w:color w:val="auto"/>
          <w:highlight w:val="none"/>
          <w:vertAlign w:val="superscript"/>
        </w:rPr>
        <w:t>2</w:t>
      </w:r>
      <w:r>
        <w:rPr>
          <w:rFonts w:cs="Times New Roman"/>
          <w:bCs/>
          <w:color w:val="auto"/>
          <w:highlight w:val="none"/>
        </w:rPr>
        <w:t>，水域及水利设施用地23.60km</w:t>
      </w:r>
      <w:r>
        <w:rPr>
          <w:rFonts w:cs="Times New Roman"/>
          <w:bCs/>
          <w:color w:val="auto"/>
          <w:highlight w:val="none"/>
          <w:vertAlign w:val="superscript"/>
        </w:rPr>
        <w:t>2</w:t>
      </w:r>
      <w:r>
        <w:rPr>
          <w:rFonts w:cs="Times New Roman"/>
          <w:bCs/>
          <w:color w:val="auto"/>
          <w:highlight w:val="none"/>
        </w:rPr>
        <w:t>，人为扰动用地29.07 km</w:t>
      </w:r>
      <w:r>
        <w:rPr>
          <w:rFonts w:cs="Times New Roman"/>
          <w:bCs/>
          <w:color w:val="auto"/>
          <w:highlight w:val="none"/>
          <w:vertAlign w:val="superscript"/>
        </w:rPr>
        <w:t>2</w:t>
      </w:r>
      <w:r>
        <w:rPr>
          <w:rFonts w:cs="Times New Roman"/>
          <w:bCs/>
          <w:color w:val="auto"/>
          <w:highlight w:val="none"/>
        </w:rPr>
        <w:t>，详见附表3。</w:t>
      </w:r>
    </w:p>
    <w:p>
      <w:pPr>
        <w:pStyle w:val="45"/>
        <w:numPr>
          <w:ilvl w:val="0"/>
          <w:numId w:val="2"/>
        </w:numPr>
        <w:ind w:firstLineChars="0"/>
        <w:rPr>
          <w:rFonts w:cs="Times New Roman"/>
          <w:color w:val="auto"/>
          <w:highlight w:val="none"/>
          <w:lang w:val="en-GB"/>
        </w:rPr>
      </w:pPr>
      <w:r>
        <w:rPr>
          <w:rFonts w:cs="Times New Roman"/>
          <w:color w:val="auto"/>
          <w:highlight w:val="none"/>
          <w:lang w:val="en-GB"/>
        </w:rPr>
        <w:t>耕地</w:t>
      </w:r>
    </w:p>
    <w:p>
      <w:pPr>
        <w:rPr>
          <w:rFonts w:cs="Times New Roman"/>
          <w:color w:val="auto"/>
          <w:highlight w:val="none"/>
          <w:lang w:val="en-GB"/>
        </w:rPr>
      </w:pPr>
      <w:r>
        <w:rPr>
          <w:rFonts w:cs="Times New Roman"/>
          <w:bCs/>
          <w:color w:val="auto"/>
          <w:highlight w:val="none"/>
        </w:rPr>
        <w:t>柳江区现有耕地面积662.86km</w:t>
      </w:r>
      <w:r>
        <w:rPr>
          <w:rFonts w:cs="Times New Roman"/>
          <w:bCs/>
          <w:color w:val="auto"/>
          <w:highlight w:val="none"/>
          <w:vertAlign w:val="superscript"/>
        </w:rPr>
        <w:t>2</w:t>
      </w:r>
      <w:r>
        <w:rPr>
          <w:rFonts w:cs="Times New Roman"/>
          <w:bCs/>
          <w:color w:val="auto"/>
          <w:highlight w:val="none"/>
        </w:rPr>
        <w:t>，占柳江区总土地面积的37.42%。其中水田面积161.56km</w:t>
      </w:r>
      <w:r>
        <w:rPr>
          <w:rFonts w:cs="Times New Roman"/>
          <w:bCs/>
          <w:color w:val="auto"/>
          <w:highlight w:val="none"/>
          <w:vertAlign w:val="superscript"/>
        </w:rPr>
        <w:t>2</w:t>
      </w:r>
      <w:r>
        <w:rPr>
          <w:rFonts w:cs="Times New Roman"/>
          <w:bCs/>
          <w:color w:val="auto"/>
          <w:highlight w:val="none"/>
        </w:rPr>
        <w:t>，占耕地面积的24.37%；水浇地面积0.20km</w:t>
      </w:r>
      <w:r>
        <w:rPr>
          <w:rFonts w:cs="Times New Roman"/>
          <w:bCs/>
          <w:color w:val="auto"/>
          <w:highlight w:val="none"/>
          <w:vertAlign w:val="superscript"/>
        </w:rPr>
        <w:t>2</w:t>
      </w:r>
      <w:r>
        <w:rPr>
          <w:rFonts w:cs="Times New Roman"/>
          <w:bCs/>
          <w:color w:val="auto"/>
          <w:highlight w:val="none"/>
        </w:rPr>
        <w:t>，占耕地面积的0.03%；旱地面积501.10km</w:t>
      </w:r>
      <w:r>
        <w:rPr>
          <w:rFonts w:cs="Times New Roman"/>
          <w:bCs/>
          <w:color w:val="auto"/>
          <w:highlight w:val="none"/>
          <w:vertAlign w:val="superscript"/>
        </w:rPr>
        <w:t>2</w:t>
      </w:r>
      <w:r>
        <w:rPr>
          <w:rFonts w:cs="Times New Roman"/>
          <w:bCs/>
          <w:color w:val="auto"/>
          <w:highlight w:val="none"/>
        </w:rPr>
        <w:t>，占耕地面积的75.60%。柳江区耕地主要以旱地为主，旱地占耕地总面积的70%以上。柳江区耕地主要分布于百朋镇、穿山镇、土博镇等3个乡镇，区域耕地面积465.88km</w:t>
      </w:r>
      <w:r>
        <w:rPr>
          <w:rFonts w:cs="Times New Roman"/>
          <w:bCs/>
          <w:color w:val="auto"/>
          <w:highlight w:val="none"/>
          <w:vertAlign w:val="superscript"/>
        </w:rPr>
        <w:t>2</w:t>
      </w:r>
      <w:r>
        <w:rPr>
          <w:rFonts w:cs="Times New Roman"/>
          <w:bCs/>
          <w:color w:val="auto"/>
          <w:highlight w:val="none"/>
        </w:rPr>
        <w:t>，</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耕地面积的70.28%，其中穿山镇耕地面积最大为258.60</w:t>
      </w:r>
      <w:r>
        <w:rPr>
          <w:rFonts w:eastAsia="仿宋_GB2312" w:cs="Times New Roman"/>
          <w:bCs/>
          <w:color w:val="auto"/>
          <w:highlight w:val="none"/>
        </w:rPr>
        <w:t>km</w:t>
      </w:r>
      <w:r>
        <w:rPr>
          <w:rFonts w:eastAsia="仿宋_GB2312"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耕地面积的39.01%。</w:t>
      </w:r>
    </w:p>
    <w:p>
      <w:pPr>
        <w:rPr>
          <w:rFonts w:cs="Times New Roman"/>
          <w:color w:val="auto"/>
          <w:highlight w:val="none"/>
          <w:lang w:val="en-GB"/>
        </w:rPr>
      </w:pPr>
      <w:r>
        <w:rPr>
          <w:rFonts w:cs="Times New Roman"/>
          <w:color w:val="auto"/>
          <w:highlight w:val="none"/>
          <w:lang w:val="en-GB"/>
        </w:rPr>
        <w:t>柳江区现有耕地面积</w:t>
      </w:r>
      <w:r>
        <w:rPr>
          <w:rFonts w:eastAsia="仿宋_GB2312" w:cs="Times New Roman"/>
          <w:bCs/>
          <w:color w:val="auto"/>
          <w:highlight w:val="none"/>
        </w:rPr>
        <w:t>662.86km</w:t>
      </w:r>
      <w:r>
        <w:rPr>
          <w:rFonts w:eastAsia="仿宋_GB2312" w:cs="Times New Roman"/>
          <w:bCs/>
          <w:color w:val="auto"/>
          <w:highlight w:val="none"/>
          <w:vertAlign w:val="superscript"/>
        </w:rPr>
        <w:t>2</w:t>
      </w:r>
      <w:r>
        <w:rPr>
          <w:rFonts w:eastAsia="仿宋_GB2312" w:cs="Times New Roman"/>
          <w:bCs/>
          <w:color w:val="auto"/>
          <w:highlight w:val="none"/>
        </w:rPr>
        <w:t>，</w:t>
      </w:r>
      <w:r>
        <w:rPr>
          <w:rFonts w:cs="Times New Roman"/>
          <w:bCs/>
          <w:color w:val="auto"/>
          <w:highlight w:val="none"/>
        </w:rPr>
        <w:t>其中坡耕地面积200.17km</w:t>
      </w:r>
      <w:r>
        <w:rPr>
          <w:rFonts w:cs="Times New Roman"/>
          <w:bCs/>
          <w:color w:val="auto"/>
          <w:highlight w:val="none"/>
          <w:vertAlign w:val="superscript"/>
        </w:rPr>
        <w:t>2</w:t>
      </w:r>
      <w:r>
        <w:rPr>
          <w:rFonts w:cs="Times New Roman"/>
          <w:bCs/>
          <w:color w:val="auto"/>
          <w:highlight w:val="none"/>
        </w:rPr>
        <w:t>，占总耕地面积的30.20%。柳江区坡耕地主要分布于穿山镇、百朋镇、土博镇，3个镇的坡耕地面积为159.99 km</w:t>
      </w:r>
      <w:r>
        <w:rPr>
          <w:rFonts w:cs="Times New Roman"/>
          <w:bCs/>
          <w:color w:val="auto"/>
          <w:highlight w:val="none"/>
          <w:vertAlign w:val="superscript"/>
        </w:rPr>
        <w:t>2</w:t>
      </w:r>
      <w:r>
        <w:rPr>
          <w:rFonts w:cs="Times New Roman"/>
          <w:bCs/>
          <w:color w:val="auto"/>
          <w:highlight w:val="none"/>
        </w:rPr>
        <w:t>，占总坡耕地面积的79.93%。其中穿山镇的坡耕地面积最大，为80.18km</w:t>
      </w:r>
      <w:r>
        <w:rPr>
          <w:rFonts w:cs="Times New Roman"/>
          <w:bCs/>
          <w:color w:val="auto"/>
          <w:highlight w:val="none"/>
          <w:vertAlign w:val="superscript"/>
        </w:rPr>
        <w:t>2</w:t>
      </w:r>
      <w:r>
        <w:rPr>
          <w:rFonts w:cs="Times New Roman"/>
          <w:bCs/>
          <w:color w:val="auto"/>
          <w:highlight w:val="none"/>
        </w:rPr>
        <w:t>，占总坡耕地面积的40.06%。</w:t>
      </w:r>
    </w:p>
    <w:p>
      <w:pPr>
        <w:ind w:firstLine="0" w:firstLineChars="0"/>
        <w:jc w:val="center"/>
        <w:rPr>
          <w:rFonts w:cs="Times New Roman"/>
          <w:b/>
          <w:color w:val="auto"/>
          <w:highlight w:val="none"/>
          <w:lang w:val="en-GB"/>
        </w:rPr>
      </w:pPr>
      <w:r>
        <w:rPr>
          <w:rFonts w:cs="Times New Roman"/>
          <w:b/>
          <w:color w:val="auto"/>
          <w:highlight w:val="none"/>
          <w:lang w:val="en-GB"/>
        </w:rPr>
        <w:t>表2.2-1  柳江区耕地坡度统计表</w:t>
      </w:r>
    </w:p>
    <w:tbl>
      <w:tblPr>
        <w:tblStyle w:val="30"/>
        <w:tblW w:w="8528" w:type="dxa"/>
        <w:tblInd w:w="0" w:type="dxa"/>
        <w:tblLayout w:type="fixed"/>
        <w:tblCellMar>
          <w:top w:w="0" w:type="dxa"/>
          <w:left w:w="108" w:type="dxa"/>
          <w:bottom w:w="0" w:type="dxa"/>
          <w:right w:w="108" w:type="dxa"/>
        </w:tblCellMar>
      </w:tblPr>
      <w:tblGrid>
        <w:gridCol w:w="2010"/>
        <w:gridCol w:w="3618"/>
        <w:gridCol w:w="2900"/>
      </w:tblGrid>
      <w:tr>
        <w:tblPrEx>
          <w:tblLayout w:type="fixed"/>
          <w:tblCellMar>
            <w:top w:w="0" w:type="dxa"/>
            <w:left w:w="108" w:type="dxa"/>
            <w:bottom w:w="0" w:type="dxa"/>
            <w:right w:w="108" w:type="dxa"/>
          </w:tblCellMar>
        </w:tblPrEx>
        <w:trPr>
          <w:trHeight w:val="330"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3618"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耕地坡度（°）</w:t>
            </w:r>
          </w:p>
        </w:tc>
        <w:tc>
          <w:tcPr>
            <w:tcW w:w="2900"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面积（km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0-5</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462.69</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5-8</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82.89</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3</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8-15</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73.93</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15-25</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34.28</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&gt;25</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9.07</w:t>
            </w:r>
          </w:p>
        </w:tc>
      </w:tr>
      <w:tr>
        <w:tblPrEx>
          <w:tblLayout w:type="fixed"/>
          <w:tblCellMar>
            <w:top w:w="0" w:type="dxa"/>
            <w:left w:w="108" w:type="dxa"/>
            <w:bottom w:w="0" w:type="dxa"/>
            <w:right w:w="108" w:type="dxa"/>
          </w:tblCellMar>
        </w:tblPrEx>
        <w:trPr>
          <w:trHeight w:val="285" w:hRule="atLeast"/>
        </w:trPr>
        <w:tc>
          <w:tcPr>
            <w:tcW w:w="2010"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3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宋体" w:cs="Times New Roman"/>
                <w:color w:val="auto"/>
                <w:kern w:val="0"/>
                <w:sz w:val="22"/>
                <w:szCs w:val="22"/>
                <w:highlight w:val="none"/>
              </w:rPr>
            </w:pPr>
            <w:r>
              <w:rPr>
                <w:rFonts w:eastAsia="宋体" w:cs="Times New Roman"/>
                <w:color w:val="auto"/>
                <w:kern w:val="0"/>
                <w:sz w:val="22"/>
                <w:szCs w:val="22"/>
                <w:highlight w:val="none"/>
              </w:rPr>
              <w:t>　</w:t>
            </w:r>
          </w:p>
        </w:tc>
        <w:tc>
          <w:tcPr>
            <w:tcW w:w="29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662.86</w:t>
            </w:r>
          </w:p>
        </w:tc>
      </w:tr>
    </w:tbl>
    <w:p>
      <w:pPr>
        <w:rPr>
          <w:rFonts w:cs="Times New Roman"/>
          <w:color w:val="auto"/>
          <w:highlight w:val="none"/>
          <w:lang w:val="en-GB"/>
        </w:rPr>
      </w:pPr>
      <w:r>
        <w:rPr>
          <w:rFonts w:cs="Times New Roman"/>
          <w:color w:val="auto"/>
          <w:highlight w:val="none"/>
          <w:lang w:val="en-GB"/>
        </w:rPr>
        <w:t>（2）园地</w:t>
      </w:r>
    </w:p>
    <w:p>
      <w:pPr>
        <w:rPr>
          <w:rFonts w:cs="Times New Roman"/>
          <w:color w:val="auto"/>
          <w:highlight w:val="none"/>
          <w:lang w:val="en-GB"/>
        </w:rPr>
      </w:pPr>
      <w:r>
        <w:rPr>
          <w:rFonts w:cs="Times New Roman"/>
          <w:bCs/>
          <w:color w:val="auto"/>
          <w:highlight w:val="none"/>
        </w:rPr>
        <w:t>柳江区现有</w:t>
      </w:r>
      <w:r>
        <w:rPr>
          <w:rFonts w:cs="Times New Roman"/>
          <w:color w:val="auto"/>
          <w:highlight w:val="none"/>
          <w:lang w:val="en-GB"/>
        </w:rPr>
        <w:t>园</w:t>
      </w:r>
      <w:r>
        <w:rPr>
          <w:rFonts w:cs="Times New Roman"/>
          <w:bCs/>
          <w:color w:val="auto"/>
          <w:highlight w:val="none"/>
        </w:rPr>
        <w:t>地面积25.70km</w:t>
      </w:r>
      <w:r>
        <w:rPr>
          <w:rFonts w:cs="Times New Roman"/>
          <w:bCs/>
          <w:color w:val="auto"/>
          <w:highlight w:val="none"/>
          <w:vertAlign w:val="superscript"/>
        </w:rPr>
        <w:t>2</w:t>
      </w:r>
      <w:r>
        <w:rPr>
          <w:rFonts w:cs="Times New Roman"/>
          <w:bCs/>
          <w:color w:val="auto"/>
          <w:highlight w:val="none"/>
        </w:rPr>
        <w:t>，占柳江区总土地面积的1.45%。其中果园面积8.78km</w:t>
      </w:r>
      <w:r>
        <w:rPr>
          <w:rFonts w:cs="Times New Roman"/>
          <w:bCs/>
          <w:color w:val="auto"/>
          <w:highlight w:val="none"/>
          <w:vertAlign w:val="superscript"/>
        </w:rPr>
        <w:t>2</w:t>
      </w:r>
      <w:r>
        <w:rPr>
          <w:rFonts w:cs="Times New Roman"/>
          <w:color w:val="auto"/>
          <w:highlight w:val="none"/>
          <w:lang w:val="en-GB"/>
        </w:rPr>
        <w:t>，占园地面积的</w:t>
      </w:r>
      <w:r>
        <w:rPr>
          <w:rFonts w:cs="Times New Roman"/>
          <w:color w:val="auto"/>
          <w:highlight w:val="none"/>
        </w:rPr>
        <w:t>34.16</w:t>
      </w:r>
      <w:r>
        <w:rPr>
          <w:rFonts w:cs="Times New Roman"/>
          <w:color w:val="auto"/>
          <w:highlight w:val="none"/>
          <w:lang w:val="en-GB"/>
        </w:rPr>
        <w:t>%；</w:t>
      </w:r>
      <w:r>
        <w:rPr>
          <w:rFonts w:cs="Times New Roman"/>
          <w:bCs/>
          <w:color w:val="auto"/>
          <w:highlight w:val="none"/>
        </w:rPr>
        <w:t>茶园面积0.44km</w:t>
      </w:r>
      <w:r>
        <w:rPr>
          <w:rFonts w:cs="Times New Roman"/>
          <w:bCs/>
          <w:color w:val="auto"/>
          <w:highlight w:val="none"/>
          <w:vertAlign w:val="superscript"/>
        </w:rPr>
        <w:t>2</w:t>
      </w:r>
      <w:r>
        <w:rPr>
          <w:rFonts w:cs="Times New Roman"/>
          <w:color w:val="auto"/>
          <w:highlight w:val="none"/>
          <w:lang w:val="en-GB"/>
        </w:rPr>
        <w:t>，占园地面积的</w:t>
      </w:r>
      <w:r>
        <w:rPr>
          <w:rFonts w:cs="Times New Roman"/>
          <w:color w:val="auto"/>
          <w:highlight w:val="none"/>
        </w:rPr>
        <w:t>1.69</w:t>
      </w:r>
      <w:r>
        <w:rPr>
          <w:rFonts w:cs="Times New Roman"/>
          <w:color w:val="auto"/>
          <w:highlight w:val="none"/>
          <w:lang w:val="en-GB"/>
        </w:rPr>
        <w:t>%；其他园</w:t>
      </w:r>
      <w:r>
        <w:rPr>
          <w:rFonts w:cs="Times New Roman"/>
          <w:bCs/>
          <w:color w:val="auto"/>
          <w:highlight w:val="none"/>
        </w:rPr>
        <w:t>地面积16.48km</w:t>
      </w:r>
      <w:r>
        <w:rPr>
          <w:rFonts w:cs="Times New Roman"/>
          <w:bCs/>
          <w:color w:val="auto"/>
          <w:highlight w:val="none"/>
          <w:vertAlign w:val="superscript"/>
        </w:rPr>
        <w:t>2</w:t>
      </w:r>
      <w:r>
        <w:rPr>
          <w:rFonts w:cs="Times New Roman"/>
          <w:color w:val="auto"/>
          <w:highlight w:val="none"/>
          <w:lang w:val="en-GB"/>
        </w:rPr>
        <w:t>，占园地面积的</w:t>
      </w:r>
      <w:r>
        <w:rPr>
          <w:rFonts w:cs="Times New Roman"/>
          <w:color w:val="auto"/>
          <w:highlight w:val="none"/>
        </w:rPr>
        <w:t>64.14</w:t>
      </w:r>
      <w:r>
        <w:rPr>
          <w:rFonts w:cs="Times New Roman"/>
          <w:color w:val="auto"/>
          <w:highlight w:val="none"/>
          <w:lang w:val="en-GB"/>
        </w:rPr>
        <w:t>%。</w:t>
      </w:r>
      <w:r>
        <w:rPr>
          <w:rFonts w:cs="Times New Roman"/>
          <w:bCs/>
          <w:color w:val="auto"/>
          <w:highlight w:val="none"/>
        </w:rPr>
        <w:t>柳江区</w:t>
      </w:r>
      <w:r>
        <w:rPr>
          <w:rFonts w:cs="Times New Roman"/>
          <w:color w:val="auto"/>
          <w:highlight w:val="none"/>
          <w:lang w:val="en-GB"/>
        </w:rPr>
        <w:t>园地主要为其他果园，</w:t>
      </w:r>
      <w:r>
        <w:rPr>
          <w:rFonts w:cs="Times New Roman"/>
          <w:bCs/>
          <w:color w:val="auto"/>
          <w:highlight w:val="none"/>
        </w:rPr>
        <w:t>园地主要分布于里高镇、三都镇、土博镇等3个镇，区域园地面积22.33km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柳江区园</w:t>
      </w:r>
      <w:r>
        <w:rPr>
          <w:rFonts w:cs="Times New Roman"/>
          <w:color w:val="auto"/>
          <w:highlight w:val="none"/>
          <w:lang w:val="en-GB"/>
        </w:rPr>
        <w:t>地面积的86.89%，其中里高镇</w:t>
      </w:r>
      <w:r>
        <w:rPr>
          <w:rFonts w:cs="Times New Roman"/>
          <w:bCs/>
          <w:color w:val="auto"/>
          <w:highlight w:val="none"/>
        </w:rPr>
        <w:t>园</w:t>
      </w:r>
      <w:r>
        <w:rPr>
          <w:rFonts w:cs="Times New Roman"/>
          <w:color w:val="auto"/>
          <w:highlight w:val="none"/>
          <w:lang w:val="en-GB"/>
        </w:rPr>
        <w:t>地面积最大为9.15</w:t>
      </w:r>
      <w:r>
        <w:rPr>
          <w:rFonts w:cs="Times New Roman"/>
          <w:bCs/>
          <w:color w:val="auto"/>
          <w:highlight w:val="none"/>
        </w:rPr>
        <w:t>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柳江区园</w:t>
      </w:r>
      <w:r>
        <w:rPr>
          <w:rFonts w:cs="Times New Roman"/>
          <w:color w:val="auto"/>
          <w:highlight w:val="none"/>
          <w:lang w:val="en-GB"/>
        </w:rPr>
        <w:t>地面积的35.60%。</w:t>
      </w:r>
    </w:p>
    <w:p>
      <w:pPr>
        <w:rPr>
          <w:rFonts w:cs="Times New Roman"/>
          <w:color w:val="auto"/>
          <w:highlight w:val="none"/>
          <w:lang w:val="en-GB"/>
        </w:rPr>
      </w:pPr>
      <w:r>
        <w:rPr>
          <w:rFonts w:cs="Times New Roman"/>
          <w:color w:val="auto"/>
          <w:highlight w:val="none"/>
          <w:lang w:val="en-GB"/>
        </w:rPr>
        <w:t>（3）林地</w:t>
      </w:r>
    </w:p>
    <w:p>
      <w:pPr>
        <w:rPr>
          <w:rFonts w:cs="Times New Roman"/>
          <w:color w:val="auto"/>
          <w:highlight w:val="none"/>
          <w:lang w:val="en-GB"/>
        </w:rPr>
      </w:pPr>
      <w:r>
        <w:rPr>
          <w:rFonts w:cs="Times New Roman"/>
          <w:bCs/>
          <w:color w:val="auto"/>
          <w:highlight w:val="none"/>
        </w:rPr>
        <w:t>柳江区现有林地面积872.74km</w:t>
      </w:r>
      <w:r>
        <w:rPr>
          <w:rFonts w:cs="Times New Roman"/>
          <w:bCs/>
          <w:color w:val="auto"/>
          <w:highlight w:val="none"/>
          <w:vertAlign w:val="superscript"/>
        </w:rPr>
        <w:t>2</w:t>
      </w:r>
      <w:r>
        <w:rPr>
          <w:rFonts w:cs="Times New Roman"/>
          <w:bCs/>
          <w:color w:val="auto"/>
          <w:highlight w:val="none"/>
        </w:rPr>
        <w:t>，占柳江区总土地面积的49.27%。其中有林地面积463.32km</w:t>
      </w:r>
      <w:r>
        <w:rPr>
          <w:rFonts w:cs="Times New Roman"/>
          <w:bCs/>
          <w:color w:val="auto"/>
          <w:highlight w:val="none"/>
          <w:vertAlign w:val="superscript"/>
        </w:rPr>
        <w:t>2</w:t>
      </w:r>
      <w:r>
        <w:rPr>
          <w:rFonts w:cs="Times New Roman"/>
          <w:color w:val="auto"/>
          <w:highlight w:val="none"/>
          <w:lang w:val="en-GB"/>
        </w:rPr>
        <w:t>，占林地面积的</w:t>
      </w:r>
      <w:r>
        <w:rPr>
          <w:rFonts w:cs="Times New Roman"/>
          <w:color w:val="auto"/>
          <w:highlight w:val="none"/>
        </w:rPr>
        <w:t>53.09</w:t>
      </w:r>
      <w:r>
        <w:rPr>
          <w:rFonts w:cs="Times New Roman"/>
          <w:color w:val="auto"/>
          <w:highlight w:val="none"/>
          <w:lang w:val="en-GB"/>
        </w:rPr>
        <w:t>%；灌木</w:t>
      </w:r>
      <w:r>
        <w:rPr>
          <w:rFonts w:cs="Times New Roman"/>
          <w:bCs/>
          <w:color w:val="auto"/>
          <w:highlight w:val="none"/>
        </w:rPr>
        <w:t>林地面积381.21km</w:t>
      </w:r>
      <w:r>
        <w:rPr>
          <w:rFonts w:cs="Times New Roman"/>
          <w:bCs/>
          <w:color w:val="auto"/>
          <w:highlight w:val="none"/>
          <w:vertAlign w:val="superscript"/>
        </w:rPr>
        <w:t>2</w:t>
      </w:r>
      <w:r>
        <w:rPr>
          <w:rFonts w:cs="Times New Roman"/>
          <w:color w:val="auto"/>
          <w:highlight w:val="none"/>
          <w:lang w:val="en-GB"/>
        </w:rPr>
        <w:t>，占林地面积的</w:t>
      </w:r>
      <w:r>
        <w:rPr>
          <w:rFonts w:cs="Times New Roman"/>
          <w:color w:val="auto"/>
          <w:highlight w:val="none"/>
        </w:rPr>
        <w:t>43.68</w:t>
      </w:r>
      <w:r>
        <w:rPr>
          <w:rFonts w:cs="Times New Roman"/>
          <w:color w:val="auto"/>
          <w:highlight w:val="none"/>
          <w:lang w:val="en-GB"/>
        </w:rPr>
        <w:t>%；其他</w:t>
      </w:r>
      <w:r>
        <w:rPr>
          <w:rFonts w:cs="Times New Roman"/>
          <w:bCs/>
          <w:color w:val="auto"/>
          <w:highlight w:val="none"/>
        </w:rPr>
        <w:t>林地面积28.21km</w:t>
      </w:r>
      <w:r>
        <w:rPr>
          <w:rFonts w:cs="Times New Roman"/>
          <w:bCs/>
          <w:color w:val="auto"/>
          <w:highlight w:val="none"/>
          <w:vertAlign w:val="superscript"/>
        </w:rPr>
        <w:t>2</w:t>
      </w:r>
      <w:r>
        <w:rPr>
          <w:rFonts w:cs="Times New Roman"/>
          <w:color w:val="auto"/>
          <w:highlight w:val="none"/>
          <w:lang w:val="en-GB"/>
        </w:rPr>
        <w:t>，占林地面积的</w:t>
      </w:r>
      <w:r>
        <w:rPr>
          <w:rFonts w:cs="Times New Roman"/>
          <w:color w:val="auto"/>
          <w:highlight w:val="none"/>
        </w:rPr>
        <w:t>3.23</w:t>
      </w:r>
      <w:r>
        <w:rPr>
          <w:rFonts w:cs="Times New Roman"/>
          <w:color w:val="auto"/>
          <w:highlight w:val="none"/>
          <w:lang w:val="en-GB"/>
        </w:rPr>
        <w:t>%。</w:t>
      </w:r>
      <w:r>
        <w:rPr>
          <w:rFonts w:cs="Times New Roman"/>
          <w:bCs/>
          <w:color w:val="auto"/>
          <w:highlight w:val="none"/>
        </w:rPr>
        <w:t>柳江区</w:t>
      </w:r>
      <w:r>
        <w:rPr>
          <w:rFonts w:cs="Times New Roman"/>
          <w:color w:val="auto"/>
          <w:highlight w:val="none"/>
          <w:lang w:val="en-GB"/>
        </w:rPr>
        <w:t>林地主要为有林地。</w:t>
      </w:r>
      <w:r>
        <w:rPr>
          <w:rFonts w:cs="Times New Roman"/>
          <w:bCs/>
          <w:color w:val="auto"/>
          <w:highlight w:val="none"/>
        </w:rPr>
        <w:t>柳江区林地主要分布于百朋镇、穿山镇、土博镇等3个乡镇，区域林地面积609.41km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林地面积的69.83%，其中</w:t>
      </w:r>
      <w:r>
        <w:rPr>
          <w:rFonts w:cs="Times New Roman"/>
          <w:bCs/>
          <w:color w:val="auto"/>
          <w:highlight w:val="none"/>
        </w:rPr>
        <w:t>土博镇</w:t>
      </w:r>
      <w:r>
        <w:rPr>
          <w:rFonts w:cs="Times New Roman"/>
          <w:color w:val="auto"/>
          <w:highlight w:val="none"/>
          <w:lang w:val="en-GB"/>
        </w:rPr>
        <w:t>林地面积最大为285.70</w:t>
      </w:r>
      <w:r>
        <w:rPr>
          <w:rFonts w:cs="Times New Roman"/>
          <w:bCs/>
          <w:color w:val="auto"/>
          <w:highlight w:val="none"/>
        </w:rPr>
        <w:t>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林地面积的32.74%。</w:t>
      </w:r>
    </w:p>
    <w:p>
      <w:pPr>
        <w:rPr>
          <w:rFonts w:cs="Times New Roman"/>
          <w:color w:val="auto"/>
          <w:highlight w:val="none"/>
          <w:lang w:val="en-GB"/>
        </w:rPr>
      </w:pPr>
      <w:r>
        <w:rPr>
          <w:rFonts w:cs="Times New Roman"/>
          <w:color w:val="auto"/>
          <w:highlight w:val="none"/>
          <w:lang w:val="en-GB"/>
        </w:rPr>
        <w:t>（4）草地</w:t>
      </w:r>
    </w:p>
    <w:p>
      <w:pPr>
        <w:rPr>
          <w:rFonts w:cs="Times New Roman"/>
          <w:bCs/>
          <w:color w:val="auto"/>
          <w:highlight w:val="none"/>
        </w:rPr>
      </w:pPr>
      <w:r>
        <w:rPr>
          <w:rFonts w:cs="Times New Roman"/>
          <w:bCs/>
          <w:color w:val="auto"/>
          <w:highlight w:val="none"/>
        </w:rPr>
        <w:t>柳江区现有草地面积64.23km</w:t>
      </w:r>
      <w:r>
        <w:rPr>
          <w:rFonts w:cs="Times New Roman"/>
          <w:bCs/>
          <w:color w:val="auto"/>
          <w:highlight w:val="none"/>
          <w:vertAlign w:val="superscript"/>
        </w:rPr>
        <w:t>2</w:t>
      </w:r>
      <w:r>
        <w:rPr>
          <w:rFonts w:cs="Times New Roman"/>
          <w:bCs/>
          <w:color w:val="auto"/>
          <w:highlight w:val="none"/>
        </w:rPr>
        <w:t>，占柳江区总土地面积的3.63%，草地类型均为其他草地。柳江区草地主要分布于穿山镇和土博镇等2个乡镇，区域草地面积36.43km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草地面积的56.72%，其中</w:t>
      </w:r>
      <w:r>
        <w:rPr>
          <w:rFonts w:cs="Times New Roman"/>
          <w:bCs/>
          <w:color w:val="auto"/>
          <w:highlight w:val="none"/>
        </w:rPr>
        <w:t>土博镇</w:t>
      </w:r>
      <w:r>
        <w:rPr>
          <w:rFonts w:cs="Times New Roman"/>
          <w:color w:val="auto"/>
          <w:highlight w:val="none"/>
          <w:lang w:val="en-GB"/>
        </w:rPr>
        <w:t>草地面积最大为21.42</w:t>
      </w:r>
      <w:r>
        <w:rPr>
          <w:rFonts w:cs="Times New Roman"/>
          <w:bCs/>
          <w:color w:val="auto"/>
          <w:highlight w:val="none"/>
        </w:rPr>
        <w:t>km</w:t>
      </w:r>
      <w:r>
        <w:rPr>
          <w:rFonts w:cs="Times New Roman"/>
          <w:bCs/>
          <w:color w:val="auto"/>
          <w:highlight w:val="none"/>
          <w:vertAlign w:val="superscript"/>
        </w:rPr>
        <w:t>2</w:t>
      </w:r>
      <w:r>
        <w:rPr>
          <w:rFonts w:cs="Times New Roman"/>
          <w:color w:val="auto"/>
          <w:highlight w:val="none"/>
          <w:lang w:val="en-GB"/>
        </w:rPr>
        <w:t>，占</w:t>
      </w:r>
      <w:r>
        <w:rPr>
          <w:rFonts w:cs="Times New Roman"/>
          <w:bCs/>
          <w:color w:val="auto"/>
          <w:highlight w:val="none"/>
        </w:rPr>
        <w:t>柳江区</w:t>
      </w:r>
      <w:r>
        <w:rPr>
          <w:rFonts w:cs="Times New Roman"/>
          <w:color w:val="auto"/>
          <w:highlight w:val="none"/>
          <w:lang w:val="en-GB"/>
        </w:rPr>
        <w:t>草地面积的33.35%。</w:t>
      </w:r>
    </w:p>
    <w:p>
      <w:pPr>
        <w:rPr>
          <w:rFonts w:cs="Times New Roman"/>
          <w:color w:val="auto"/>
          <w:highlight w:val="none"/>
          <w:lang w:val="en-GB"/>
        </w:rPr>
      </w:pPr>
      <w:r>
        <w:rPr>
          <w:rFonts w:cs="Times New Roman"/>
          <w:color w:val="auto"/>
          <w:highlight w:val="none"/>
          <w:lang w:val="en-GB"/>
        </w:rPr>
        <w:t>（5）城镇村及公共用地</w:t>
      </w:r>
    </w:p>
    <w:p>
      <w:pPr>
        <w:rPr>
          <w:rFonts w:cs="Times New Roman"/>
          <w:bCs/>
          <w:color w:val="auto"/>
          <w:highlight w:val="none"/>
        </w:rPr>
      </w:pPr>
      <w:r>
        <w:rPr>
          <w:rFonts w:cs="Times New Roman"/>
          <w:bCs/>
          <w:color w:val="auto"/>
          <w:highlight w:val="none"/>
        </w:rPr>
        <w:t>柳江区城镇村及公共用地面积80.95km</w:t>
      </w:r>
      <w:r>
        <w:rPr>
          <w:rFonts w:cs="Times New Roman"/>
          <w:bCs/>
          <w:color w:val="auto"/>
          <w:highlight w:val="none"/>
          <w:vertAlign w:val="superscript"/>
        </w:rPr>
        <w:t>2</w:t>
      </w:r>
      <w:r>
        <w:rPr>
          <w:rFonts w:cs="Times New Roman"/>
          <w:bCs/>
          <w:color w:val="auto"/>
          <w:highlight w:val="none"/>
        </w:rPr>
        <w:t>，占柳江区总土地面积的4.57%。城镇村及公共用地面积主要以农村建设用地为主，</w:t>
      </w:r>
      <w:r>
        <w:rPr>
          <w:rFonts w:cs="Times New Roman"/>
          <w:color w:val="auto"/>
          <w:highlight w:val="none"/>
          <w:lang w:val="en-GB"/>
        </w:rPr>
        <w:t>占</w:t>
      </w:r>
      <w:r>
        <w:rPr>
          <w:rFonts w:cs="Times New Roman"/>
          <w:bCs/>
          <w:color w:val="auto"/>
          <w:highlight w:val="none"/>
        </w:rPr>
        <w:t>柳江区城镇村及公共用地面积</w:t>
      </w:r>
      <w:r>
        <w:rPr>
          <w:rFonts w:cs="Times New Roman"/>
          <w:color w:val="auto"/>
          <w:highlight w:val="none"/>
          <w:lang w:val="en-GB"/>
        </w:rPr>
        <w:t>的68.63%</w:t>
      </w:r>
      <w:r>
        <w:rPr>
          <w:rFonts w:cs="Times New Roman"/>
          <w:bCs/>
          <w:color w:val="auto"/>
          <w:highlight w:val="none"/>
        </w:rPr>
        <w:t>。</w:t>
      </w:r>
      <w:r>
        <w:rPr>
          <w:rFonts w:cs="Times New Roman"/>
          <w:color w:val="auto"/>
          <w:highlight w:val="none"/>
          <w:lang w:val="en-GB"/>
        </w:rPr>
        <w:t>城镇村及公共用地在全区范围内均有分布。</w:t>
      </w:r>
    </w:p>
    <w:p>
      <w:pPr>
        <w:rPr>
          <w:rFonts w:cs="Times New Roman"/>
          <w:color w:val="auto"/>
          <w:highlight w:val="none"/>
          <w:lang w:val="en-GB"/>
        </w:rPr>
      </w:pPr>
      <w:r>
        <w:rPr>
          <w:rFonts w:cs="Times New Roman"/>
          <w:color w:val="auto"/>
          <w:highlight w:val="none"/>
          <w:lang w:val="en-GB"/>
        </w:rPr>
        <w:t>（6）交通运输用地</w:t>
      </w:r>
    </w:p>
    <w:p>
      <w:pPr>
        <w:rPr>
          <w:rFonts w:cs="Times New Roman"/>
          <w:bCs/>
          <w:color w:val="auto"/>
          <w:highlight w:val="none"/>
        </w:rPr>
      </w:pPr>
      <w:r>
        <w:rPr>
          <w:rFonts w:cs="Times New Roman"/>
          <w:bCs/>
          <w:color w:val="auto"/>
          <w:highlight w:val="none"/>
        </w:rPr>
        <w:t>柳江区</w:t>
      </w:r>
      <w:r>
        <w:rPr>
          <w:rFonts w:cs="Times New Roman"/>
          <w:color w:val="auto"/>
          <w:highlight w:val="none"/>
          <w:lang w:val="en-GB"/>
        </w:rPr>
        <w:t>交通运输用地</w:t>
      </w:r>
      <w:r>
        <w:rPr>
          <w:rFonts w:cs="Times New Roman"/>
          <w:bCs/>
          <w:color w:val="auto"/>
          <w:highlight w:val="none"/>
        </w:rPr>
        <w:t>13.85km</w:t>
      </w:r>
      <w:r>
        <w:rPr>
          <w:rFonts w:cs="Times New Roman"/>
          <w:bCs/>
          <w:color w:val="auto"/>
          <w:highlight w:val="none"/>
          <w:vertAlign w:val="superscript"/>
        </w:rPr>
        <w:t>2</w:t>
      </w:r>
      <w:r>
        <w:rPr>
          <w:rFonts w:cs="Times New Roman"/>
          <w:bCs/>
          <w:color w:val="auto"/>
          <w:highlight w:val="none"/>
        </w:rPr>
        <w:t>，占柳江区总土地面积的0.78%。交通运输用地主要以其他交通用地为主</w:t>
      </w:r>
      <w:r>
        <w:rPr>
          <w:rFonts w:cs="Times New Roman"/>
          <w:color w:val="auto"/>
          <w:highlight w:val="none"/>
          <w:lang w:val="en-GB"/>
        </w:rPr>
        <w:t>，交通运输用地在全区范围内均有分布。</w:t>
      </w:r>
    </w:p>
    <w:p>
      <w:pPr>
        <w:rPr>
          <w:rFonts w:cs="Times New Roman"/>
          <w:color w:val="auto"/>
          <w:highlight w:val="none"/>
          <w:lang w:val="en-GB"/>
        </w:rPr>
      </w:pPr>
      <w:r>
        <w:rPr>
          <w:rFonts w:cs="Times New Roman"/>
          <w:color w:val="auto"/>
          <w:highlight w:val="none"/>
          <w:lang w:val="en-GB"/>
        </w:rPr>
        <w:t>（7）水域及水利设施用地</w:t>
      </w:r>
    </w:p>
    <w:p>
      <w:pPr>
        <w:rPr>
          <w:rFonts w:cs="Times New Roman"/>
          <w:color w:val="auto"/>
          <w:highlight w:val="none"/>
          <w:lang w:val="en-GB"/>
        </w:rPr>
      </w:pPr>
      <w:r>
        <w:rPr>
          <w:rFonts w:cs="Times New Roman"/>
          <w:bCs/>
          <w:color w:val="auto"/>
          <w:highlight w:val="none"/>
        </w:rPr>
        <w:t>柳江区水域及水利设施用地23.60km</w:t>
      </w:r>
      <w:r>
        <w:rPr>
          <w:rFonts w:cs="Times New Roman"/>
          <w:bCs/>
          <w:color w:val="auto"/>
          <w:highlight w:val="none"/>
          <w:vertAlign w:val="superscript"/>
        </w:rPr>
        <w:t>2</w:t>
      </w:r>
      <w:r>
        <w:rPr>
          <w:rFonts w:cs="Times New Roman"/>
          <w:bCs/>
          <w:color w:val="auto"/>
          <w:highlight w:val="none"/>
        </w:rPr>
        <w:t>，占柳江区总土地面积的1.33%。</w:t>
      </w:r>
      <w:r>
        <w:rPr>
          <w:rFonts w:cs="Times New Roman"/>
          <w:color w:val="auto"/>
          <w:highlight w:val="none"/>
          <w:lang w:val="en-GB"/>
        </w:rPr>
        <w:t>水域及水利设施用地在全区范围内均有分布。</w:t>
      </w:r>
    </w:p>
    <w:p>
      <w:pPr>
        <w:rPr>
          <w:rFonts w:cs="Times New Roman"/>
          <w:color w:val="auto"/>
          <w:highlight w:val="none"/>
          <w:lang w:val="en-GB"/>
        </w:rPr>
      </w:pPr>
      <w:r>
        <w:rPr>
          <w:rFonts w:cs="Times New Roman"/>
          <w:color w:val="auto"/>
          <w:highlight w:val="none"/>
          <w:lang w:val="en-GB"/>
        </w:rPr>
        <w:br w:type="page"/>
      </w:r>
    </w:p>
    <w:p>
      <w:pPr>
        <w:rPr>
          <w:rFonts w:cs="Times New Roman"/>
          <w:color w:val="auto"/>
          <w:highlight w:val="none"/>
          <w:lang w:val="en-GB"/>
        </w:rPr>
        <w:sectPr>
          <w:footerReference r:id="rId10" w:type="default"/>
          <w:pgSz w:w="11906" w:h="16838"/>
          <w:pgMar w:top="1440" w:right="1797" w:bottom="1440" w:left="1797" w:header="851" w:footer="992" w:gutter="0"/>
          <w:pgNumType w:start="1"/>
          <w:cols w:space="425" w:num="1"/>
          <w:docGrid w:type="lines" w:linePitch="312" w:charSpace="0"/>
        </w:sectPr>
      </w:pPr>
    </w:p>
    <w:p>
      <w:pPr>
        <w:pStyle w:val="12"/>
        <w:ind w:firstLine="560"/>
        <w:jc w:val="center"/>
        <w:rPr>
          <w:rFonts w:eastAsia="黑体"/>
          <w:color w:val="auto"/>
          <w:highlight w:val="none"/>
        </w:rPr>
      </w:pPr>
      <w:r>
        <w:rPr>
          <w:rFonts w:cs="Times New Roman"/>
          <w:b/>
          <w:color w:val="auto"/>
          <w:highlight w:val="none"/>
          <w:lang w:val="en-GB"/>
        </w:rPr>
        <w:t>表2.2-</w:t>
      </w:r>
      <w:r>
        <w:rPr>
          <w:rFonts w:hint="eastAsia" w:cs="Times New Roman"/>
          <w:b/>
          <w:color w:val="auto"/>
          <w:highlight w:val="none"/>
          <w:lang w:val="en-US" w:eastAsia="zh-CN"/>
        </w:rPr>
        <w:t>2</w:t>
      </w:r>
      <w:r>
        <w:rPr>
          <w:rFonts w:eastAsia="黑体"/>
          <w:color w:val="auto"/>
          <w:highlight w:val="none"/>
        </w:rPr>
        <w:t xml:space="preserve"> 柳江区土地利用现状表单位：km</w:t>
      </w:r>
      <w:r>
        <w:rPr>
          <w:rFonts w:eastAsia="黑体"/>
          <w:color w:val="auto"/>
          <w:highlight w:val="none"/>
          <w:vertAlign w:val="superscript"/>
        </w:rPr>
        <w:t>2</w:t>
      </w:r>
    </w:p>
    <w:tbl>
      <w:tblPr>
        <w:tblStyle w:val="30"/>
        <w:tblW w:w="10316" w:type="dxa"/>
        <w:jc w:val="center"/>
        <w:tblInd w:w="0" w:type="dxa"/>
        <w:tblLayout w:type="fixed"/>
        <w:tblCellMar>
          <w:top w:w="0" w:type="dxa"/>
          <w:left w:w="108" w:type="dxa"/>
          <w:bottom w:w="0" w:type="dxa"/>
          <w:right w:w="108" w:type="dxa"/>
        </w:tblCellMar>
      </w:tblPr>
      <w:tblGrid>
        <w:gridCol w:w="960"/>
        <w:gridCol w:w="1437"/>
        <w:gridCol w:w="867"/>
        <w:gridCol w:w="867"/>
        <w:gridCol w:w="867"/>
        <w:gridCol w:w="867"/>
        <w:gridCol w:w="867"/>
        <w:gridCol w:w="867"/>
        <w:gridCol w:w="859"/>
        <w:gridCol w:w="867"/>
        <w:gridCol w:w="991"/>
      </w:tblGrid>
      <w:tr>
        <w:tblPrEx>
          <w:tblLayout w:type="fixed"/>
          <w:tblCellMar>
            <w:top w:w="0" w:type="dxa"/>
            <w:left w:w="108" w:type="dxa"/>
            <w:bottom w:w="0" w:type="dxa"/>
            <w:right w:w="108" w:type="dxa"/>
          </w:tblCellMar>
        </w:tblPrEx>
        <w:trPr>
          <w:trHeight w:val="20" w:hRule="atLeast"/>
          <w:tblHeader/>
          <w:jc w:val="center"/>
        </w:trPr>
        <w:tc>
          <w:tcPr>
            <w:tcW w:w="2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行政区域</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百朋镇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成团镇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穿山镇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进德镇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拉堡镇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里高镇</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三都镇</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土博镇</w:t>
            </w:r>
          </w:p>
        </w:tc>
        <w:tc>
          <w:tcPr>
            <w:tcW w:w="991"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柳江区</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耕地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29.99</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29.13</w:t>
            </w: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33.07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30.33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6.04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8.21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12.97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11.82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161.56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left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水浇地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0.01</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0.20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left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旱地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93.77</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22.91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225.39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40.37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4.25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26.55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16.16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71.69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501.10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left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123.77</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52.08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258.60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70.71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10.29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34.77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29.13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83.51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662.86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宋体" w:cs="Times New Roman"/>
                <w:color w:val="auto"/>
                <w:kern w:val="0"/>
                <w:sz w:val="18"/>
                <w:szCs w:val="18"/>
                <w:highlight w:val="none"/>
                <w:lang w:val="en-US" w:eastAsia="zh-CN"/>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18.67</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7.86</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39.01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10.67</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1.55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5.25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4.39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12.60</w:t>
            </w:r>
            <w:r>
              <w:rPr>
                <w:rFonts w:hint="eastAsia" w:eastAsia="等线" w:cs="Times New Roman"/>
                <w:color w:val="auto"/>
                <w:sz w:val="18"/>
                <w:szCs w:val="18"/>
                <w:highlight w:val="none"/>
                <w:lang w:val="en-US" w:eastAsia="zh-CN"/>
              </w:rPr>
              <w:t>%</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园地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果园</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0.37</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0.19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1.28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5.16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8.78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茶园</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0.43</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0.44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其他园地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0.28</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7.87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3.19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16.48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0.65</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0.42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1.53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0.59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0.19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9.15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4.84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8.35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25.70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2.53</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1.63</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5.95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2.30</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0.74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35.60</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18.83</w:t>
            </w:r>
            <w:r>
              <w:rPr>
                <w:rFonts w:hint="eastAsia" w:eastAsia="等线" w:cs="Times New Roman"/>
                <w:color w:val="auto"/>
                <w:sz w:val="18"/>
                <w:szCs w:val="18"/>
                <w:highlight w:val="none"/>
                <w:lang w:val="en-US" w:eastAsia="zh-CN"/>
              </w:rPr>
              <w:t>%</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default" w:eastAsia="等线" w:cs="Times New Roman"/>
                <w:color w:val="auto"/>
                <w:sz w:val="18"/>
                <w:szCs w:val="18"/>
                <w:highlight w:val="none"/>
                <w:lang w:val="en-US" w:eastAsia="zh-CN"/>
              </w:rPr>
              <w:t>32.49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林地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有林地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70.56</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44.92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76.07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16.29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2.80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23.08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62.05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167.55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463.32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灌木林地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113.15</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16.24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50.40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7.65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60.57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21.99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110.11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381.21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其他林地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6.46</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7.08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0.05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1.50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2.06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8.04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28.21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190.16</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62.04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133.55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26.08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3.97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85.15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86.10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285.70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180" w:firstLineChars="100"/>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872.74 </w:t>
            </w: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21.79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7.11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15.30</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2.99</w:t>
            </w:r>
            <w:r>
              <w:rPr>
                <w:rFonts w:hint="eastAsia" w:eastAsia="等线" w:cs="Times New Roman"/>
                <w:color w:val="auto"/>
                <w:sz w:val="18"/>
                <w:szCs w:val="18"/>
                <w:highlight w:val="none"/>
                <w:lang w:val="en-US" w:eastAsia="zh-CN"/>
              </w:rPr>
              <w:t>%</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0.45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9.76</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9.87</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32.74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180" w:firstLineChars="100"/>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草地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其他草地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7.34</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4.12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15.01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4.06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8.64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21.42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64.23 </w:t>
            </w: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7.34</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4.12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15.01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2.82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0.82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4.06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8.64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21.42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64.23 </w:t>
            </w: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11.43</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6.41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23.37</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4.39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1.28</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6.32</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13.45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33.35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340"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城镇村及工矿用地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城市建设用地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1.17</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9.53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9.45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5.28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22.71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农村建设用地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8.38</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7.88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11.92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10.97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2.94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2.19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55.56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其他建设用地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0.01</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0.29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1.23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0.48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3.98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1.47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人为扰动用地</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1.06</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12.07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3.36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4.85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2.14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29.07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10.62</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10.50</w:t>
            </w: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34.75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15.78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9.45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4.65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0.34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5.28 </w:t>
            </w:r>
          </w:p>
        </w:tc>
        <w:tc>
          <w:tcPr>
            <w:tcW w:w="99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110.01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9.65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9.54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31.59</w:t>
            </w:r>
            <w:r>
              <w:rPr>
                <w:rFonts w:hint="eastAsia" w:eastAsia="等线" w:cs="Times New Roman"/>
                <w:color w:val="auto"/>
                <w:sz w:val="18"/>
                <w:szCs w:val="18"/>
                <w:highlight w:val="none"/>
                <w:lang w:val="en-US" w:eastAsia="zh-CN"/>
              </w:rPr>
              <w:t>%</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14.34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8.59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4.23</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0.31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4.80</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交通运输用地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农村道路</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其他交通</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1.39</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5.49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3.08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13.69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1.39</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0.76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5.55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2.67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3.09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0.14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0.20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0.05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13.85 </w:t>
            </w:r>
          </w:p>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p>
        </w:tc>
      </w:tr>
      <w:tr>
        <w:tblPrEx>
          <w:tblLayout w:type="fixed"/>
          <w:tblCellMar>
            <w:top w:w="0" w:type="dxa"/>
            <w:left w:w="108" w:type="dxa"/>
            <w:bottom w:w="0" w:type="dxa"/>
            <w:right w:w="108" w:type="dxa"/>
          </w:tblCellMar>
        </w:tblPrEx>
        <w:trPr>
          <w:trHeight w:val="284"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10.04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5.49</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40.07</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19.28</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22.31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1.01</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1.44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0.36</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水域及水利设施用地</w:t>
            </w: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河湖塘库水面</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3.30</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8.58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3.76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0.98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1.76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23.60 </w:t>
            </w:r>
          </w:p>
        </w:tc>
      </w:tr>
      <w:tr>
        <w:tblPrEx>
          <w:tblLayout w:type="fixed"/>
          <w:tblCellMar>
            <w:top w:w="0" w:type="dxa"/>
            <w:left w:w="108" w:type="dxa"/>
            <w:bottom w:w="0" w:type="dxa"/>
            <w:right w:w="108" w:type="dxa"/>
          </w:tblCellMar>
        </w:tblPrEx>
        <w:trPr>
          <w:trHeight w:val="291"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宋体" w:cs="Times New Roman"/>
                <w:color w:val="auto"/>
                <w:kern w:val="0"/>
                <w:sz w:val="18"/>
                <w:szCs w:val="18"/>
                <w:highlight w:val="none"/>
              </w:rPr>
              <w:t>小计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宋体" w:cs="Times New Roman"/>
                <w:color w:val="auto"/>
                <w:kern w:val="0"/>
                <w:sz w:val="18"/>
                <w:szCs w:val="18"/>
                <w:highlight w:val="none"/>
                <w:lang w:val="en-US" w:eastAsia="zh-CN" w:bidi="ar-SA"/>
              </w:rPr>
            </w:pPr>
            <w:r>
              <w:rPr>
                <w:rFonts w:eastAsia="等线" w:cs="Times New Roman"/>
                <w:color w:val="auto"/>
                <w:sz w:val="18"/>
                <w:szCs w:val="18"/>
                <w:highlight w:val="none"/>
              </w:rPr>
              <w:t>3.30</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1.97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8.58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3.76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0.98</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1.76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1.92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1.35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ascii="Times New Roman" w:hAnsi="Times New Roman" w:eastAsia="等线" w:cs="Times New Roman"/>
                <w:color w:val="auto"/>
                <w:kern w:val="2"/>
                <w:sz w:val="18"/>
                <w:szCs w:val="18"/>
                <w:highlight w:val="none"/>
                <w:lang w:val="en-US" w:eastAsia="zh-CN" w:bidi="ar-SA"/>
              </w:rPr>
            </w:pPr>
            <w:r>
              <w:rPr>
                <w:rFonts w:eastAsia="等线" w:cs="Times New Roman"/>
                <w:color w:val="auto"/>
                <w:sz w:val="18"/>
                <w:szCs w:val="18"/>
                <w:highlight w:val="none"/>
              </w:rPr>
              <w:t xml:space="preserve">23.60 </w:t>
            </w:r>
          </w:p>
        </w:tc>
      </w:tr>
      <w:tr>
        <w:tblPrEx>
          <w:tblLayout w:type="fixed"/>
          <w:tblCellMar>
            <w:top w:w="0" w:type="dxa"/>
            <w:left w:w="108" w:type="dxa"/>
            <w:bottom w:w="0" w:type="dxa"/>
            <w:right w:w="108" w:type="dxa"/>
          </w:tblCellMar>
        </w:tblPrEx>
        <w:trPr>
          <w:trHeight w:val="291" w:hRule="exact"/>
          <w:jc w:val="center"/>
        </w:trPr>
        <w:tc>
          <w:tcPr>
            <w:tcW w:w="9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3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hint="eastAsia" w:eastAsia="宋体" w:cs="Times New Roman"/>
                <w:color w:val="auto"/>
                <w:kern w:val="0"/>
                <w:sz w:val="18"/>
                <w:szCs w:val="18"/>
                <w:highlight w:val="none"/>
                <w:lang w:val="en-US" w:eastAsia="zh-CN"/>
              </w:rPr>
              <w:t>乡镇比例</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13.98</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8.35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36.36</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15.93</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4.15</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7.46</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8.14</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hint="default" w:eastAsia="等线" w:cs="Times New Roman"/>
                <w:color w:val="auto"/>
                <w:sz w:val="18"/>
                <w:szCs w:val="18"/>
                <w:highlight w:val="none"/>
                <w:lang w:val="en-US" w:eastAsia="zh-CN"/>
              </w:rPr>
            </w:pPr>
            <w:r>
              <w:rPr>
                <w:rFonts w:hint="default" w:eastAsia="等线" w:cs="Times New Roman"/>
                <w:color w:val="auto"/>
                <w:sz w:val="18"/>
                <w:szCs w:val="18"/>
                <w:highlight w:val="none"/>
                <w:lang w:val="en-US" w:eastAsia="zh-CN"/>
              </w:rPr>
              <w:t>5.72</w:t>
            </w:r>
            <w:r>
              <w:rPr>
                <w:rFonts w:hint="eastAsia" w:eastAsia="等线" w:cs="Times New Roman"/>
                <w:color w:val="auto"/>
                <w:sz w:val="18"/>
                <w:szCs w:val="18"/>
                <w:highlight w:val="none"/>
                <w:lang w:val="en-US" w:eastAsia="zh-CN"/>
              </w:rPr>
              <w:t>%</w:t>
            </w:r>
            <w:r>
              <w:rPr>
                <w:rFonts w:hint="default" w:eastAsia="等线" w:cs="Times New Roman"/>
                <w:color w:val="auto"/>
                <w:sz w:val="18"/>
                <w:szCs w:val="18"/>
                <w:highlight w:val="none"/>
                <w:lang w:val="en-US" w:eastAsia="zh-CN"/>
              </w:rPr>
              <w:t xml:space="preserve"> </w:t>
            </w: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hint="eastAsia" w:eastAsia="等线" w:cs="Times New Roman"/>
                <w:color w:val="auto"/>
                <w:sz w:val="18"/>
                <w:szCs w:val="18"/>
                <w:highlight w:val="none"/>
                <w:lang w:val="en-US" w:eastAsia="zh-CN"/>
              </w:rPr>
              <w:t>100%</w:t>
            </w:r>
          </w:p>
        </w:tc>
      </w:tr>
      <w:tr>
        <w:tblPrEx>
          <w:tblLayout w:type="fixed"/>
          <w:tblCellMar>
            <w:top w:w="0" w:type="dxa"/>
            <w:left w:w="108" w:type="dxa"/>
            <w:bottom w:w="0" w:type="dxa"/>
            <w:right w:w="108" w:type="dxa"/>
          </w:tblCellMar>
        </w:tblPrEx>
        <w:trPr>
          <w:trHeight w:val="284" w:hRule="exact"/>
          <w:jc w:val="center"/>
        </w:trPr>
        <w:tc>
          <w:tcPr>
            <w:tcW w:w="2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合计</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337.23</w:t>
            </w: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131.89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469.63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125.76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39.05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140.37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5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136.79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67"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407.71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1"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1773.00 </w:t>
            </w:r>
          </w:p>
          <w:p>
            <w:pPr>
              <w:widowControl/>
              <w:adjustRightInd/>
              <w:snapToGrid w:val="0"/>
              <w:spacing w:line="240" w:lineRule="auto"/>
              <w:ind w:firstLine="0" w:firstLineChars="0"/>
              <w:jc w:val="center"/>
              <w:rPr>
                <w:rFonts w:eastAsia="等线" w:cs="Times New Roman"/>
                <w:color w:val="auto"/>
                <w:sz w:val="18"/>
                <w:szCs w:val="18"/>
                <w:highlight w:val="none"/>
              </w:rPr>
            </w:pPr>
          </w:p>
        </w:tc>
      </w:tr>
    </w:tbl>
    <w:p>
      <w:pPr>
        <w:rPr>
          <w:rFonts w:cs="Times New Roman"/>
          <w:color w:val="auto"/>
          <w:highlight w:val="none"/>
          <w:lang w:val="en-GB"/>
        </w:rPr>
        <w:sectPr>
          <w:footerReference r:id="rId11" w:type="default"/>
          <w:pgSz w:w="16838" w:h="11906" w:orient="landscape"/>
          <w:pgMar w:top="1797" w:right="1440" w:bottom="1797" w:left="1440" w:header="851" w:footer="992" w:gutter="0"/>
          <w:pgNumType w:start="25"/>
          <w:cols w:space="425" w:num="1"/>
          <w:docGrid w:type="lines" w:linePitch="312" w:charSpace="0"/>
        </w:sectPr>
      </w:pPr>
    </w:p>
    <w:p>
      <w:pPr>
        <w:rPr>
          <w:rFonts w:cs="Times New Roman"/>
          <w:color w:val="auto"/>
          <w:highlight w:val="none"/>
          <w:lang w:val="en-GB"/>
        </w:rPr>
      </w:pPr>
    </w:p>
    <w:p>
      <w:pPr>
        <w:pStyle w:val="3"/>
        <w:spacing w:before="156"/>
        <w:ind w:firstLine="602"/>
        <w:rPr>
          <w:color w:val="auto"/>
          <w:highlight w:val="none"/>
        </w:rPr>
      </w:pPr>
      <w:bookmarkStart w:id="134" w:name="_Toc25945"/>
      <w:bookmarkStart w:id="135" w:name="_Toc6383"/>
      <w:bookmarkStart w:id="136" w:name="_Toc482812763"/>
      <w:bookmarkStart w:id="137" w:name="_Toc90399088"/>
      <w:bookmarkStart w:id="138" w:name="_Toc528945986"/>
      <w:bookmarkStart w:id="139" w:name="_Toc26622"/>
      <w:bookmarkStart w:id="140" w:name="_Toc101681429"/>
      <w:r>
        <w:rPr>
          <w:color w:val="auto"/>
          <w:highlight w:val="none"/>
        </w:rPr>
        <w:t>2.3水土流失现状</w:t>
      </w:r>
      <w:bookmarkEnd w:id="134"/>
      <w:bookmarkEnd w:id="135"/>
      <w:bookmarkEnd w:id="136"/>
      <w:bookmarkEnd w:id="137"/>
      <w:bookmarkEnd w:id="138"/>
      <w:bookmarkEnd w:id="139"/>
      <w:bookmarkEnd w:id="140"/>
    </w:p>
    <w:p>
      <w:pPr>
        <w:rPr>
          <w:rFonts w:cs="Times New Roman"/>
          <w:color w:val="auto"/>
          <w:highlight w:val="none"/>
          <w:lang w:val="en-GB"/>
        </w:rPr>
      </w:pPr>
      <w:r>
        <w:rPr>
          <w:rFonts w:cs="Times New Roman"/>
          <w:color w:val="auto"/>
          <w:highlight w:val="none"/>
          <w:lang w:val="zh-CN"/>
        </w:rPr>
        <w:t>根据</w:t>
      </w:r>
      <w:r>
        <w:rPr>
          <w:rFonts w:cs="Times New Roman"/>
          <w:color w:val="auto"/>
          <w:highlight w:val="none"/>
        </w:rPr>
        <w:t>广西壮族自治区</w:t>
      </w:r>
      <w:r>
        <w:rPr>
          <w:rFonts w:cs="Times New Roman"/>
          <w:color w:val="auto"/>
          <w:highlight w:val="none"/>
          <w:lang w:val="zh-CN"/>
        </w:rPr>
        <w:t>2021年水土流失动态监测成果，柳江区总水土流失面积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，占柳江区土地总面积的</w:t>
      </w:r>
      <w:r>
        <w:rPr>
          <w:rFonts w:cs="Times New Roman"/>
          <w:color w:val="auto"/>
          <w:highlight w:val="none"/>
        </w:rPr>
        <w:t>22.04%</w:t>
      </w:r>
      <w:r>
        <w:rPr>
          <w:rFonts w:cs="Times New Roman"/>
          <w:color w:val="auto"/>
          <w:highlight w:val="none"/>
          <w:lang w:val="zh-CN"/>
        </w:rPr>
        <w:t>，柳江区2021年水土保持率为77.96%。</w:t>
      </w:r>
    </w:p>
    <w:p>
      <w:pPr>
        <w:pStyle w:val="4"/>
        <w:spacing w:before="156"/>
        <w:ind w:firstLine="562"/>
        <w:rPr>
          <w:color w:val="auto"/>
          <w:highlight w:val="none"/>
        </w:rPr>
      </w:pPr>
      <w:bookmarkStart w:id="141" w:name="_Toc22353"/>
      <w:bookmarkStart w:id="142" w:name="_Toc101681430"/>
      <w:bookmarkStart w:id="143" w:name="_Toc16422"/>
      <w:r>
        <w:rPr>
          <w:color w:val="auto"/>
          <w:highlight w:val="none"/>
        </w:rPr>
        <w:t>2.3.1水土流失类型</w:t>
      </w:r>
      <w:bookmarkEnd w:id="141"/>
      <w:bookmarkEnd w:id="142"/>
      <w:bookmarkEnd w:id="143"/>
    </w:p>
    <w:p>
      <w:pPr>
        <w:rPr>
          <w:rFonts w:cs="Times New Roman"/>
          <w:color w:val="auto"/>
          <w:highlight w:val="none"/>
        </w:rPr>
      </w:pPr>
      <w:r>
        <w:rPr>
          <w:rFonts w:cs="Times New Roman"/>
          <w:color w:val="auto"/>
          <w:highlight w:val="none"/>
          <w:lang w:val="zh-CN"/>
        </w:rPr>
        <w:t>柳江区</w:t>
      </w:r>
      <w:r>
        <w:rPr>
          <w:rFonts w:cs="Times New Roman"/>
          <w:color w:val="auto"/>
          <w:highlight w:val="none"/>
        </w:rPr>
        <w:t>地处水力侵蚀为主的南方红壤区，主要土壤侵蚀类型为面蚀和沟蚀。根据全国水土保持区划结果，属于南岭山地丘陵区二级区下的桂中低山丘陵土壤保持区三级区。广西水土保持区划在全国三级区划成果基础上，将</w:t>
      </w:r>
      <w:r>
        <w:rPr>
          <w:rFonts w:cs="Times New Roman"/>
          <w:color w:val="auto"/>
          <w:highlight w:val="none"/>
          <w:lang w:val="zh-CN"/>
        </w:rPr>
        <w:t>柳江区</w:t>
      </w:r>
      <w:r>
        <w:rPr>
          <w:rFonts w:cs="Times New Roman"/>
          <w:color w:val="auto"/>
          <w:highlight w:val="none"/>
        </w:rPr>
        <w:t>划分为桂中低山丘陵土壤保持区。</w:t>
      </w:r>
    </w:p>
    <w:p>
      <w:pPr>
        <w:pStyle w:val="49"/>
        <w:spacing w:before="156"/>
        <w:ind w:firstLine="562"/>
        <w:jc w:val="both"/>
        <w:rPr>
          <w:color w:val="auto"/>
          <w:highlight w:val="none"/>
        </w:rPr>
      </w:pPr>
      <w:r>
        <w:rPr>
          <w:color w:val="auto"/>
          <w:highlight w:val="none"/>
        </w:rPr>
        <w:t>表2.3-1       水土保持区划成果表（柳江区部分）</w:t>
      </w:r>
    </w:p>
    <w:tbl>
      <w:tblPr>
        <w:tblStyle w:val="30"/>
        <w:tblW w:w="8528" w:type="dxa"/>
        <w:tblInd w:w="0" w:type="dxa"/>
        <w:tblLayout w:type="fixed"/>
        <w:tblCellMar>
          <w:top w:w="0" w:type="dxa"/>
          <w:left w:w="108" w:type="dxa"/>
          <w:bottom w:w="0" w:type="dxa"/>
          <w:right w:w="108" w:type="dxa"/>
        </w:tblCellMar>
      </w:tblPr>
      <w:tblGrid>
        <w:gridCol w:w="1927"/>
        <w:gridCol w:w="1616"/>
        <w:gridCol w:w="1615"/>
        <w:gridCol w:w="1733"/>
        <w:gridCol w:w="1637"/>
      </w:tblGrid>
      <w:tr>
        <w:tblPrEx>
          <w:tblLayout w:type="fixed"/>
          <w:tblCellMar>
            <w:top w:w="0" w:type="dxa"/>
            <w:left w:w="108" w:type="dxa"/>
            <w:bottom w:w="0" w:type="dxa"/>
            <w:right w:w="108" w:type="dxa"/>
          </w:tblCellMar>
        </w:tblPrEx>
        <w:trPr>
          <w:trHeight w:val="70" w:hRule="atLeast"/>
        </w:trPr>
        <w:tc>
          <w:tcPr>
            <w:tcW w:w="1927" w:type="dxa"/>
            <w:vMerge w:val="restart"/>
            <w:tcBorders>
              <w:top w:val="single" w:color="auto" w:sz="4" w:space="0"/>
              <w:left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行政区</w:t>
            </w:r>
          </w:p>
        </w:tc>
        <w:tc>
          <w:tcPr>
            <w:tcW w:w="4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全国区划名称</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广西区划名称</w:t>
            </w:r>
          </w:p>
        </w:tc>
      </w:tr>
      <w:tr>
        <w:tblPrEx>
          <w:tblLayout w:type="fixed"/>
          <w:tblCellMar>
            <w:top w:w="0" w:type="dxa"/>
            <w:left w:w="108" w:type="dxa"/>
            <w:bottom w:w="0" w:type="dxa"/>
            <w:right w:w="108" w:type="dxa"/>
          </w:tblCellMar>
        </w:tblPrEx>
        <w:trPr>
          <w:trHeight w:val="101" w:hRule="atLeast"/>
        </w:trPr>
        <w:tc>
          <w:tcPr>
            <w:tcW w:w="1927" w:type="dxa"/>
            <w:vMerge w:val="continue"/>
            <w:tcBorders>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p>
        </w:tc>
        <w:tc>
          <w:tcPr>
            <w:tcW w:w="1616" w:type="dxa"/>
            <w:tcBorders>
              <w:top w:val="nil"/>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一级区</w:t>
            </w:r>
          </w:p>
        </w:tc>
        <w:tc>
          <w:tcPr>
            <w:tcW w:w="1615" w:type="dxa"/>
            <w:tcBorders>
              <w:top w:val="nil"/>
              <w:left w:val="nil"/>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二级区</w:t>
            </w:r>
          </w:p>
        </w:tc>
        <w:tc>
          <w:tcPr>
            <w:tcW w:w="1733" w:type="dxa"/>
            <w:tcBorders>
              <w:top w:val="nil"/>
              <w:left w:val="nil"/>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三级区</w:t>
            </w:r>
          </w:p>
        </w:tc>
        <w:tc>
          <w:tcPr>
            <w:tcW w:w="1637" w:type="dxa"/>
            <w:vMerge w:val="continue"/>
            <w:tcBorders>
              <w:top w:val="nil"/>
              <w:left w:val="single" w:color="auto" w:sz="4" w:space="0"/>
              <w:bottom w:val="single" w:color="auto" w:sz="4" w:space="0"/>
              <w:right w:val="single" w:color="auto" w:sz="4" w:space="0"/>
            </w:tcBorders>
            <w:vAlign w:val="center"/>
          </w:tcPr>
          <w:p>
            <w:pPr>
              <w:snapToGrid w:val="0"/>
              <w:spacing w:line="240" w:lineRule="auto"/>
              <w:ind w:firstLine="0" w:firstLineChars="0"/>
              <w:rPr>
                <w:rFonts w:cs="Times New Roman"/>
                <w:color w:val="auto"/>
                <w:sz w:val="21"/>
                <w:szCs w:val="21"/>
                <w:highlight w:val="none"/>
              </w:rPr>
            </w:pPr>
          </w:p>
        </w:tc>
      </w:tr>
      <w:tr>
        <w:tblPrEx>
          <w:tblLayout w:type="fixed"/>
          <w:tblCellMar>
            <w:top w:w="0" w:type="dxa"/>
            <w:left w:w="108" w:type="dxa"/>
            <w:bottom w:w="0" w:type="dxa"/>
            <w:right w:w="108" w:type="dxa"/>
          </w:tblCellMar>
        </w:tblPrEx>
        <w:trPr>
          <w:trHeight w:val="365" w:hRule="atLeast"/>
        </w:trPr>
        <w:tc>
          <w:tcPr>
            <w:tcW w:w="1927" w:type="dxa"/>
            <w:tcBorders>
              <w:top w:val="nil"/>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柳江区</w:t>
            </w:r>
          </w:p>
        </w:tc>
        <w:tc>
          <w:tcPr>
            <w:tcW w:w="1616" w:type="dxa"/>
            <w:tcBorders>
              <w:top w:val="nil"/>
              <w:left w:val="single" w:color="auto" w:sz="4" w:space="0"/>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南方红壤区</w:t>
            </w:r>
          </w:p>
        </w:tc>
        <w:tc>
          <w:tcPr>
            <w:tcW w:w="1615" w:type="dxa"/>
            <w:tcBorders>
              <w:top w:val="nil"/>
              <w:left w:val="nil"/>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南岭山地丘陵区</w:t>
            </w:r>
          </w:p>
        </w:tc>
        <w:tc>
          <w:tcPr>
            <w:tcW w:w="1733" w:type="dxa"/>
            <w:tcBorders>
              <w:top w:val="nil"/>
              <w:left w:val="nil"/>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桂中低山丘陵土壤保持区</w:t>
            </w:r>
          </w:p>
        </w:tc>
        <w:tc>
          <w:tcPr>
            <w:tcW w:w="1637" w:type="dxa"/>
            <w:tcBorders>
              <w:top w:val="nil"/>
              <w:left w:val="nil"/>
              <w:bottom w:val="single" w:color="auto" w:sz="4" w:space="0"/>
              <w:right w:val="single" w:color="auto" w:sz="4" w:space="0"/>
            </w:tcBorders>
            <w:shd w:val="clear" w:color="auto" w:fill="auto"/>
            <w:noWrap/>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桂中低山丘陵土壤保持区</w:t>
            </w:r>
          </w:p>
        </w:tc>
      </w:tr>
    </w:tbl>
    <w:p>
      <w:pPr>
        <w:pStyle w:val="4"/>
        <w:spacing w:before="156"/>
        <w:ind w:firstLine="562"/>
        <w:rPr>
          <w:color w:val="auto"/>
          <w:highlight w:val="none"/>
        </w:rPr>
      </w:pPr>
      <w:bookmarkStart w:id="144" w:name="_Toc6756"/>
      <w:bookmarkStart w:id="145" w:name="_Toc17324"/>
      <w:bookmarkStart w:id="146" w:name="_Toc101681431"/>
      <w:r>
        <w:rPr>
          <w:color w:val="auto"/>
          <w:highlight w:val="none"/>
        </w:rPr>
        <w:t>2.3.2水土流失强度分析</w:t>
      </w:r>
      <w:bookmarkEnd w:id="144"/>
      <w:bookmarkEnd w:id="145"/>
      <w:bookmarkEnd w:id="146"/>
    </w:p>
    <w:p>
      <w:pPr>
        <w:rPr>
          <w:rFonts w:cs="Times New Roman"/>
          <w:color w:val="auto"/>
          <w:highlight w:val="none"/>
        </w:rPr>
      </w:pPr>
      <w:r>
        <w:rPr>
          <w:rFonts w:cs="Times New Roman"/>
          <w:color w:val="auto"/>
          <w:highlight w:val="none"/>
          <w:lang w:val="zh-CN"/>
        </w:rPr>
        <w:t>根据</w:t>
      </w:r>
      <w:r>
        <w:rPr>
          <w:rFonts w:cs="Times New Roman"/>
          <w:color w:val="auto"/>
          <w:highlight w:val="none"/>
        </w:rPr>
        <w:t>广西壮族自治区</w:t>
      </w:r>
      <w:r>
        <w:rPr>
          <w:rFonts w:cs="Times New Roman"/>
          <w:color w:val="auto"/>
          <w:highlight w:val="none"/>
          <w:lang w:val="zh-CN"/>
        </w:rPr>
        <w:t>2021年水土保持公报，柳江区总水土流失面积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，占柳江区土地总面积的</w:t>
      </w:r>
      <w:r>
        <w:rPr>
          <w:rFonts w:cs="Times New Roman"/>
          <w:color w:val="auto"/>
          <w:highlight w:val="none"/>
        </w:rPr>
        <w:t>22.04%</w:t>
      </w:r>
      <w:r>
        <w:rPr>
          <w:rFonts w:cs="Times New Roman"/>
          <w:color w:val="auto"/>
          <w:highlight w:val="none"/>
          <w:lang w:val="zh-CN"/>
        </w:rPr>
        <w:t>。其中轻度流失面积</w:t>
      </w:r>
      <w:r>
        <w:rPr>
          <w:rFonts w:cs="Times New Roman"/>
          <w:color w:val="auto"/>
          <w:highlight w:val="none"/>
        </w:rPr>
        <w:t>214.69</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，占柳江区水土流失总面积的</w:t>
      </w:r>
      <w:r>
        <w:rPr>
          <w:rFonts w:cs="Times New Roman"/>
          <w:color w:val="auto"/>
          <w:highlight w:val="none"/>
        </w:rPr>
        <w:t>54.94</w:t>
      </w:r>
      <w:r>
        <w:rPr>
          <w:rFonts w:cs="Times New Roman"/>
          <w:color w:val="auto"/>
          <w:highlight w:val="none"/>
          <w:lang w:val="zh-CN"/>
        </w:rPr>
        <w:t>%，占柳江区土地总面积的</w:t>
      </w:r>
      <w:r>
        <w:rPr>
          <w:rFonts w:cs="Times New Roman"/>
          <w:color w:val="auto"/>
          <w:highlight w:val="none"/>
        </w:rPr>
        <w:t>12.12</w:t>
      </w:r>
      <w:r>
        <w:rPr>
          <w:rFonts w:cs="Times New Roman"/>
          <w:color w:val="auto"/>
          <w:highlight w:val="none"/>
          <w:lang w:val="zh-CN"/>
        </w:rPr>
        <w:t>%；中度流失面积</w:t>
      </w:r>
      <w:r>
        <w:rPr>
          <w:rFonts w:cs="Times New Roman"/>
          <w:color w:val="auto"/>
          <w:highlight w:val="none"/>
        </w:rPr>
        <w:t>75.75</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，占柳江区水土流失总面积的</w:t>
      </w:r>
      <w:r>
        <w:rPr>
          <w:rFonts w:cs="Times New Roman"/>
          <w:color w:val="auto"/>
          <w:highlight w:val="none"/>
        </w:rPr>
        <w:t>19.39</w:t>
      </w:r>
      <w:r>
        <w:rPr>
          <w:rFonts w:cs="Times New Roman"/>
          <w:color w:val="auto"/>
          <w:highlight w:val="none"/>
          <w:lang w:val="zh-CN"/>
        </w:rPr>
        <w:t>%，占柳江区土地总面积的</w:t>
      </w:r>
      <w:r>
        <w:rPr>
          <w:rFonts w:cs="Times New Roman"/>
          <w:color w:val="auto"/>
          <w:highlight w:val="none"/>
        </w:rPr>
        <w:t>4.28</w:t>
      </w:r>
      <w:r>
        <w:rPr>
          <w:rFonts w:cs="Times New Roman"/>
          <w:color w:val="auto"/>
          <w:highlight w:val="none"/>
          <w:lang w:val="zh-CN"/>
        </w:rPr>
        <w:t>%；强烈流失面积</w:t>
      </w:r>
      <w:r>
        <w:rPr>
          <w:rFonts w:cs="Times New Roman"/>
          <w:color w:val="auto"/>
          <w:highlight w:val="none"/>
        </w:rPr>
        <w:t>30.86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，占柳江区水土流失总面积的</w:t>
      </w:r>
      <w:r>
        <w:rPr>
          <w:rFonts w:cs="Times New Roman"/>
          <w:color w:val="auto"/>
          <w:highlight w:val="none"/>
        </w:rPr>
        <w:t>7.90</w:t>
      </w:r>
      <w:r>
        <w:rPr>
          <w:rFonts w:cs="Times New Roman"/>
          <w:color w:val="auto"/>
          <w:highlight w:val="none"/>
          <w:lang w:val="zh-CN"/>
        </w:rPr>
        <w:t>%，占柳江区土地总面积的</w:t>
      </w:r>
      <w:r>
        <w:rPr>
          <w:rFonts w:cs="Times New Roman"/>
          <w:color w:val="auto"/>
          <w:highlight w:val="none"/>
        </w:rPr>
        <w:t>1.74</w:t>
      </w:r>
      <w:r>
        <w:rPr>
          <w:rFonts w:cs="Times New Roman"/>
          <w:color w:val="auto"/>
          <w:highlight w:val="none"/>
          <w:lang w:val="zh-CN"/>
        </w:rPr>
        <w:t>%；极强烈流失面积</w:t>
      </w:r>
      <w:r>
        <w:rPr>
          <w:rFonts w:cs="Times New Roman"/>
          <w:color w:val="auto"/>
          <w:highlight w:val="none"/>
        </w:rPr>
        <w:t>34.37</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，占柳江区水土流失总面积的</w:t>
      </w:r>
      <w:r>
        <w:rPr>
          <w:rFonts w:cs="Times New Roman"/>
          <w:color w:val="auto"/>
          <w:highlight w:val="none"/>
        </w:rPr>
        <w:t>8.80</w:t>
      </w:r>
      <w:r>
        <w:rPr>
          <w:rFonts w:cs="Times New Roman"/>
          <w:color w:val="auto"/>
          <w:highlight w:val="none"/>
          <w:lang w:val="zh-CN"/>
        </w:rPr>
        <w:t>%，占柳江区土地总面积的</w:t>
      </w:r>
      <w:r>
        <w:rPr>
          <w:rFonts w:cs="Times New Roman"/>
          <w:color w:val="auto"/>
          <w:highlight w:val="none"/>
        </w:rPr>
        <w:t>1.94</w:t>
      </w:r>
      <w:r>
        <w:rPr>
          <w:rFonts w:cs="Times New Roman"/>
          <w:color w:val="auto"/>
          <w:highlight w:val="none"/>
          <w:lang w:val="zh-CN"/>
        </w:rPr>
        <w:t>%；剧烈</w:t>
      </w:r>
      <w:bookmarkStart w:id="147" w:name="_Hlk527705513"/>
      <w:r>
        <w:rPr>
          <w:rFonts w:cs="Times New Roman"/>
          <w:color w:val="auto"/>
          <w:highlight w:val="none"/>
          <w:lang w:val="zh-CN"/>
        </w:rPr>
        <w:t>流失面积</w:t>
      </w:r>
      <w:r>
        <w:rPr>
          <w:rFonts w:cs="Times New Roman"/>
          <w:color w:val="auto"/>
          <w:highlight w:val="none"/>
        </w:rPr>
        <w:t>35.09</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，占柳江区水土流失总面积的</w:t>
      </w:r>
      <w:r>
        <w:rPr>
          <w:rFonts w:cs="Times New Roman"/>
          <w:color w:val="auto"/>
          <w:highlight w:val="none"/>
        </w:rPr>
        <w:t>8.98</w:t>
      </w:r>
      <w:r>
        <w:rPr>
          <w:rFonts w:cs="Times New Roman"/>
          <w:color w:val="auto"/>
          <w:highlight w:val="none"/>
          <w:lang w:val="zh-CN"/>
        </w:rPr>
        <w:t>%</w:t>
      </w:r>
      <w:bookmarkEnd w:id="147"/>
      <w:r>
        <w:rPr>
          <w:rFonts w:cs="Times New Roman"/>
          <w:color w:val="auto"/>
          <w:highlight w:val="none"/>
          <w:lang w:val="zh-CN"/>
        </w:rPr>
        <w:t>，占柳江区土地总面积的</w:t>
      </w:r>
      <w:r>
        <w:rPr>
          <w:rFonts w:cs="Times New Roman"/>
          <w:color w:val="auto"/>
          <w:highlight w:val="none"/>
        </w:rPr>
        <w:t>1.98</w:t>
      </w:r>
      <w:r>
        <w:rPr>
          <w:rFonts w:cs="Times New Roman"/>
          <w:color w:val="auto"/>
          <w:highlight w:val="none"/>
          <w:lang w:val="zh-CN"/>
        </w:rPr>
        <w:t>%。</w:t>
      </w:r>
      <w:bookmarkStart w:id="148" w:name="_Toc481173485"/>
      <w:r>
        <w:rPr>
          <w:rFonts w:cs="Times New Roman"/>
          <w:color w:val="auto"/>
          <w:highlight w:val="none"/>
          <w:lang w:val="zh-CN"/>
        </w:rPr>
        <w:t>柳江区</w:t>
      </w:r>
      <w:r>
        <w:rPr>
          <w:rFonts w:cs="Times New Roman"/>
          <w:color w:val="auto"/>
          <w:highlight w:val="none"/>
        </w:rPr>
        <w:t>水土流失情况详见表2.3-2、图2.3-1。</w:t>
      </w:r>
    </w:p>
    <w:p>
      <w:pPr>
        <w:pStyle w:val="49"/>
        <w:spacing w:before="156"/>
        <w:ind w:firstLine="0" w:firstLineChars="0"/>
        <w:rPr>
          <w:color w:val="auto"/>
          <w:highlight w:val="none"/>
        </w:rPr>
      </w:pPr>
      <w:r>
        <w:rPr>
          <w:color w:val="auto"/>
          <w:highlight w:val="none"/>
        </w:rPr>
        <w:t>表2.3-2    柳江区水土流失</w:t>
      </w:r>
      <w:bookmarkEnd w:id="148"/>
      <w:r>
        <w:rPr>
          <w:color w:val="auto"/>
          <w:highlight w:val="none"/>
        </w:rPr>
        <w:t>面积统计表</w:t>
      </w:r>
    </w:p>
    <w:tbl>
      <w:tblPr>
        <w:tblStyle w:val="30"/>
        <w:tblW w:w="8528" w:type="dxa"/>
        <w:tblInd w:w="0" w:type="dxa"/>
        <w:tblLayout w:type="fixed"/>
        <w:tblCellMar>
          <w:top w:w="0" w:type="dxa"/>
          <w:left w:w="108" w:type="dxa"/>
          <w:bottom w:w="0" w:type="dxa"/>
          <w:right w:w="108" w:type="dxa"/>
        </w:tblCellMar>
      </w:tblPr>
      <w:tblGrid>
        <w:gridCol w:w="2052"/>
        <w:gridCol w:w="1953"/>
        <w:gridCol w:w="2422"/>
        <w:gridCol w:w="2101"/>
      </w:tblGrid>
      <w:tr>
        <w:tblPrEx>
          <w:tblLayout w:type="fixed"/>
          <w:tblCellMar>
            <w:top w:w="0" w:type="dxa"/>
            <w:left w:w="108" w:type="dxa"/>
            <w:bottom w:w="0" w:type="dxa"/>
            <w:right w:w="108" w:type="dxa"/>
          </w:tblCellMar>
        </w:tblPrEx>
        <w:trPr>
          <w:trHeight w:val="645" w:hRule="atLeast"/>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侵蚀强度</w:t>
            </w:r>
          </w:p>
        </w:tc>
        <w:tc>
          <w:tcPr>
            <w:tcW w:w="195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水土流失面积（km</w:t>
            </w:r>
            <w:r>
              <w:rPr>
                <w:rFonts w:eastAsia="宋体" w:cs="Times New Roman"/>
                <w:b/>
                <w:bCs/>
                <w:color w:val="auto"/>
                <w:kern w:val="0"/>
                <w:sz w:val="21"/>
                <w:szCs w:val="21"/>
                <w:highlight w:val="none"/>
                <w:vertAlign w:val="superscript"/>
              </w:rPr>
              <w:t>2</w:t>
            </w:r>
            <w:r>
              <w:rPr>
                <w:rFonts w:eastAsia="宋体" w:cs="Times New Roman"/>
                <w:b/>
                <w:bCs/>
                <w:color w:val="auto"/>
                <w:kern w:val="0"/>
                <w:sz w:val="21"/>
                <w:szCs w:val="21"/>
                <w:highlight w:val="none"/>
              </w:rPr>
              <w:t>）</w:t>
            </w:r>
          </w:p>
        </w:tc>
        <w:tc>
          <w:tcPr>
            <w:tcW w:w="242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占水土流失总面积比例（%）</w:t>
            </w:r>
          </w:p>
        </w:tc>
        <w:tc>
          <w:tcPr>
            <w:tcW w:w="2101"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占土地总面积比例（%）</w:t>
            </w:r>
          </w:p>
        </w:tc>
      </w:tr>
      <w:tr>
        <w:tblPrEx>
          <w:tblLayout w:type="fixed"/>
          <w:tblCellMar>
            <w:top w:w="0" w:type="dxa"/>
            <w:left w:w="108" w:type="dxa"/>
            <w:bottom w:w="0" w:type="dxa"/>
            <w:right w:w="108" w:type="dxa"/>
          </w:tblCellMar>
        </w:tblPrEx>
        <w:trPr>
          <w:trHeight w:val="270"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轻度侵蚀</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214.69</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54.94</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12.12</w:t>
            </w:r>
          </w:p>
        </w:tc>
      </w:tr>
      <w:tr>
        <w:tblPrEx>
          <w:tblLayout w:type="fixed"/>
          <w:tblCellMar>
            <w:top w:w="0" w:type="dxa"/>
            <w:left w:w="108" w:type="dxa"/>
            <w:bottom w:w="0" w:type="dxa"/>
            <w:right w:w="108" w:type="dxa"/>
          </w:tblCellMar>
        </w:tblPrEx>
        <w:trPr>
          <w:trHeight w:val="270"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中度侵蚀</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75.75</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19.39</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4.28</w:t>
            </w:r>
          </w:p>
        </w:tc>
      </w:tr>
      <w:tr>
        <w:tblPrEx>
          <w:tblLayout w:type="fixed"/>
          <w:tblCellMar>
            <w:top w:w="0" w:type="dxa"/>
            <w:left w:w="108" w:type="dxa"/>
            <w:bottom w:w="0" w:type="dxa"/>
            <w:right w:w="108" w:type="dxa"/>
          </w:tblCellMar>
        </w:tblPrEx>
        <w:trPr>
          <w:trHeight w:val="270"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强烈侵蚀</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30.86</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7.90</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1.74</w:t>
            </w:r>
          </w:p>
        </w:tc>
      </w:tr>
      <w:tr>
        <w:tblPrEx>
          <w:tblLayout w:type="fixed"/>
          <w:tblCellMar>
            <w:top w:w="0" w:type="dxa"/>
            <w:left w:w="108" w:type="dxa"/>
            <w:bottom w:w="0" w:type="dxa"/>
            <w:right w:w="108" w:type="dxa"/>
          </w:tblCellMar>
        </w:tblPrEx>
        <w:trPr>
          <w:trHeight w:val="270"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极强烈侵蚀</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34.37</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8.80</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1.94</w:t>
            </w:r>
          </w:p>
        </w:tc>
      </w:tr>
      <w:tr>
        <w:tblPrEx>
          <w:tblLayout w:type="fixed"/>
          <w:tblCellMar>
            <w:top w:w="0" w:type="dxa"/>
            <w:left w:w="108" w:type="dxa"/>
            <w:bottom w:w="0" w:type="dxa"/>
            <w:right w:w="108" w:type="dxa"/>
          </w:tblCellMar>
        </w:tblPrEx>
        <w:trPr>
          <w:trHeight w:val="307"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剧烈侵蚀</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35.09</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8.98</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1.98</w:t>
            </w:r>
          </w:p>
        </w:tc>
      </w:tr>
      <w:tr>
        <w:tblPrEx>
          <w:tblLayout w:type="fixed"/>
          <w:tblCellMar>
            <w:top w:w="0" w:type="dxa"/>
            <w:left w:w="108" w:type="dxa"/>
            <w:bottom w:w="0" w:type="dxa"/>
            <w:right w:w="108" w:type="dxa"/>
          </w:tblCellMar>
        </w:tblPrEx>
        <w:trPr>
          <w:trHeight w:val="270" w:hRule="atLeast"/>
        </w:trPr>
        <w:tc>
          <w:tcPr>
            <w:tcW w:w="205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合计</w:t>
            </w:r>
          </w:p>
        </w:tc>
        <w:tc>
          <w:tcPr>
            <w:tcW w:w="195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390.76</w:t>
            </w:r>
          </w:p>
        </w:tc>
        <w:tc>
          <w:tcPr>
            <w:tcW w:w="242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 xml:space="preserve">100.00 </w:t>
            </w:r>
          </w:p>
        </w:tc>
        <w:tc>
          <w:tcPr>
            <w:tcW w:w="21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22.06</w:t>
            </w:r>
          </w:p>
        </w:tc>
      </w:tr>
    </w:tbl>
    <w:p>
      <w:pPr>
        <w:pStyle w:val="49"/>
        <w:spacing w:before="156"/>
        <w:ind w:firstLine="0" w:firstLineChars="0"/>
        <w:rPr>
          <w:color w:val="auto"/>
          <w:highlight w:val="none"/>
        </w:rPr>
      </w:pPr>
    </w:p>
    <w:p>
      <w:pPr>
        <w:pStyle w:val="49"/>
        <w:spacing w:before="156"/>
        <w:ind w:firstLine="0" w:firstLineChars="0"/>
        <w:rPr>
          <w:color w:val="auto"/>
          <w:highlight w:val="none"/>
        </w:rPr>
      </w:pPr>
      <w:r>
        <w:rPr>
          <w:color w:val="auto"/>
          <w:highlight w:val="none"/>
        </w:rPr>
        <w:drawing>
          <wp:inline distT="0" distB="0" distL="0" distR="0">
            <wp:extent cx="4578985" cy="3128010"/>
            <wp:effectExtent l="19050" t="0" r="11766"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ind w:firstLine="0" w:firstLineChars="0"/>
        <w:jc w:val="center"/>
        <w:rPr>
          <w:rFonts w:cs="Times New Roman"/>
          <w:b/>
          <w:color w:val="auto"/>
          <w:highlight w:val="none"/>
        </w:rPr>
      </w:pPr>
      <w:r>
        <w:rPr>
          <w:rFonts w:cs="Times New Roman"/>
          <w:b/>
          <w:color w:val="auto"/>
          <w:highlight w:val="none"/>
        </w:rPr>
        <w:t>图2.3-1 柳江区水土流失面积统计图</w:t>
      </w:r>
    </w:p>
    <w:p>
      <w:pPr>
        <w:pStyle w:val="4"/>
        <w:spacing w:before="156"/>
        <w:ind w:firstLine="562"/>
        <w:rPr>
          <w:color w:val="auto"/>
          <w:highlight w:val="none"/>
        </w:rPr>
      </w:pPr>
      <w:bookmarkStart w:id="149" w:name="_Toc31989"/>
      <w:bookmarkStart w:id="150" w:name="_Toc101681432"/>
      <w:bookmarkStart w:id="151" w:name="_Toc24387"/>
      <w:bookmarkStart w:id="152" w:name="_Toc8461"/>
      <w:r>
        <w:rPr>
          <w:bCs w:val="0"/>
          <w:color w:val="auto"/>
          <w:highlight w:val="none"/>
        </w:rPr>
        <w:t>2.3.3水土流失面积分布</w:t>
      </w:r>
      <w:bookmarkEnd w:id="149"/>
      <w:bookmarkEnd w:id="150"/>
      <w:bookmarkEnd w:id="151"/>
    </w:p>
    <w:p>
      <w:pPr>
        <w:rPr>
          <w:rFonts w:cs="Times New Roman"/>
          <w:color w:val="auto"/>
          <w:highlight w:val="none"/>
          <w:lang w:val="zh-CN"/>
        </w:rPr>
      </w:pPr>
      <w:r>
        <w:rPr>
          <w:rFonts w:cs="Times New Roman"/>
          <w:color w:val="auto"/>
          <w:highlight w:val="none"/>
          <w:lang w:val="zh-CN"/>
        </w:rPr>
        <w:t>从</w:t>
      </w:r>
      <w:r>
        <w:rPr>
          <w:rFonts w:cs="Times New Roman"/>
          <w:color w:val="auto"/>
          <w:highlight w:val="none"/>
        </w:rPr>
        <w:t>行政区划来</w:t>
      </w:r>
      <w:r>
        <w:rPr>
          <w:rFonts w:cs="Times New Roman"/>
          <w:color w:val="auto"/>
          <w:highlight w:val="none"/>
          <w:lang w:val="zh-CN"/>
        </w:rPr>
        <w:t>看，柳江区</w:t>
      </w:r>
      <w:r>
        <w:rPr>
          <w:rFonts w:cs="Times New Roman"/>
          <w:color w:val="auto"/>
          <w:highlight w:val="none"/>
        </w:rPr>
        <w:t>水土流失面积主要分布在穿山镇、百朋镇、土博镇等3个乡镇，3个乡镇的水土流失面积总和占柳江区水土流失总面积的75.57%。其中，穿山镇现有</w:t>
      </w:r>
      <w:r>
        <w:rPr>
          <w:rFonts w:cs="Times New Roman"/>
          <w:color w:val="auto"/>
          <w:highlight w:val="none"/>
          <w:lang w:val="zh-CN"/>
        </w:rPr>
        <w:t>水土流失</w:t>
      </w:r>
      <w:r>
        <w:rPr>
          <w:rFonts w:cs="Times New Roman"/>
          <w:color w:val="auto"/>
          <w:highlight w:val="none"/>
        </w:rPr>
        <w:t>面积为165.99km</w:t>
      </w:r>
      <w:r>
        <w:rPr>
          <w:rFonts w:cs="Times New Roman"/>
          <w:color w:val="auto"/>
          <w:highlight w:val="none"/>
          <w:vertAlign w:val="superscript"/>
        </w:rPr>
        <w:t>2</w:t>
      </w:r>
      <w:r>
        <w:rPr>
          <w:rFonts w:cs="Times New Roman"/>
          <w:color w:val="auto"/>
          <w:highlight w:val="none"/>
        </w:rPr>
        <w:t>，</w:t>
      </w:r>
      <w:r>
        <w:rPr>
          <w:rFonts w:cs="Times New Roman"/>
          <w:color w:val="auto"/>
          <w:highlight w:val="none"/>
          <w:lang w:val="zh-CN"/>
        </w:rPr>
        <w:t>占</w:t>
      </w:r>
      <w:r>
        <w:rPr>
          <w:rFonts w:cs="Times New Roman"/>
          <w:color w:val="auto"/>
          <w:highlight w:val="none"/>
        </w:rPr>
        <w:t>柳江区水土流失总面积</w:t>
      </w:r>
      <w:r>
        <w:rPr>
          <w:rFonts w:cs="Times New Roman"/>
          <w:color w:val="auto"/>
          <w:highlight w:val="none"/>
          <w:lang w:val="zh-CN"/>
        </w:rPr>
        <w:t>的</w:t>
      </w:r>
      <w:r>
        <w:rPr>
          <w:rFonts w:cs="Times New Roman"/>
          <w:color w:val="auto"/>
          <w:highlight w:val="none"/>
        </w:rPr>
        <w:t>42.48</w:t>
      </w:r>
      <w:r>
        <w:rPr>
          <w:rFonts w:cs="Times New Roman"/>
          <w:color w:val="auto"/>
          <w:highlight w:val="none"/>
          <w:lang w:val="zh-CN"/>
        </w:rPr>
        <w:t>%，</w:t>
      </w:r>
      <w:r>
        <w:rPr>
          <w:rFonts w:cs="Times New Roman"/>
          <w:color w:val="auto"/>
          <w:highlight w:val="none"/>
        </w:rPr>
        <w:t>是柳江区水土流失</w:t>
      </w:r>
      <w:r>
        <w:rPr>
          <w:rFonts w:cs="Times New Roman"/>
          <w:color w:val="auto"/>
          <w:highlight w:val="none"/>
          <w:lang w:val="zh-CN"/>
        </w:rPr>
        <w:t>最多</w:t>
      </w:r>
      <w:r>
        <w:rPr>
          <w:rFonts w:cs="Times New Roman"/>
          <w:color w:val="auto"/>
          <w:highlight w:val="none"/>
        </w:rPr>
        <w:t>的乡镇</w:t>
      </w:r>
      <w:r>
        <w:rPr>
          <w:rFonts w:cs="Times New Roman"/>
          <w:color w:val="auto"/>
          <w:highlight w:val="none"/>
          <w:lang w:val="zh-CN"/>
        </w:rPr>
        <w:t>。</w:t>
      </w:r>
    </w:p>
    <w:p>
      <w:pPr>
        <w:rPr>
          <w:rFonts w:eastAsia="华文仿宋" w:cs="Times New Roman"/>
          <w:color w:val="auto"/>
          <w:highlight w:val="none"/>
          <w:lang w:val="zh-CN"/>
        </w:rPr>
      </w:pPr>
      <w:r>
        <w:rPr>
          <w:rFonts w:eastAsia="华文仿宋" w:cs="Times New Roman"/>
          <w:color w:val="auto"/>
          <w:highlight w:val="none"/>
        </w:rPr>
        <w:t>各乡镇</w:t>
      </w:r>
      <w:r>
        <w:rPr>
          <w:rFonts w:eastAsia="华文仿宋" w:cs="Times New Roman"/>
          <w:color w:val="auto"/>
          <w:highlight w:val="none"/>
          <w:lang w:val="zh-CN"/>
        </w:rPr>
        <w:t>水土流失</w:t>
      </w:r>
      <w:r>
        <w:rPr>
          <w:rFonts w:eastAsia="华文仿宋" w:cs="Times New Roman"/>
          <w:color w:val="auto"/>
          <w:highlight w:val="none"/>
        </w:rPr>
        <w:t>面积分布情况</w:t>
      </w:r>
      <w:r>
        <w:rPr>
          <w:rFonts w:eastAsia="华文仿宋" w:cs="Times New Roman"/>
          <w:color w:val="auto"/>
          <w:highlight w:val="none"/>
          <w:lang w:val="zh-CN"/>
        </w:rPr>
        <w:t>详见表2.3</w:t>
      </w:r>
      <w:r>
        <w:rPr>
          <w:rFonts w:eastAsia="华文仿宋" w:cs="Times New Roman"/>
          <w:color w:val="auto"/>
          <w:highlight w:val="none"/>
          <w:lang w:val="zh-CN"/>
        </w:rPr>
        <w:noBreakHyphen/>
      </w:r>
      <w:r>
        <w:rPr>
          <w:rFonts w:eastAsia="华文仿宋" w:cs="Times New Roman"/>
          <w:color w:val="auto"/>
          <w:highlight w:val="none"/>
        </w:rPr>
        <w:t>3</w:t>
      </w:r>
      <w:r>
        <w:rPr>
          <w:rFonts w:eastAsia="华文仿宋" w:cs="Times New Roman"/>
          <w:color w:val="auto"/>
          <w:highlight w:val="none"/>
          <w:lang w:val="zh-CN"/>
        </w:rPr>
        <w:t>。</w:t>
      </w:r>
    </w:p>
    <w:p>
      <w:pPr>
        <w:ind w:firstLine="562"/>
        <w:jc w:val="center"/>
        <w:rPr>
          <w:rFonts w:cs="Times New Roman"/>
          <w:b/>
          <w:bCs/>
          <w:color w:val="auto"/>
          <w:highlight w:val="none"/>
        </w:rPr>
      </w:pPr>
      <w:r>
        <w:rPr>
          <w:rFonts w:cs="Times New Roman"/>
          <w:b/>
          <w:bCs/>
          <w:color w:val="auto"/>
          <w:highlight w:val="none"/>
        </w:rPr>
        <w:t>表2.3-3     柳江区水土流失面积分布情况表</w:t>
      </w:r>
    </w:p>
    <w:tbl>
      <w:tblPr>
        <w:tblStyle w:val="30"/>
        <w:tblW w:w="8525" w:type="dxa"/>
        <w:tblInd w:w="0" w:type="dxa"/>
        <w:tblLayout w:type="fixed"/>
        <w:tblCellMar>
          <w:top w:w="0" w:type="dxa"/>
          <w:left w:w="108" w:type="dxa"/>
          <w:bottom w:w="0" w:type="dxa"/>
          <w:right w:w="108" w:type="dxa"/>
        </w:tblCellMar>
      </w:tblPr>
      <w:tblGrid>
        <w:gridCol w:w="1542"/>
        <w:gridCol w:w="1111"/>
        <w:gridCol w:w="1032"/>
        <w:gridCol w:w="1032"/>
        <w:gridCol w:w="873"/>
        <w:gridCol w:w="792"/>
        <w:gridCol w:w="711"/>
        <w:gridCol w:w="711"/>
        <w:gridCol w:w="721"/>
      </w:tblGrid>
      <w:tr>
        <w:tblPrEx>
          <w:tblLayout w:type="fixed"/>
          <w:tblCellMar>
            <w:top w:w="0" w:type="dxa"/>
            <w:left w:w="108" w:type="dxa"/>
            <w:bottom w:w="0" w:type="dxa"/>
            <w:right w:w="108" w:type="dxa"/>
          </w:tblCellMar>
        </w:tblPrEx>
        <w:trPr>
          <w:trHeight w:val="525" w:hRule="atLeast"/>
        </w:trPr>
        <w:tc>
          <w:tcPr>
            <w:tcW w:w="15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乡镇街道名称</w:t>
            </w:r>
          </w:p>
        </w:tc>
        <w:tc>
          <w:tcPr>
            <w:tcW w:w="1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水土流失面积（km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c>
          <w:tcPr>
            <w:tcW w:w="1032" w:type="dxa"/>
            <w:vMerge w:val="restart"/>
            <w:tcBorders>
              <w:top w:val="single" w:color="auto" w:sz="4" w:space="0"/>
              <w:left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ascii="Times New Roman" w:hAnsi="Times New Roman" w:eastAsia="宋体" w:cs="Times New Roman"/>
                <w:b/>
                <w:bCs/>
                <w:color w:val="auto"/>
                <w:kern w:val="0"/>
                <w:sz w:val="22"/>
                <w:szCs w:val="22"/>
                <w:highlight w:val="none"/>
                <w:lang w:val="en-US" w:eastAsia="zh-CN" w:bidi="ar-SA"/>
              </w:rPr>
            </w:pPr>
            <w:r>
              <w:rPr>
                <w:rFonts w:eastAsia="宋体" w:cs="Times New Roman"/>
                <w:b/>
                <w:bCs/>
                <w:color w:val="auto"/>
                <w:kern w:val="0"/>
                <w:sz w:val="22"/>
                <w:szCs w:val="22"/>
                <w:highlight w:val="none"/>
              </w:rPr>
              <w:t>水土流失面积占国土面积比例（%）</w:t>
            </w:r>
          </w:p>
        </w:tc>
        <w:tc>
          <w:tcPr>
            <w:tcW w:w="1032" w:type="dxa"/>
            <w:vMerge w:val="restart"/>
            <w:tcBorders>
              <w:top w:val="single" w:color="auto" w:sz="4" w:space="0"/>
              <w:left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hint="eastAsia" w:eastAsia="宋体" w:cs="Times New Roman"/>
                <w:b/>
                <w:bCs/>
                <w:color w:val="auto"/>
                <w:kern w:val="0"/>
                <w:sz w:val="22"/>
                <w:szCs w:val="22"/>
                <w:highlight w:val="none"/>
                <w:lang w:val="en-US" w:eastAsia="zh-CN"/>
              </w:rPr>
              <w:t>中度以上</w:t>
            </w:r>
            <w:r>
              <w:rPr>
                <w:rFonts w:eastAsia="宋体" w:cs="Times New Roman"/>
                <w:b/>
                <w:bCs/>
                <w:color w:val="auto"/>
                <w:kern w:val="0"/>
                <w:sz w:val="22"/>
                <w:szCs w:val="22"/>
                <w:highlight w:val="none"/>
              </w:rPr>
              <w:t>水土流失面积占国土面积比例（%）</w:t>
            </w:r>
          </w:p>
        </w:tc>
        <w:tc>
          <w:tcPr>
            <w:tcW w:w="3808"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水土流失面积（km</w:t>
            </w:r>
            <w:r>
              <w:rPr>
                <w:rFonts w:eastAsia="宋体" w:cs="Times New Roman"/>
                <w:b/>
                <w:bCs/>
                <w:color w:val="auto"/>
                <w:kern w:val="0"/>
                <w:sz w:val="21"/>
                <w:szCs w:val="21"/>
                <w:highlight w:val="none"/>
                <w:vertAlign w:val="superscript"/>
              </w:rPr>
              <w:t>2</w:t>
            </w:r>
            <w:r>
              <w:rPr>
                <w:rFonts w:eastAsia="宋体" w:cs="Times New Roman"/>
                <w:b/>
                <w:bCs/>
                <w:color w:val="auto"/>
                <w:kern w:val="0"/>
                <w:sz w:val="21"/>
                <w:szCs w:val="21"/>
                <w:highlight w:val="none"/>
              </w:rPr>
              <w:t>）</w:t>
            </w:r>
          </w:p>
        </w:tc>
      </w:tr>
      <w:tr>
        <w:tblPrEx>
          <w:tblLayout w:type="fixed"/>
          <w:tblCellMar>
            <w:top w:w="0" w:type="dxa"/>
            <w:left w:w="108" w:type="dxa"/>
            <w:bottom w:w="0" w:type="dxa"/>
            <w:right w:w="108" w:type="dxa"/>
          </w:tblCellMar>
        </w:tblPrEx>
        <w:trPr>
          <w:trHeight w:val="345" w:hRule="atLeast"/>
        </w:trPr>
        <w:tc>
          <w:tcPr>
            <w:tcW w:w="15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1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1032" w:type="dxa"/>
            <w:vMerge w:val="continue"/>
            <w:tcBorders>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ascii="Times New Roman" w:hAnsi="Times New Roman" w:eastAsia="宋体" w:cs="Times New Roman"/>
                <w:b/>
                <w:bCs/>
                <w:color w:val="auto"/>
                <w:kern w:val="0"/>
                <w:sz w:val="22"/>
                <w:szCs w:val="22"/>
                <w:highlight w:val="none"/>
                <w:lang w:val="en-US" w:eastAsia="zh-CN" w:bidi="ar-SA"/>
              </w:rPr>
            </w:pPr>
          </w:p>
        </w:tc>
        <w:tc>
          <w:tcPr>
            <w:tcW w:w="1032" w:type="dxa"/>
            <w:vMerge w:val="continue"/>
            <w:tcBorders>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87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轻度侵蚀</w:t>
            </w:r>
          </w:p>
        </w:tc>
        <w:tc>
          <w:tcPr>
            <w:tcW w:w="7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中度侵蚀</w:t>
            </w:r>
          </w:p>
        </w:tc>
        <w:tc>
          <w:tcPr>
            <w:tcW w:w="71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强烈侵蚀</w:t>
            </w:r>
          </w:p>
        </w:tc>
        <w:tc>
          <w:tcPr>
            <w:tcW w:w="71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极强烈侵蚀</w:t>
            </w:r>
          </w:p>
        </w:tc>
        <w:tc>
          <w:tcPr>
            <w:tcW w:w="72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剧烈侵蚀</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75.30</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4.25</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2.20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36.31</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11.57</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6.20</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9.06</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12.16</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24.18</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1.37</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0.35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17.97</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3.21</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1.45</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0.89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0.66 </w:t>
            </w:r>
          </w:p>
        </w:tc>
      </w:tr>
      <w:tr>
        <w:tblPrEx>
          <w:tblLayout w:type="fixed"/>
          <w:tblCellMar>
            <w:top w:w="0" w:type="dxa"/>
            <w:left w:w="108" w:type="dxa"/>
            <w:bottom w:w="0" w:type="dxa"/>
            <w:right w:w="108" w:type="dxa"/>
          </w:tblCellMar>
        </w:tblPrEx>
        <w:trPr>
          <w:trHeight w:val="402"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eastAsia="宋体" w:cs="Times New Roman"/>
                <w:color w:val="auto"/>
                <w:kern w:val="0"/>
                <w:sz w:val="22"/>
                <w:szCs w:val="22"/>
                <w:highlight w:val="none"/>
              </w:rPr>
              <w:t>165.9</w:t>
            </w:r>
            <w:r>
              <w:rPr>
                <w:rFonts w:hint="eastAsia" w:eastAsia="宋体" w:cs="Times New Roman"/>
                <w:color w:val="auto"/>
                <w:kern w:val="0"/>
                <w:sz w:val="22"/>
                <w:szCs w:val="22"/>
                <w:highlight w:val="none"/>
                <w:lang w:val="en-US" w:eastAsia="zh-CN"/>
              </w:rPr>
              <w:t>8</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9.37</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4.22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91.23</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39.11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14.00</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12.79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8.85 </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进德镇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eastAsia="宋体" w:cs="Times New Roman"/>
                <w:color w:val="auto"/>
                <w:kern w:val="0"/>
                <w:sz w:val="22"/>
                <w:szCs w:val="22"/>
                <w:highlight w:val="none"/>
              </w:rPr>
              <w:t>27.2</w:t>
            </w:r>
            <w:r>
              <w:rPr>
                <w:rFonts w:hint="eastAsia" w:eastAsia="宋体" w:cs="Times New Roman"/>
                <w:color w:val="auto"/>
                <w:kern w:val="0"/>
                <w:sz w:val="22"/>
                <w:szCs w:val="22"/>
                <w:highlight w:val="none"/>
                <w:lang w:val="en-US" w:eastAsia="zh-CN"/>
              </w:rPr>
              <w:t>6</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1.54</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0.56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17.30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4.52</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2.16</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1.60</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1.68</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拉堡镇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4.60</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0.26</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0.08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3.10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1.36</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0.05</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0.05</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0.04</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eastAsia="宋体" w:cs="Times New Roman"/>
                <w:color w:val="auto"/>
                <w:kern w:val="0"/>
                <w:sz w:val="22"/>
                <w:szCs w:val="22"/>
                <w:highlight w:val="none"/>
              </w:rPr>
              <w:t>19.3</w:t>
            </w:r>
            <w:r>
              <w:rPr>
                <w:rFonts w:hint="eastAsia" w:eastAsia="宋体" w:cs="Times New Roman"/>
                <w:color w:val="auto"/>
                <w:kern w:val="0"/>
                <w:sz w:val="22"/>
                <w:szCs w:val="22"/>
                <w:highlight w:val="none"/>
                <w:lang w:val="en-US" w:eastAsia="zh-CN"/>
              </w:rPr>
              <w:t>0</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1.09</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0.54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9.79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3.76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1.69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1.87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2.19</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20.13 </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1.14</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0.37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13.63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3.45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0.95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1.13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0.97 </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54.01</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color w:val="auto"/>
                <w:kern w:val="0"/>
                <w:sz w:val="22"/>
                <w:szCs w:val="22"/>
                <w:highlight w:val="none"/>
                <w:lang w:val="en-US" w:eastAsia="zh-CN" w:bidi="ar-SA"/>
              </w:rPr>
            </w:pPr>
            <w:r>
              <w:rPr>
                <w:rFonts w:eastAsia="宋体" w:cs="Times New Roman"/>
                <w:color w:val="auto"/>
                <w:kern w:val="0"/>
                <w:sz w:val="22"/>
                <w:szCs w:val="22"/>
                <w:highlight w:val="none"/>
              </w:rPr>
              <w:t>3.05</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 xml:space="preserve">1.62 </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25.35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8.77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 xml:space="preserve">4.36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6</w:t>
            </w:r>
            <w:r>
              <w:rPr>
                <w:rFonts w:eastAsia="宋体" w:cs="Times New Roman"/>
                <w:color w:val="auto"/>
                <w:kern w:val="0"/>
                <w:sz w:val="22"/>
                <w:szCs w:val="22"/>
                <w:highlight w:val="none"/>
              </w:rPr>
              <w:t xml:space="preserve">.98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8.55</w:t>
            </w:r>
          </w:p>
        </w:tc>
      </w:tr>
      <w:tr>
        <w:tblPrEx>
          <w:tblLayout w:type="fixed"/>
          <w:tblCellMar>
            <w:top w:w="0" w:type="dxa"/>
            <w:left w:w="108" w:type="dxa"/>
            <w:bottom w:w="0" w:type="dxa"/>
            <w:right w:w="108" w:type="dxa"/>
          </w:tblCellMar>
        </w:tblPrEx>
        <w:trPr>
          <w:trHeight w:val="270" w:hRule="atLeast"/>
        </w:trPr>
        <w:tc>
          <w:tcPr>
            <w:tcW w:w="154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合计</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sz w:val="24"/>
                <w:szCs w:val="24"/>
                <w:highlight w:val="none"/>
              </w:rPr>
            </w:pPr>
            <w:r>
              <w:rPr>
                <w:rFonts w:eastAsia="宋体" w:cs="Times New Roman"/>
                <w:b/>
                <w:bCs/>
                <w:color w:val="auto"/>
                <w:kern w:val="0"/>
                <w:sz w:val="22"/>
                <w:szCs w:val="22"/>
                <w:highlight w:val="none"/>
              </w:rPr>
              <w:t>390.76</w:t>
            </w:r>
          </w:p>
        </w:tc>
        <w:tc>
          <w:tcPr>
            <w:tcW w:w="10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ascii="Times New Roman" w:hAnsi="Times New Roman" w:eastAsia="宋体" w:cs="Times New Roman"/>
                <w:b/>
                <w:bCs/>
                <w:color w:val="auto"/>
                <w:kern w:val="0"/>
                <w:sz w:val="22"/>
                <w:szCs w:val="22"/>
                <w:highlight w:val="none"/>
                <w:lang w:val="en-US" w:eastAsia="zh-CN" w:bidi="ar-SA"/>
              </w:rPr>
            </w:pPr>
            <w:r>
              <w:rPr>
                <w:rFonts w:eastAsia="宋体" w:cs="Times New Roman"/>
                <w:b/>
                <w:bCs/>
                <w:color w:val="auto"/>
                <w:kern w:val="0"/>
                <w:sz w:val="22"/>
                <w:szCs w:val="22"/>
                <w:highlight w:val="none"/>
              </w:rPr>
              <w:t>22.06</w:t>
            </w:r>
          </w:p>
        </w:tc>
        <w:tc>
          <w:tcPr>
            <w:tcW w:w="10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eastAsia="宋体" w:cs="Times New Roman"/>
                <w:b/>
                <w:bCs/>
                <w:color w:val="auto"/>
                <w:kern w:val="0"/>
                <w:sz w:val="22"/>
                <w:szCs w:val="22"/>
                <w:highlight w:val="none"/>
              </w:rPr>
            </w:pPr>
            <w:r>
              <w:rPr>
                <w:rFonts w:hint="eastAsia" w:eastAsia="宋体" w:cs="Times New Roman"/>
                <w:b/>
                <w:bCs/>
                <w:color w:val="auto"/>
                <w:kern w:val="0"/>
                <w:sz w:val="22"/>
                <w:szCs w:val="22"/>
                <w:highlight w:val="none"/>
                <w:lang w:val="en-US" w:eastAsia="zh-CN"/>
              </w:rPr>
              <w:t>9.93</w:t>
            </w:r>
          </w:p>
        </w:tc>
        <w:tc>
          <w:tcPr>
            <w:tcW w:w="87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 xml:space="preserve">214.69 </w:t>
            </w:r>
          </w:p>
        </w:tc>
        <w:tc>
          <w:tcPr>
            <w:tcW w:w="7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75.75</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 xml:space="preserve">30.86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 xml:space="preserve">34.37 </w:t>
            </w:r>
          </w:p>
        </w:tc>
        <w:tc>
          <w:tcPr>
            <w:tcW w:w="72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 xml:space="preserve">35.09 </w:t>
            </w:r>
          </w:p>
        </w:tc>
      </w:tr>
    </w:tbl>
    <w:p>
      <w:pPr>
        <w:pStyle w:val="4"/>
        <w:spacing w:before="156"/>
        <w:ind w:firstLine="562"/>
        <w:rPr>
          <w:color w:val="auto"/>
          <w:highlight w:val="none"/>
        </w:rPr>
      </w:pPr>
      <w:bookmarkStart w:id="153" w:name="_Toc29975"/>
      <w:bookmarkStart w:id="154" w:name="_Toc101681433"/>
      <w:r>
        <w:rPr>
          <w:color w:val="auto"/>
          <w:highlight w:val="none"/>
        </w:rPr>
        <w:t>2.3.4水土流失危害</w:t>
      </w:r>
      <w:bookmarkEnd w:id="152"/>
      <w:bookmarkEnd w:id="153"/>
      <w:bookmarkEnd w:id="154"/>
    </w:p>
    <w:p>
      <w:pPr>
        <w:rPr>
          <w:rFonts w:cs="Times New Roman"/>
          <w:color w:val="auto"/>
          <w:highlight w:val="none"/>
          <w:lang w:val="zh-CN"/>
        </w:rPr>
      </w:pPr>
      <w:r>
        <w:rPr>
          <w:rFonts w:cs="Times New Roman"/>
          <w:color w:val="auto"/>
          <w:highlight w:val="none"/>
          <w:lang w:val="zh-CN"/>
        </w:rPr>
        <w:t>（1）破坏耕地资源，威胁粮食安全。</w:t>
      </w:r>
    </w:p>
    <w:p>
      <w:pPr>
        <w:rPr>
          <w:rFonts w:cs="Times New Roman"/>
          <w:color w:val="auto"/>
          <w:highlight w:val="none"/>
          <w:lang w:val="zh-CN"/>
        </w:rPr>
      </w:pPr>
      <w:r>
        <w:rPr>
          <w:rFonts w:cs="Times New Roman"/>
          <w:color w:val="auto"/>
          <w:highlight w:val="none"/>
          <w:lang w:val="zh-CN"/>
        </w:rPr>
        <w:t>土壤是人类赖以生存的物质基础，是农业生产的最基本资源。柳江区总水土流失面积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rPr>
        <w:t>2</w:t>
      </w:r>
      <w:r>
        <w:rPr>
          <w:rFonts w:cs="Times New Roman"/>
          <w:color w:val="auto"/>
          <w:highlight w:val="none"/>
          <w:lang w:val="zh-CN"/>
        </w:rPr>
        <w:t>，占柳江区土地总面积的</w:t>
      </w:r>
      <w:r>
        <w:rPr>
          <w:rFonts w:cs="Times New Roman"/>
          <w:color w:val="auto"/>
          <w:highlight w:val="none"/>
        </w:rPr>
        <w:t>22.04%</w:t>
      </w:r>
      <w:r>
        <w:rPr>
          <w:rFonts w:cs="Times New Roman"/>
          <w:color w:val="auto"/>
          <w:highlight w:val="none"/>
          <w:lang w:val="zh-CN"/>
        </w:rPr>
        <w:t>，长期的水土流失使得土地资源遭到严重破坏，土壤肥力逐年下降，土层减薄，土壤质地变粗，土壤涵养水源和生态保护功能减弱，土地生产力下降，农作物产量、品质降低，制约了农林业生产的可持续发展。水土流失严重的地区，农业生产条件较差，地少田薄，经济效益差。农民经济收入低，对农业的投入相对较少，造成对耕地过度索取，日益严重的水土流失随着对耕地资源的破坏，直接造成粮食播种面积的减少和粮食单产的下降，并进一步导致粮食总产量的下降，加剧人口增长与土地资源退化的矛盾，直接威胁到国家的粮食安全。</w:t>
      </w:r>
    </w:p>
    <w:p>
      <w:pPr>
        <w:rPr>
          <w:rFonts w:cs="Times New Roman"/>
          <w:color w:val="auto"/>
          <w:highlight w:val="none"/>
          <w:lang w:val="zh-CN"/>
        </w:rPr>
      </w:pPr>
      <w:r>
        <w:rPr>
          <w:rFonts w:cs="Times New Roman"/>
          <w:color w:val="auto"/>
          <w:highlight w:val="none"/>
          <w:lang w:val="zh-CN"/>
        </w:rPr>
        <w:t>（2）淤积江河湖库，影响水利安全。</w:t>
      </w:r>
    </w:p>
    <w:p>
      <w:pPr>
        <w:rPr>
          <w:rFonts w:cs="Times New Roman"/>
          <w:color w:val="auto"/>
          <w:highlight w:val="none"/>
          <w:lang w:val="zh-CN"/>
        </w:rPr>
      </w:pPr>
      <w:r>
        <w:rPr>
          <w:rFonts w:cs="Times New Roman"/>
          <w:color w:val="auto"/>
          <w:highlight w:val="none"/>
          <w:lang w:val="zh-CN"/>
        </w:rPr>
        <w:t>水土流失导致大量泥沙进入河道，淤积河道，抬高河床，缩小江河过洪断面，影响行洪，威胁防洪安全，降低供水、发电、航运以及灌溉的能力，对居民日常生产生活造成威胁。水土流失还会淤积湖泊、库塘，缩短塘库使用寿命，降低其行洪调蓄能力，加剧洪涝灾害，影响水资源的有效利用。</w:t>
      </w:r>
    </w:p>
    <w:p>
      <w:pPr>
        <w:rPr>
          <w:rFonts w:cs="Times New Roman"/>
          <w:color w:val="auto"/>
          <w:highlight w:val="none"/>
          <w:lang w:val="zh-CN"/>
        </w:rPr>
      </w:pPr>
      <w:r>
        <w:rPr>
          <w:rFonts w:cs="Times New Roman"/>
          <w:color w:val="auto"/>
          <w:highlight w:val="none"/>
          <w:lang w:val="zh-CN"/>
        </w:rPr>
        <w:t>（3）加剧面源污染，影响水质安全。</w:t>
      </w:r>
    </w:p>
    <w:p>
      <w:pPr>
        <w:rPr>
          <w:rFonts w:cs="Times New Roman"/>
          <w:color w:val="auto"/>
          <w:highlight w:val="none"/>
          <w:lang w:val="zh-CN"/>
        </w:rPr>
      </w:pPr>
      <w:r>
        <w:rPr>
          <w:rFonts w:cs="Times New Roman"/>
          <w:color w:val="auto"/>
          <w:highlight w:val="none"/>
          <w:lang w:val="zh-CN"/>
        </w:rPr>
        <w:t>近年来，随着农药、化肥的大量施用，水土流失作为面源污染物的传输载体，对江河湖库水质的影响越来越大，加剧河道污染，造成河流和水库水质恶化，对饮用水水源地水质安全构成了严重威胁。此外，随着城市化进程的加快，房地产、市政设施和工业开发区等大规模生产建设，使原有的地貌植被遭到破坏，更有甚者毁坏水利工程设施，改变或随意填埋自然水系，导致水域面积不断缩小，河道淤塞黑臭、杂草丛生、水质污染严重，加剧河流湖泊萎缩或消失。</w:t>
      </w:r>
    </w:p>
    <w:p>
      <w:pPr>
        <w:rPr>
          <w:rFonts w:cs="Times New Roman"/>
          <w:color w:val="auto"/>
          <w:highlight w:val="none"/>
          <w:lang w:val="zh-CN"/>
        </w:rPr>
      </w:pPr>
      <w:r>
        <w:rPr>
          <w:rFonts w:cs="Times New Roman"/>
          <w:color w:val="auto"/>
          <w:highlight w:val="none"/>
          <w:lang w:val="zh-CN"/>
        </w:rPr>
        <w:t>（4）生态环境恶化，制约经济发展。</w:t>
      </w:r>
    </w:p>
    <w:p>
      <w:pPr>
        <w:rPr>
          <w:rFonts w:cs="Times New Roman"/>
          <w:color w:val="auto"/>
          <w:highlight w:val="none"/>
          <w:lang w:val="zh-CN"/>
        </w:rPr>
      </w:pPr>
      <w:r>
        <w:rPr>
          <w:rFonts w:cs="Times New Roman"/>
          <w:color w:val="auto"/>
          <w:highlight w:val="none"/>
          <w:lang w:val="zh-CN"/>
        </w:rPr>
        <w:t>水土流失破坏植物生长环境，加剧土地退化，导致山体植被</w:t>
      </w:r>
      <w:r>
        <w:rPr>
          <w:rFonts w:cs="Times New Roman"/>
          <w:color w:val="auto"/>
          <w:highlight w:val="none"/>
        </w:rPr>
        <w:t>减少</w:t>
      </w:r>
      <w:r>
        <w:rPr>
          <w:rFonts w:cs="Times New Roman"/>
          <w:color w:val="auto"/>
          <w:highlight w:val="none"/>
          <w:lang w:val="zh-CN"/>
        </w:rPr>
        <w:t>，甚至基岩裸露，也严重影响了当地的生态环境景观。同时也对生物群落结构造成恶劣影响，导致野生动物适宜的栖息地大幅减少，生物种群的繁衍生息受到威胁，极大地破坏了生态系统的和谐稳定。在土体抗蚀性差、地表松散物质多的土石山区，植被破坏和严重的水土流失极易诱发山体滑坡和泥石流等地质灾害，破坏周边人居环境，对群众日常生产活动和生命财产安全造成严重威胁。水土流失也对耕地资源造成损害，极大地削弱了当地农业生产基础，农民收入水平的提高和生活质量的改善受到制约，区域社会经济的可持续发展受到阻碍。</w:t>
      </w:r>
    </w:p>
    <w:p>
      <w:pPr>
        <w:pStyle w:val="3"/>
        <w:spacing w:before="156"/>
        <w:ind w:firstLine="602"/>
        <w:rPr>
          <w:color w:val="auto"/>
          <w:highlight w:val="none"/>
          <w:lang w:val="en-US"/>
        </w:rPr>
      </w:pPr>
      <w:bookmarkStart w:id="155" w:name="_Toc101681434"/>
      <w:bookmarkStart w:id="156" w:name="_Toc4642"/>
      <w:bookmarkStart w:id="157" w:name="_Toc90399089"/>
      <w:r>
        <w:rPr>
          <w:color w:val="auto"/>
          <w:highlight w:val="none"/>
          <w:lang w:val="en-US"/>
        </w:rPr>
        <w:t>2.4水土保持现状</w:t>
      </w:r>
      <w:bookmarkEnd w:id="155"/>
      <w:bookmarkEnd w:id="156"/>
      <w:bookmarkEnd w:id="157"/>
    </w:p>
    <w:p>
      <w:pPr>
        <w:rPr>
          <w:rFonts w:cs="Times New Roman"/>
          <w:color w:val="auto"/>
          <w:highlight w:val="none"/>
        </w:rPr>
      </w:pPr>
      <w:r>
        <w:rPr>
          <w:rFonts w:cs="Times New Roman"/>
          <w:color w:val="auto"/>
          <w:highlight w:val="none"/>
        </w:rPr>
        <w:t>柳江区始终紧跟上级的指示及工作要求开展水土保持工作，同时也深刻意识到水土保持在生态环境保护工作中的基础性和重要性，自2017年广西壮族自治区人民政府批复《广西壮族自治区水土保持规划（2016</w:t>
      </w:r>
      <w:r>
        <w:rPr>
          <w:rFonts w:hint="eastAsia" w:cs="Times New Roman"/>
          <w:color w:val="auto"/>
          <w:highlight w:val="none"/>
          <w:lang w:eastAsia="zh-CN"/>
        </w:rPr>
        <w:t>～</w:t>
      </w:r>
      <w:r>
        <w:rPr>
          <w:rFonts w:cs="Times New Roman"/>
          <w:color w:val="auto"/>
          <w:highlight w:val="none"/>
        </w:rPr>
        <w:t>2030年）》以来，柳州市柳江区委政府高度重视水土保持生态文明建设，坚持生态惠民、生态利民、生态为民，先后采取了一系列措施抑制水土流失的进一步扩展，加大在水土保持治理和预防的投入，建立健全水土保持管理体系，扎实推进生态文明建设和生态环境保护。根据柳州市历年水土流失和水土保持监管工作成绩以及上级监测部门数据显示，201</w:t>
      </w:r>
      <w:r>
        <w:rPr>
          <w:rFonts w:hint="eastAsia" w:cs="Times New Roman"/>
          <w:color w:val="auto"/>
          <w:highlight w:val="none"/>
          <w:lang w:val="en-US" w:eastAsia="zh-CN"/>
        </w:rPr>
        <w:t>8</w:t>
      </w:r>
      <w:r>
        <w:rPr>
          <w:rFonts w:cs="Times New Roman"/>
          <w:color w:val="auto"/>
          <w:highlight w:val="none"/>
        </w:rPr>
        <w:t>年以来柳江区水土流失面积逐年减少且水土流失强度有所降低，强烈以上水土流失逐渐降为中度、轻度，强烈以上水土流失面积呈逐年减少趋势。</w:t>
      </w:r>
    </w:p>
    <w:p>
      <w:pPr>
        <w:pStyle w:val="4"/>
        <w:spacing w:before="156"/>
        <w:ind w:firstLine="562"/>
        <w:rPr>
          <w:color w:val="auto"/>
          <w:highlight w:val="none"/>
        </w:rPr>
      </w:pPr>
      <w:bookmarkStart w:id="158" w:name="_Toc101681435"/>
      <w:bookmarkStart w:id="159" w:name="_Toc15323"/>
      <w:r>
        <w:rPr>
          <w:color w:val="auto"/>
          <w:highlight w:val="none"/>
        </w:rPr>
        <w:t>2.4.1水土流失治理情况</w:t>
      </w:r>
      <w:bookmarkEnd w:id="158"/>
      <w:bookmarkEnd w:id="159"/>
    </w:p>
    <w:p>
      <w:pPr>
        <w:rPr>
          <w:rFonts w:hint="eastAsia" w:cs="Times New Roman"/>
          <w:color w:val="auto"/>
          <w:highlight w:val="none"/>
          <w:lang w:eastAsia="zh-CN"/>
        </w:rPr>
      </w:pPr>
      <w:r>
        <w:rPr>
          <w:rFonts w:cs="Times New Roman"/>
          <w:color w:val="auto"/>
          <w:highlight w:val="none"/>
        </w:rPr>
        <w:t>随着社会经济的快速发展，柳江区城镇规模不断扩大，重点城镇不断生产建设，人为水土流失问题较为突出，同时，柳江区位于温暖多雨的亚热带季风气候区，雨量充沛，暴雨集中，极易发生水土流失。201</w:t>
      </w:r>
      <w:r>
        <w:rPr>
          <w:rFonts w:hint="eastAsia" w:cs="Times New Roman"/>
          <w:color w:val="auto"/>
          <w:highlight w:val="none"/>
          <w:lang w:val="en-US" w:eastAsia="zh-CN"/>
        </w:rPr>
        <w:t>8—2022年</w:t>
      </w:r>
      <w:r>
        <w:rPr>
          <w:rFonts w:cs="Times New Roman"/>
          <w:color w:val="auto"/>
          <w:highlight w:val="none"/>
        </w:rPr>
        <w:t>，柳江区虽然未曾获得中央、自治区或柳州市水土保持重点工程补助资金的支持，但</w:t>
      </w:r>
      <w:r>
        <w:rPr>
          <w:rFonts w:hint="eastAsia" w:cs="Times New Roman"/>
          <w:color w:val="auto"/>
          <w:highlight w:val="none"/>
          <w:lang w:val="en-US" w:eastAsia="zh-CN"/>
        </w:rPr>
        <w:t>区</w:t>
      </w:r>
      <w:r>
        <w:rPr>
          <w:rFonts w:cs="Times New Roman"/>
          <w:color w:val="auto"/>
          <w:highlight w:val="none"/>
        </w:rPr>
        <w:t>发展改革局、自然资源、生态环境、农业农村等部门根据职责在土地整治、巩固退耕还林、荒山造林、果树种植等项目上开展水土流失治理，并通过招商引资等方式吸引社会团体参与生态建设工作。根据统计，</w:t>
      </w:r>
      <w:r>
        <w:rPr>
          <w:rFonts w:hint="eastAsia" w:cs="Times New Roman"/>
          <w:color w:val="auto"/>
          <w:highlight w:val="none"/>
          <w:lang w:val="en-US" w:eastAsia="zh-CN"/>
        </w:rPr>
        <w:t>2019—2022年</w:t>
      </w:r>
      <w:r>
        <w:rPr>
          <w:rFonts w:cs="Times New Roman"/>
          <w:color w:val="auto"/>
          <w:highlight w:val="none"/>
        </w:rPr>
        <w:t>柳江区以水利部门牵头，各部门协作，社会力量参与，全县共同完成水土流失综合治理面积</w:t>
      </w:r>
      <w:r>
        <w:rPr>
          <w:rFonts w:hint="eastAsia" w:cs="Times New Roman"/>
          <w:color w:val="auto"/>
          <w:highlight w:val="none"/>
        </w:rPr>
        <w:t>92.77</w:t>
      </w:r>
      <w:r>
        <w:rPr>
          <w:rFonts w:cs="Times New Roman"/>
          <w:color w:val="auto"/>
          <w:highlight w:val="none"/>
        </w:rPr>
        <w:t>平方公里</w:t>
      </w:r>
      <w:r>
        <w:rPr>
          <w:rFonts w:hint="eastAsia" w:cs="Times New Roman"/>
          <w:color w:val="auto"/>
          <w:highlight w:val="none"/>
          <w:lang w:eastAsia="zh-CN"/>
        </w:rPr>
        <w:t>，</w:t>
      </w:r>
      <w:r>
        <w:rPr>
          <w:rFonts w:hint="eastAsia" w:cs="Times New Roman"/>
          <w:color w:val="auto"/>
          <w:highlight w:val="none"/>
          <w:lang w:val="en-US" w:eastAsia="zh-CN"/>
        </w:rPr>
        <w:t>均是其他部门及社会力量共同完成</w:t>
      </w:r>
      <w:r>
        <w:rPr>
          <w:rFonts w:hint="eastAsia" w:cs="Times New Roman"/>
          <w:color w:val="auto"/>
          <w:highlight w:val="none"/>
          <w:lang w:eastAsia="zh-CN"/>
        </w:rPr>
        <w:t>，</w:t>
      </w:r>
      <w:r>
        <w:rPr>
          <w:rFonts w:hint="eastAsia" w:cs="Times New Roman"/>
          <w:color w:val="auto"/>
          <w:highlight w:val="none"/>
        </w:rPr>
        <w:t>年均减少土壤流失量7.68万吨</w:t>
      </w:r>
      <w:r>
        <w:rPr>
          <w:rFonts w:hint="eastAsia" w:cs="Times New Roman"/>
          <w:color w:val="auto"/>
          <w:highlight w:val="none"/>
          <w:lang w:eastAsia="zh-CN"/>
        </w:rPr>
        <w:t>。</w:t>
      </w:r>
    </w:p>
    <w:p>
      <w:pPr>
        <w:rPr>
          <w:rFonts w:cs="Times New Roman"/>
          <w:color w:val="auto"/>
          <w:highlight w:val="none"/>
        </w:rPr>
      </w:pPr>
      <w:r>
        <w:rPr>
          <w:rFonts w:cs="Times New Roman"/>
          <w:color w:val="auto"/>
          <w:highlight w:val="none"/>
        </w:rPr>
        <w:t>各部门各类型项目实施的水土保持措施全部发挥效益后，区域生态效益和社会效益得到明显改善，经济效益增强，主要体现为：一是水土流失得到有效控制，水土流失危害减轻；二是调整农业产业结构，促进地方经济发展，粮食单产提高，林地、果园面积增加；三是促进脱贫增收，通过发展经济林、水保林、种植牧草，随着林果业、畜牧业的发展，提高项目区内群众的生活水平。</w:t>
      </w:r>
    </w:p>
    <w:p>
      <w:pPr>
        <w:pStyle w:val="4"/>
        <w:spacing w:before="156"/>
        <w:ind w:firstLine="562"/>
        <w:rPr>
          <w:color w:val="auto"/>
          <w:highlight w:val="none"/>
        </w:rPr>
      </w:pPr>
      <w:bookmarkStart w:id="160" w:name="_Toc101681436"/>
      <w:bookmarkStart w:id="161" w:name="_Toc18581"/>
      <w:r>
        <w:rPr>
          <w:color w:val="auto"/>
          <w:highlight w:val="none"/>
          <w:lang w:val="en-US"/>
        </w:rPr>
        <w:t>2.4.2水土保持监督管理情况</w:t>
      </w:r>
      <w:bookmarkEnd w:id="160"/>
      <w:bookmarkEnd w:id="161"/>
    </w:p>
    <w:p>
      <w:pPr>
        <w:rPr>
          <w:rFonts w:cs="Times New Roman"/>
          <w:color w:val="auto"/>
          <w:highlight w:val="none"/>
        </w:rPr>
      </w:pPr>
      <w:r>
        <w:rPr>
          <w:rFonts w:cs="Times New Roman"/>
          <w:color w:val="auto"/>
          <w:highlight w:val="none"/>
        </w:rPr>
        <w:t>柳州市柳江区水土保持工作站负责全县的水土保持工作</w:t>
      </w:r>
      <w:r>
        <w:rPr>
          <w:rFonts w:hint="eastAsia" w:cs="Times New Roman"/>
          <w:color w:val="auto"/>
          <w:highlight w:val="none"/>
          <w:lang w:eastAsia="zh-CN"/>
        </w:rPr>
        <w:t>，</w:t>
      </w:r>
      <w:r>
        <w:rPr>
          <w:rFonts w:hint="eastAsia" w:cs="Times New Roman"/>
          <w:color w:val="auto"/>
          <w:highlight w:val="none"/>
        </w:rPr>
        <w:t>单位编制</w:t>
      </w:r>
      <w:r>
        <w:rPr>
          <w:rFonts w:hint="eastAsia" w:cs="Times New Roman"/>
          <w:color w:val="auto"/>
          <w:highlight w:val="none"/>
          <w:lang w:val="en-US" w:eastAsia="zh-CN"/>
        </w:rPr>
        <w:t>属</w:t>
      </w:r>
      <w:r>
        <w:rPr>
          <w:rFonts w:hint="eastAsia" w:cs="Times New Roman"/>
          <w:color w:val="auto"/>
          <w:highlight w:val="none"/>
        </w:rPr>
        <w:t>参公事业编制8人，</w:t>
      </w:r>
      <w:r>
        <w:rPr>
          <w:rFonts w:cs="Times New Roman"/>
          <w:color w:val="auto"/>
          <w:highlight w:val="none"/>
        </w:rPr>
        <w:t>工作职责包括拟定县区水土保持规划并监督实施，组织实施水土流失的综合防治、监测预报并定期公告，负责生产建设项目水土保持监督管理工作，负责辖区内水土保持建设项目的实施。</w:t>
      </w:r>
    </w:p>
    <w:p>
      <w:pPr>
        <w:rPr>
          <w:rFonts w:cs="Times New Roman"/>
          <w:color w:val="auto"/>
          <w:highlight w:val="none"/>
        </w:rPr>
      </w:pPr>
      <w:r>
        <w:rPr>
          <w:rFonts w:cs="Times New Roman"/>
          <w:color w:val="auto"/>
          <w:highlight w:val="none"/>
        </w:rPr>
        <w:t>柳江区以新修订的水土保持法颁布实施为契机，以现行各项法律法规为依据，适应新时代水土保持工作思路，利用“天地一体化”监管技术建立了水土保持事中事后监督管理制度，不断完善水土保持监督管理体系，进一步规范了各类生产建设项目水土保持监督管理工作。生产建设项目水土保持“天地一体化”监管是指综合应用卫星或航空遥感（RS）、GIS、GPS、无人机、移动通信、快速测绘、互联网、智能终端、多媒体等多种技术，开展的生产建设项目水土保持监管及其信息采集、传输、处理、存储、分析、应用的过程。</w:t>
      </w:r>
    </w:p>
    <w:p>
      <w:pPr>
        <w:rPr>
          <w:rFonts w:cs="Times New Roman"/>
          <w:color w:val="auto"/>
          <w:highlight w:val="none"/>
        </w:rPr>
      </w:pPr>
      <w:r>
        <w:rPr>
          <w:rFonts w:cs="Times New Roman"/>
          <w:color w:val="auto"/>
          <w:highlight w:val="none"/>
        </w:rPr>
        <w:t>柳江区在方案的编制、审批及实施过程中都严格按照水土保持“三同时”制度进行过程监督，县区水行政主管部门认真履行法律赋予的职责，通过建立依法履职督查制度，落实“双随机一公开”检查制度，确保监管到位、不缺位，充分运用卫星遥感、无人机航拍等多种方式，实现监督检查全覆盖，以查处“未批先建</w:t>
      </w:r>
      <w:r>
        <w:rPr>
          <w:rFonts w:hint="eastAsia" w:cs="Times New Roman"/>
          <w:color w:val="auto"/>
          <w:highlight w:val="none"/>
          <w:lang w:eastAsia="zh-CN"/>
        </w:rPr>
        <w:t>”“</w:t>
      </w:r>
      <w:r>
        <w:rPr>
          <w:rFonts w:cs="Times New Roman"/>
          <w:color w:val="auto"/>
          <w:highlight w:val="none"/>
        </w:rPr>
        <w:t>未验先投”、超范围等违法行为为重点，进行监督监测和管理，坚决制止和惩处水土保持违法行为。2021年柳江区利用“天地一体化”监管技术对全区</w:t>
      </w:r>
      <w:r>
        <w:rPr>
          <w:rFonts w:hint="eastAsia" w:eastAsia="仿宋_GB2312"/>
          <w:color w:val="auto"/>
          <w:sz w:val="32"/>
          <w:szCs w:val="32"/>
          <w:highlight w:val="none"/>
        </w:rPr>
        <w:t>63</w:t>
      </w:r>
      <w:r>
        <w:rPr>
          <w:rFonts w:cs="Times New Roman"/>
          <w:color w:val="auto"/>
          <w:highlight w:val="none"/>
        </w:rPr>
        <w:t>个疑似违法违规图斑进行现场核查，</w:t>
      </w:r>
      <w:r>
        <w:rPr>
          <w:rFonts w:hint="eastAsia" w:cs="Times New Roman"/>
          <w:color w:val="auto"/>
          <w:highlight w:val="none"/>
        </w:rPr>
        <w:t>对17个“未批先建”的生产建设项目下达限期整改通知书，责令限期整改</w:t>
      </w:r>
      <w:r>
        <w:rPr>
          <w:rFonts w:cs="Times New Roman"/>
          <w:color w:val="auto"/>
          <w:highlight w:val="none"/>
        </w:rPr>
        <w:t>。</w:t>
      </w:r>
    </w:p>
    <w:p>
      <w:pPr>
        <w:spacing w:line="540" w:lineRule="exact"/>
        <w:ind w:firstLine="560" w:firstLineChars="200"/>
        <w:rPr>
          <w:rFonts w:hint="eastAsia" w:eastAsia="仿宋" w:cs="Times New Roman"/>
          <w:color w:val="auto"/>
          <w:highlight w:val="none"/>
          <w:lang w:eastAsia="zh-CN"/>
        </w:rPr>
      </w:pPr>
      <w:r>
        <w:rPr>
          <w:rFonts w:cs="Times New Roman"/>
          <w:color w:val="auto"/>
          <w:highlight w:val="none"/>
        </w:rPr>
        <w:t>近年来，柳江区水土保持监管体系逐步完善，水土保持方案审批量逐年增加。2021年柳江区审批生产建设项目水土保持方案38个，水土流失防治范围462.17公顷；全区加强了水土保持设施补偿费征收力度，对辖区生产建设项目进行地毯式排查，积极配合上级部门对本辖区生产建设项目进行梳理，对已批复的建设项目做到应征满征，2021年收取水土补偿费1259.26万元；对全</w:t>
      </w:r>
      <w:r>
        <w:rPr>
          <w:rFonts w:hint="eastAsia" w:cs="Times New Roman"/>
          <w:color w:val="auto"/>
          <w:highlight w:val="none"/>
          <w:lang w:val="en-US" w:eastAsia="zh-CN"/>
        </w:rPr>
        <w:t>区</w:t>
      </w:r>
      <w:r>
        <w:rPr>
          <w:rFonts w:cs="Times New Roman"/>
          <w:color w:val="auto"/>
          <w:highlight w:val="none"/>
        </w:rPr>
        <w:t>63个疑似违法违规图斑进行现场核查</w:t>
      </w:r>
      <w:r>
        <w:rPr>
          <w:rFonts w:hint="eastAsia" w:cs="Times New Roman"/>
          <w:color w:val="auto"/>
          <w:highlight w:val="none"/>
          <w:lang w:eastAsia="zh-CN"/>
        </w:rPr>
        <w:t>，</w:t>
      </w:r>
      <w:r>
        <w:rPr>
          <w:rFonts w:hint="eastAsia" w:cs="Times New Roman"/>
          <w:color w:val="auto"/>
          <w:highlight w:val="none"/>
        </w:rPr>
        <w:t>针对卫星遥感解译扰动图斑现场复核结果，对</w:t>
      </w:r>
      <w:r>
        <w:rPr>
          <w:rFonts w:hint="eastAsia" w:cs="Times New Roman"/>
          <w:color w:val="auto"/>
          <w:highlight w:val="none"/>
          <w:lang w:val="en-US" w:eastAsia="zh-CN"/>
        </w:rPr>
        <w:t>17</w:t>
      </w:r>
      <w:r>
        <w:rPr>
          <w:rFonts w:hint="eastAsia" w:cs="Times New Roman"/>
          <w:color w:val="auto"/>
          <w:highlight w:val="none"/>
        </w:rPr>
        <w:t>个“未批先建”的生产建设项目下达限期整改通知书，责令限期整改</w:t>
      </w:r>
      <w:r>
        <w:rPr>
          <w:rFonts w:hint="eastAsia" w:cs="Times New Roman"/>
          <w:color w:val="auto"/>
          <w:highlight w:val="none"/>
          <w:lang w:eastAsia="zh-CN"/>
        </w:rPr>
        <w:t>；</w:t>
      </w:r>
      <w:r>
        <w:rPr>
          <w:rFonts w:hint="eastAsia" w:cs="Times New Roman"/>
          <w:color w:val="auto"/>
          <w:highlight w:val="none"/>
        </w:rPr>
        <w:t>并完成</w:t>
      </w:r>
      <w:r>
        <w:rPr>
          <w:rFonts w:hint="eastAsia" w:cs="Times New Roman"/>
          <w:color w:val="auto"/>
          <w:highlight w:val="none"/>
          <w:lang w:val="en-US" w:eastAsia="zh-CN"/>
        </w:rPr>
        <w:t>35</w:t>
      </w:r>
      <w:r>
        <w:rPr>
          <w:rFonts w:hint="eastAsia" w:cs="Times New Roman"/>
          <w:color w:val="auto"/>
          <w:highlight w:val="none"/>
        </w:rPr>
        <w:t>个已审批的水土保持方案信息录入工作</w:t>
      </w:r>
      <w:r>
        <w:rPr>
          <w:rFonts w:hint="eastAsia" w:cs="Times New Roman"/>
          <w:color w:val="auto"/>
          <w:highlight w:val="none"/>
          <w:lang w:eastAsia="zh-CN"/>
        </w:rPr>
        <w:t>。</w:t>
      </w:r>
    </w:p>
    <w:p>
      <w:pPr>
        <w:rPr>
          <w:rFonts w:hint="eastAsia" w:eastAsia="仿宋" w:cs="Times New Roman"/>
          <w:color w:val="auto"/>
          <w:highlight w:val="none"/>
          <w:lang w:eastAsia="zh-CN"/>
        </w:rPr>
      </w:pPr>
    </w:p>
    <w:p>
      <w:pPr>
        <w:rPr>
          <w:rFonts w:cs="Times New Roman"/>
          <w:color w:val="auto"/>
          <w:highlight w:val="none"/>
        </w:rPr>
      </w:pPr>
      <w:r>
        <w:rPr>
          <w:rFonts w:cs="Times New Roman"/>
          <w:color w:val="auto"/>
          <w:highlight w:val="none"/>
        </w:rPr>
        <w:t>2022</w:t>
      </w:r>
      <w:r>
        <w:rPr>
          <w:rFonts w:hint="eastAsia" w:cs="Times New Roman"/>
          <w:color w:val="auto"/>
          <w:highlight w:val="none"/>
        </w:rPr>
        <w:t>年</w:t>
      </w:r>
      <w:r>
        <w:rPr>
          <w:rFonts w:cs="Times New Roman"/>
          <w:color w:val="auto"/>
          <w:highlight w:val="none"/>
        </w:rPr>
        <w:t>，柳江区进一步加大水土保持监管力度。2022年柳江区审批生产建设项目水土保持方案23个，水土流失防治范围585.04公顷；征收水土保持补偿费713.27万元，对全</w:t>
      </w:r>
      <w:r>
        <w:rPr>
          <w:rFonts w:hint="eastAsia" w:cs="Times New Roman"/>
          <w:color w:val="auto"/>
          <w:highlight w:val="none"/>
          <w:lang w:val="en-US" w:eastAsia="zh-CN"/>
        </w:rPr>
        <w:t>区</w:t>
      </w:r>
      <w:r>
        <w:rPr>
          <w:rFonts w:cs="Times New Roman"/>
          <w:color w:val="auto"/>
          <w:highlight w:val="none"/>
        </w:rPr>
        <w:t>37个疑似违法违规图斑进行现场核查，发现未批先建项目7个，下发整改通知7份；以现场检查和书面检查相结合的方式，对47个生产建设项目开展</w:t>
      </w:r>
      <w:r>
        <w:rPr>
          <w:rFonts w:hint="eastAsia" w:cs="Times New Roman"/>
          <w:color w:val="auto"/>
          <w:highlight w:val="none"/>
        </w:rPr>
        <w:t>现场</w:t>
      </w:r>
      <w:r>
        <w:rPr>
          <w:rFonts w:cs="Times New Roman"/>
          <w:color w:val="auto"/>
          <w:highlight w:val="none"/>
        </w:rPr>
        <w:t>检查，下达8个项目监督检查整改意见函</w:t>
      </w:r>
      <w:r>
        <w:rPr>
          <w:rFonts w:hint="eastAsia" w:cs="Times New Roman"/>
          <w:color w:val="auto"/>
          <w:highlight w:val="none"/>
          <w:lang w:eastAsia="zh-CN"/>
        </w:rPr>
        <w:t>；</w:t>
      </w:r>
      <w:r>
        <w:rPr>
          <w:rFonts w:hint="eastAsia" w:cs="Times New Roman"/>
          <w:color w:val="auto"/>
          <w:highlight w:val="none"/>
          <w:lang w:val="en-US" w:eastAsia="zh-CN"/>
        </w:rPr>
        <w:t>完成生产建设项目自主</w:t>
      </w:r>
      <w:r>
        <w:rPr>
          <w:rFonts w:hint="eastAsia" w:cs="Times New Roman"/>
          <w:color w:val="auto"/>
          <w:highlight w:val="none"/>
          <w:lang w:eastAsia="zh-CN"/>
        </w:rPr>
        <w:t>验收5个；完成22个已审批的水土保持方案信息录入工作</w:t>
      </w:r>
      <w:r>
        <w:rPr>
          <w:rFonts w:cs="Times New Roman"/>
          <w:color w:val="auto"/>
          <w:highlight w:val="none"/>
        </w:rPr>
        <w:t>。全</w:t>
      </w:r>
      <w:r>
        <w:rPr>
          <w:rFonts w:hint="eastAsia" w:cs="Times New Roman"/>
          <w:color w:val="auto"/>
          <w:highlight w:val="none"/>
          <w:lang w:val="en-US" w:eastAsia="zh-CN"/>
        </w:rPr>
        <w:t>区</w:t>
      </w:r>
      <w:r>
        <w:rPr>
          <w:rFonts w:cs="Times New Roman"/>
          <w:color w:val="auto"/>
          <w:highlight w:val="none"/>
        </w:rPr>
        <w:t>人为造成的水土流失现象得到有效遏制。</w:t>
      </w:r>
    </w:p>
    <w:p>
      <w:pPr>
        <w:pStyle w:val="4"/>
        <w:spacing w:before="156"/>
        <w:ind w:firstLine="562"/>
        <w:rPr>
          <w:color w:val="auto"/>
          <w:highlight w:val="none"/>
        </w:rPr>
      </w:pPr>
      <w:bookmarkStart w:id="162" w:name="_Toc8034"/>
      <w:bookmarkStart w:id="163" w:name="_Toc101681437"/>
      <w:r>
        <w:rPr>
          <w:color w:val="auto"/>
          <w:highlight w:val="none"/>
          <w:lang w:val="en-US"/>
        </w:rPr>
        <w:t>2.4.3水土保持监测工作情况</w:t>
      </w:r>
      <w:bookmarkEnd w:id="162"/>
      <w:bookmarkEnd w:id="163"/>
    </w:p>
    <w:p>
      <w:pPr>
        <w:rPr>
          <w:rFonts w:cs="Times New Roman"/>
          <w:color w:val="auto"/>
          <w:highlight w:val="none"/>
        </w:rPr>
      </w:pPr>
      <w:r>
        <w:rPr>
          <w:rFonts w:cs="Times New Roman"/>
          <w:color w:val="auto"/>
          <w:highlight w:val="none"/>
        </w:rPr>
        <w:t>1991年水土保持法颁布实施后，广西壮族自治区水土保持监测站网设置三级机构，即自治区监测站、监测分站和监测点三级，并配备相应数量的监测人员。截至目前，柳江区尚未设立水土保持监测站点，站点监测仍处于空白。目前柳江区水土保持监测的主要内容为生产建设项目小范围的监测，以临时监测为主，常规化的监测未全面开展。</w:t>
      </w:r>
    </w:p>
    <w:p>
      <w:pPr>
        <w:pStyle w:val="3"/>
        <w:spacing w:before="156"/>
        <w:ind w:firstLine="602"/>
        <w:rPr>
          <w:color w:val="auto"/>
          <w:highlight w:val="none"/>
          <w:lang w:val="en-US"/>
        </w:rPr>
      </w:pPr>
      <w:bookmarkStart w:id="164" w:name="_Toc119515856"/>
      <w:bookmarkStart w:id="165" w:name="_Toc5114"/>
      <w:r>
        <w:rPr>
          <w:color w:val="auto"/>
          <w:highlight w:val="none"/>
          <w:lang w:val="en-US"/>
        </w:rPr>
        <w:t>2.5</w:t>
      </w:r>
      <w:r>
        <w:rPr>
          <w:rFonts w:hint="eastAsia"/>
          <w:color w:val="auto"/>
          <w:highlight w:val="none"/>
          <w:lang w:val="en-US"/>
        </w:rPr>
        <w:t>相关规划情况</w:t>
      </w:r>
      <w:bookmarkEnd w:id="164"/>
      <w:bookmarkEnd w:id="165"/>
    </w:p>
    <w:p>
      <w:pPr>
        <w:ind w:firstLineChars="0"/>
        <w:rPr>
          <w:rFonts w:hint="eastAsia" w:cs="Times New Roman"/>
          <w:color w:val="auto"/>
          <w:highlight w:val="none"/>
          <w:lang w:eastAsia="zh-CN"/>
        </w:rPr>
      </w:pPr>
      <w:r>
        <w:rPr>
          <w:rFonts w:hint="eastAsia" w:cs="Times New Roman"/>
          <w:color w:val="auto"/>
          <w:highlight w:val="none"/>
        </w:rPr>
        <w:t>根据《</w:t>
      </w:r>
      <w:r>
        <w:rPr>
          <w:rFonts w:hint="eastAsia" w:cs="Times New Roman"/>
          <w:color w:val="auto"/>
          <w:highlight w:val="none"/>
          <w:lang w:val="en-US" w:eastAsia="zh-CN"/>
        </w:rPr>
        <w:t>柳州市柳江区国民经济和社会发展第十四个五年规划刚要</w:t>
      </w:r>
      <w:r>
        <w:rPr>
          <w:rFonts w:hint="eastAsia" w:cs="Times New Roman"/>
          <w:color w:val="auto"/>
          <w:highlight w:val="none"/>
        </w:rPr>
        <w:t>》，“十四五”期间</w:t>
      </w:r>
      <w:r>
        <w:rPr>
          <w:rFonts w:hint="eastAsia" w:cs="Times New Roman"/>
          <w:color w:val="auto"/>
          <w:highlight w:val="none"/>
          <w:lang w:val="en-US" w:eastAsia="zh-CN"/>
        </w:rPr>
        <w:t>柳江区</w:t>
      </w:r>
      <w:r>
        <w:rPr>
          <w:rFonts w:hint="eastAsia" w:cs="Times New Roman"/>
          <w:color w:val="auto"/>
          <w:highlight w:val="none"/>
        </w:rPr>
        <w:t>将加强石漠化综合治理，推动石漠化治理与退耕还林、水土保持、人畜饮水、扶贫开发等生态工程的综合防治</w:t>
      </w:r>
      <w:r>
        <w:rPr>
          <w:rFonts w:hint="eastAsia" w:ascii="仿宋" w:hAnsi="仿宋" w:cs="仿宋"/>
          <w:color w:val="auto"/>
          <w:highlight w:val="none"/>
          <w:lang w:eastAsia="zh-CN"/>
        </w:rPr>
        <w:t>；建立健全尾叶桉退</w:t>
      </w:r>
      <w:r>
        <w:rPr>
          <w:rFonts w:hint="eastAsia" w:cs="Times New Roman"/>
          <w:color w:val="auto"/>
          <w:highlight w:val="none"/>
          <w:lang w:eastAsia="zh-CN"/>
        </w:rPr>
        <w:t>出机制，完善生态资源管护机制和生态补偿机制，采取封山管护、封山育林、工程治理等措施，强化辖区8个镇87.9万亩公益林的管护，特别是涉及森林生态效益补偿项目的92个行政村853个自然屯的公益林管护。加快推进柳江区乡村振兴生态环境建设项目，推进九曲河、保村河、三千河等中小河流整治、流域绿化，保护、整治天然水系。</w:t>
      </w:r>
    </w:p>
    <w:p>
      <w:pPr>
        <w:ind w:left="0" w:leftChars="0" w:firstLine="560" w:firstLineChars="200"/>
        <w:rPr>
          <w:rFonts w:hint="default" w:cs="Times New Roman"/>
          <w:color w:val="auto"/>
          <w:highlight w:val="none"/>
          <w:lang w:val="en-US" w:eastAsia="zh-CN"/>
        </w:rPr>
      </w:pPr>
      <w:r>
        <w:rPr>
          <w:rFonts w:hint="eastAsia" w:cs="Times New Roman"/>
          <w:color w:val="auto"/>
          <w:highlight w:val="none"/>
          <w:lang w:val="en-US" w:eastAsia="zh-CN"/>
        </w:rPr>
        <w:t>根据《柳州市柳江区农业产业发展“十四五”规划》，“十四五”期间，柳江区将新建高标准农田9万亩，其中：粮食高标准农田建设新增建成6万亩，糖料蔗高标准农田建设新增建成3万亩。推进耕地提质改造、全域土地综合整治、城乡建设用地增减挂钩和工矿废弃地复垦等项目实施。</w:t>
      </w:r>
    </w:p>
    <w:p>
      <w:pPr>
        <w:ind w:firstLine="600"/>
        <w:rPr>
          <w:rFonts w:hint="default"/>
          <w:color w:val="auto"/>
          <w:highlight w:val="none"/>
          <w:lang w:val="en-US" w:eastAsia="zh-CN"/>
        </w:rPr>
      </w:pPr>
      <w:r>
        <w:rPr>
          <w:rFonts w:hint="eastAsia" w:cs="Times New Roman"/>
          <w:color w:val="auto"/>
          <w:highlight w:val="none"/>
          <w:lang w:val="en-US" w:eastAsia="zh-CN"/>
        </w:rPr>
        <w:t>根据《</w:t>
      </w:r>
      <w:r>
        <w:rPr>
          <w:rFonts w:hint="eastAsia" w:cs="Times New Roman"/>
          <w:color w:val="auto"/>
          <w:highlight w:val="none"/>
        </w:rPr>
        <w:t>柳州市矿产资源总体规划</w:t>
      </w:r>
      <w:r>
        <w:rPr>
          <w:rFonts w:hint="eastAsia" w:cs="Times New Roman"/>
          <w:color w:val="auto"/>
          <w:highlight w:val="none"/>
          <w:lang w:eastAsia="zh-CN"/>
        </w:rPr>
        <w:t>（</w:t>
      </w:r>
      <w:r>
        <w:rPr>
          <w:rFonts w:hint="eastAsia" w:cs="Times New Roman"/>
          <w:color w:val="auto"/>
          <w:highlight w:val="none"/>
        </w:rPr>
        <w:t>2021</w:t>
      </w:r>
      <w:r>
        <w:rPr>
          <w:rFonts w:hint="eastAsia" w:cs="Times New Roman"/>
          <w:color w:val="auto"/>
          <w:highlight w:val="none"/>
          <w:lang w:eastAsia="zh-CN"/>
        </w:rPr>
        <w:t>—</w:t>
      </w:r>
      <w:r>
        <w:rPr>
          <w:rFonts w:hint="eastAsia" w:cs="Times New Roman"/>
          <w:color w:val="auto"/>
          <w:highlight w:val="none"/>
        </w:rPr>
        <w:t>2025年</w:t>
      </w:r>
      <w:r>
        <w:rPr>
          <w:rFonts w:hint="eastAsia" w:cs="Times New Roman"/>
          <w:color w:val="auto"/>
          <w:highlight w:val="none"/>
          <w:lang w:eastAsia="zh-CN"/>
        </w:rPr>
        <w:t>）》，</w:t>
      </w:r>
      <w:r>
        <w:rPr>
          <w:rFonts w:hint="eastAsia" w:cs="Times New Roman"/>
          <w:color w:val="auto"/>
          <w:highlight w:val="none"/>
          <w:lang w:val="en-US" w:eastAsia="zh-CN"/>
        </w:rPr>
        <w:t>柳江区砂石资源丰富，拥有</w:t>
      </w:r>
      <w:r>
        <w:rPr>
          <w:color w:val="auto"/>
          <w:highlight w:val="none"/>
        </w:rPr>
        <w:t>5大石灰石开发基地</w:t>
      </w:r>
      <w:r>
        <w:rPr>
          <w:rFonts w:hint="eastAsia"/>
          <w:color w:val="auto"/>
          <w:highlight w:val="none"/>
          <w:lang w:val="en-US" w:eastAsia="zh-CN"/>
        </w:rPr>
        <w:t>中的两大</w:t>
      </w:r>
      <w:r>
        <w:rPr>
          <w:color w:val="auto"/>
          <w:highlight w:val="none"/>
        </w:rPr>
        <w:t>开发基地</w:t>
      </w:r>
      <w:r>
        <w:rPr>
          <w:rFonts w:hint="eastAsia"/>
          <w:color w:val="auto"/>
          <w:highlight w:val="none"/>
          <w:lang w:val="en-US" w:eastAsia="zh-CN"/>
        </w:rPr>
        <w:t>（</w:t>
      </w:r>
      <w:r>
        <w:rPr>
          <w:color w:val="auto"/>
          <w:highlight w:val="none"/>
        </w:rPr>
        <w:t>柳江区黄岭、柳江区成团</w:t>
      </w:r>
      <w:r>
        <w:rPr>
          <w:rFonts w:hint="eastAsia"/>
          <w:color w:val="auto"/>
          <w:highlight w:val="none"/>
          <w:lang w:eastAsia="zh-CN"/>
        </w:rPr>
        <w:t>－</w:t>
      </w:r>
      <w:r>
        <w:rPr>
          <w:color w:val="auto"/>
          <w:highlight w:val="none"/>
        </w:rPr>
        <w:t>进德</w:t>
      </w:r>
      <w:r>
        <w:rPr>
          <w:rFonts w:hint="eastAsia"/>
          <w:color w:val="auto"/>
          <w:highlight w:val="none"/>
          <w:lang w:val="en-US" w:eastAsia="zh-CN"/>
        </w:rPr>
        <w:t>）</w:t>
      </w:r>
      <w:r>
        <w:rPr>
          <w:color w:val="auto"/>
          <w:highlight w:val="none"/>
        </w:rPr>
        <w:t>，有效保障柳州市社会和经济建设对砂石资源的需求。</w:t>
      </w:r>
      <w:r>
        <w:rPr>
          <w:rFonts w:hint="eastAsia" w:cs="Times New Roman"/>
          <w:color w:val="auto"/>
          <w:highlight w:val="none"/>
        </w:rPr>
        <w:t>2021</w:t>
      </w:r>
      <w:r>
        <w:rPr>
          <w:rFonts w:hint="eastAsia" w:cs="Times New Roman"/>
          <w:color w:val="auto"/>
          <w:highlight w:val="none"/>
          <w:lang w:eastAsia="zh-CN"/>
        </w:rPr>
        <w:t>—</w:t>
      </w:r>
      <w:r>
        <w:rPr>
          <w:rFonts w:hint="eastAsia" w:cs="Times New Roman"/>
          <w:color w:val="auto"/>
          <w:highlight w:val="none"/>
        </w:rPr>
        <w:t>2025年</w:t>
      </w:r>
      <w:r>
        <w:rPr>
          <w:rFonts w:hint="eastAsia" w:cs="Times New Roman"/>
          <w:color w:val="auto"/>
          <w:highlight w:val="none"/>
          <w:lang w:val="en-US" w:eastAsia="zh-CN"/>
        </w:rPr>
        <w:t>期间柳江区</w:t>
      </w:r>
      <w:bookmarkStart w:id="166" w:name="_Hlk66028710"/>
      <w:r>
        <w:rPr>
          <w:rFonts w:hint="eastAsia"/>
          <w:color w:val="auto"/>
          <w:highlight w:val="none"/>
          <w:lang w:val="en-US" w:eastAsia="zh-CN"/>
        </w:rPr>
        <w:t>涉及柳州市重要矿产资源开采规划区块</w:t>
      </w:r>
      <w:bookmarkEnd w:id="166"/>
      <w:r>
        <w:rPr>
          <w:rFonts w:hint="eastAsia"/>
          <w:color w:val="auto"/>
          <w:highlight w:val="none"/>
          <w:lang w:val="en-US" w:eastAsia="zh-CN"/>
        </w:rPr>
        <w:t>的有1个：柳州市柳江县中成矿业有限公司柳江县坡皂锰矿。涉及柳州市建筑石料及水泥用砂石已设采矿权保留区块的有2个：柳州市柳江区黄岭整合片区石灰岩矿、柳州市柳江区成团水泥厂南面采石场石灰岩矿。涉及柳州市建筑石料及水泥用砂石已设采矿权调整区块的有3个：柳州市柳江区百朋镇五九采石场石灰岩矿、柳州市柳江区穿山镇尖山（马仔岩）石灰岩矿、柳州市柳江区进德片区石灰岩矿。涉及柳州市建筑石料及水泥用砂石空白区新设区块的有4个：柳州市柳江区穿山镇掉茶山石灰岩矿、柳州市柳江区穿山镇白岩山石灰岩矿、柳州市柳江区穿山镇六庙村毛尖山石灰岩矿、柳州市柳江区穿山木团弄山口建筑用石灰岩矿。涉及柳州市饰面用砂石矿产已设采矿权保留区块的有3个：柳江县里高镇板六石灰岩矿、柳州熙宁贸易有限责任公司柳江县成团镇狮子山饰面用灰岩矿、柳江县成团镇大岭山石灰岩矿。涉及</w:t>
      </w:r>
      <w:r>
        <w:rPr>
          <w:rFonts w:hint="eastAsia"/>
          <w:color w:val="auto"/>
          <w:highlight w:val="none"/>
          <w:lang w:eastAsia="zh-CN"/>
        </w:rPr>
        <w:t>柳州市饰面用砂石矿产空白新设区块</w:t>
      </w:r>
      <w:r>
        <w:rPr>
          <w:rFonts w:hint="eastAsia"/>
          <w:color w:val="auto"/>
          <w:highlight w:val="none"/>
          <w:lang w:val="en-US" w:eastAsia="zh-CN"/>
        </w:rPr>
        <w:t>的有9个：</w:t>
      </w:r>
      <w:r>
        <w:rPr>
          <w:color w:val="auto"/>
          <w:highlight w:val="none"/>
        </w:rPr>
        <w:t>柳州市柳江区里高镇弄根山饰面用灰岩矿</w:t>
      </w:r>
      <w:r>
        <w:rPr>
          <w:rFonts w:hint="eastAsia"/>
          <w:color w:val="auto"/>
          <w:highlight w:val="none"/>
          <w:lang w:eastAsia="zh-CN"/>
        </w:rPr>
        <w:t>、</w:t>
      </w:r>
      <w:r>
        <w:rPr>
          <w:color w:val="auto"/>
          <w:highlight w:val="none"/>
        </w:rPr>
        <w:t>柳州市柳江区里高镇十八排山饰面用灰岩矿</w:t>
      </w:r>
      <w:r>
        <w:rPr>
          <w:rFonts w:hint="eastAsia"/>
          <w:color w:val="auto"/>
          <w:highlight w:val="none"/>
          <w:lang w:eastAsia="zh-CN"/>
        </w:rPr>
        <w:t>、</w:t>
      </w:r>
      <w:r>
        <w:rPr>
          <w:color w:val="auto"/>
          <w:highlight w:val="none"/>
        </w:rPr>
        <w:t>柳州市柳江区里高镇龙伞山饰面用灰岩矿</w:t>
      </w:r>
      <w:r>
        <w:rPr>
          <w:rFonts w:hint="eastAsia"/>
          <w:color w:val="auto"/>
          <w:highlight w:val="none"/>
          <w:lang w:eastAsia="zh-CN"/>
        </w:rPr>
        <w:t>、</w:t>
      </w:r>
      <w:r>
        <w:rPr>
          <w:color w:val="auto"/>
          <w:highlight w:val="none"/>
        </w:rPr>
        <w:t>柳州市柳江区里高镇铜灯山饰面用灰岩矿</w:t>
      </w:r>
      <w:r>
        <w:rPr>
          <w:rFonts w:hint="eastAsia"/>
          <w:color w:val="auto"/>
          <w:highlight w:val="none"/>
          <w:lang w:eastAsia="zh-CN"/>
        </w:rPr>
        <w:t>、</w:t>
      </w:r>
      <w:r>
        <w:rPr>
          <w:color w:val="auto"/>
          <w:highlight w:val="none"/>
        </w:rPr>
        <w:t>柳州市柳江区里高镇古盘山饰面用灰岩矿</w:t>
      </w:r>
      <w:r>
        <w:rPr>
          <w:rFonts w:hint="eastAsia"/>
          <w:color w:val="auto"/>
          <w:highlight w:val="none"/>
          <w:lang w:eastAsia="zh-CN"/>
        </w:rPr>
        <w:t>、</w:t>
      </w:r>
      <w:r>
        <w:rPr>
          <w:color w:val="auto"/>
          <w:highlight w:val="none"/>
        </w:rPr>
        <w:t>柳州市柳江区里高镇果排山饰面用灰岩矿</w:t>
      </w:r>
      <w:r>
        <w:rPr>
          <w:rFonts w:hint="eastAsia"/>
          <w:color w:val="auto"/>
          <w:highlight w:val="none"/>
          <w:lang w:eastAsia="zh-CN"/>
        </w:rPr>
        <w:t>、</w:t>
      </w:r>
      <w:r>
        <w:rPr>
          <w:color w:val="auto"/>
          <w:highlight w:val="none"/>
        </w:rPr>
        <w:t>柳州市柳江区里高镇牛屎坳饰面用灰岩矿</w:t>
      </w:r>
      <w:r>
        <w:rPr>
          <w:rFonts w:hint="eastAsia"/>
          <w:color w:val="auto"/>
          <w:highlight w:val="none"/>
          <w:lang w:eastAsia="zh-CN"/>
        </w:rPr>
        <w:t>、</w:t>
      </w:r>
      <w:r>
        <w:rPr>
          <w:color w:val="auto"/>
          <w:highlight w:val="none"/>
        </w:rPr>
        <w:t>柳州市柳江区里高镇板洞饰面用灰岩矿</w:t>
      </w:r>
      <w:r>
        <w:rPr>
          <w:rFonts w:hint="eastAsia"/>
          <w:color w:val="auto"/>
          <w:highlight w:val="none"/>
          <w:lang w:eastAsia="zh-CN"/>
        </w:rPr>
        <w:t>、</w:t>
      </w:r>
      <w:r>
        <w:rPr>
          <w:color w:val="auto"/>
          <w:highlight w:val="none"/>
        </w:rPr>
        <w:t>柳州市柳江区里高镇老席山饰面用灰岩矿</w:t>
      </w:r>
      <w:r>
        <w:rPr>
          <w:rFonts w:hint="eastAsia"/>
          <w:color w:val="auto"/>
          <w:highlight w:val="none"/>
          <w:lang w:val="en-US" w:eastAsia="zh-CN"/>
        </w:rPr>
        <w:t>。</w:t>
      </w:r>
    </w:p>
    <w:p>
      <w:pPr>
        <w:ind w:firstLineChars="0"/>
        <w:rPr>
          <w:rFonts w:hint="eastAsia" w:cs="Times New Roman"/>
          <w:color w:val="auto"/>
          <w:highlight w:val="none"/>
        </w:rPr>
      </w:pPr>
    </w:p>
    <w:p>
      <w:pPr>
        <w:pStyle w:val="2"/>
        <w:rPr>
          <w:color w:val="auto"/>
          <w:highlight w:val="none"/>
        </w:rPr>
      </w:pPr>
      <w:bookmarkStart w:id="167" w:name="_Toc101681438"/>
      <w:bookmarkStart w:id="168" w:name="_Toc11924"/>
      <w:bookmarkStart w:id="169" w:name="_Toc15207"/>
      <w:bookmarkStart w:id="170" w:name="_Toc528945987"/>
      <w:bookmarkStart w:id="171" w:name="_Toc90399090"/>
      <w:bookmarkStart w:id="172" w:name="_Toc482812762"/>
      <w:r>
        <w:rPr>
          <w:color w:val="auto"/>
          <w:highlight w:val="none"/>
        </w:rPr>
        <w:t>3水土保持现状评价与需求分析</w:t>
      </w:r>
      <w:bookmarkEnd w:id="167"/>
      <w:bookmarkEnd w:id="168"/>
      <w:bookmarkEnd w:id="169"/>
      <w:bookmarkEnd w:id="170"/>
      <w:bookmarkEnd w:id="171"/>
      <w:bookmarkEnd w:id="172"/>
    </w:p>
    <w:p>
      <w:pPr>
        <w:pStyle w:val="3"/>
        <w:spacing w:before="156"/>
        <w:ind w:firstLine="602"/>
        <w:rPr>
          <w:color w:val="auto"/>
          <w:highlight w:val="none"/>
          <w:lang w:val="en-US"/>
        </w:rPr>
      </w:pPr>
      <w:bookmarkStart w:id="173" w:name="_Toc482812764"/>
      <w:bookmarkStart w:id="174" w:name="_Toc528945988"/>
      <w:bookmarkStart w:id="175" w:name="_Toc1148"/>
      <w:bookmarkStart w:id="176" w:name="_Toc90399091"/>
      <w:bookmarkStart w:id="177" w:name="_Toc9458"/>
      <w:bookmarkStart w:id="178" w:name="_Toc101681439"/>
      <w:r>
        <w:rPr>
          <w:color w:val="auto"/>
          <w:highlight w:val="none"/>
        </w:rPr>
        <w:t>3.1水土保持</w:t>
      </w:r>
      <w:bookmarkEnd w:id="173"/>
      <w:r>
        <w:rPr>
          <w:color w:val="auto"/>
          <w:highlight w:val="none"/>
        </w:rPr>
        <w:t>现状</w:t>
      </w:r>
      <w:bookmarkEnd w:id="174"/>
      <w:bookmarkEnd w:id="175"/>
      <w:r>
        <w:rPr>
          <w:color w:val="auto"/>
          <w:highlight w:val="none"/>
          <w:lang w:val="en-US"/>
        </w:rPr>
        <w:t>评价</w:t>
      </w:r>
      <w:bookmarkEnd w:id="176"/>
      <w:bookmarkEnd w:id="177"/>
      <w:bookmarkEnd w:id="178"/>
    </w:p>
    <w:p>
      <w:pPr>
        <w:pStyle w:val="4"/>
        <w:spacing w:before="156"/>
        <w:ind w:firstLine="562"/>
        <w:rPr>
          <w:color w:val="auto"/>
          <w:highlight w:val="none"/>
        </w:rPr>
      </w:pPr>
      <w:bookmarkStart w:id="179" w:name="_Toc14991"/>
      <w:bookmarkStart w:id="180" w:name="_Toc101681440"/>
      <w:bookmarkStart w:id="181" w:name="_Toc13371"/>
      <w:r>
        <w:rPr>
          <w:color w:val="auto"/>
          <w:highlight w:val="none"/>
        </w:rPr>
        <w:t>3.1.1土地利用现状评价</w:t>
      </w:r>
      <w:bookmarkEnd w:id="179"/>
      <w:bookmarkEnd w:id="180"/>
    </w:p>
    <w:p>
      <w:pPr>
        <w:rPr>
          <w:rFonts w:cs="Times New Roman"/>
          <w:bCs/>
          <w:color w:val="auto"/>
          <w:highlight w:val="none"/>
        </w:rPr>
      </w:pPr>
      <w:r>
        <w:rPr>
          <w:rFonts w:cs="Times New Roman"/>
          <w:color w:val="auto"/>
          <w:highlight w:val="none"/>
        </w:rPr>
        <w:t>柳江区现有</w:t>
      </w:r>
      <w:r>
        <w:rPr>
          <w:rFonts w:cs="Times New Roman"/>
          <w:color w:val="auto"/>
          <w:highlight w:val="none"/>
          <w:lang w:val="en-GB"/>
        </w:rPr>
        <w:t>土地总面积</w:t>
      </w:r>
      <w:r>
        <w:rPr>
          <w:rFonts w:cs="Times New Roman"/>
          <w:color w:val="auto"/>
          <w:highlight w:val="none"/>
        </w:rPr>
        <w:t>1773</w:t>
      </w:r>
      <w:r>
        <w:rPr>
          <w:rFonts w:cs="Times New Roman"/>
          <w:color w:val="auto"/>
          <w:highlight w:val="none"/>
          <w:lang w:val="en-GB"/>
        </w:rPr>
        <w:t>km</w:t>
      </w:r>
      <w:r>
        <w:rPr>
          <w:rFonts w:cs="Times New Roman"/>
          <w:color w:val="auto"/>
          <w:highlight w:val="none"/>
          <w:vertAlign w:val="superscript"/>
        </w:rPr>
        <w:t>2</w:t>
      </w:r>
      <w:r>
        <w:rPr>
          <w:rFonts w:cs="Times New Roman"/>
          <w:color w:val="auto"/>
          <w:highlight w:val="none"/>
          <w:lang w:val="en-GB"/>
        </w:rPr>
        <w:t>。</w:t>
      </w:r>
      <w:r>
        <w:rPr>
          <w:rFonts w:cs="Times New Roman"/>
          <w:bCs/>
          <w:color w:val="auto"/>
          <w:highlight w:val="none"/>
        </w:rPr>
        <w:t>其中：耕地面积662.86km</w:t>
      </w:r>
      <w:r>
        <w:rPr>
          <w:rFonts w:cs="Times New Roman"/>
          <w:bCs/>
          <w:color w:val="auto"/>
          <w:highlight w:val="none"/>
          <w:vertAlign w:val="superscript"/>
        </w:rPr>
        <w:t>2</w:t>
      </w:r>
      <w:r>
        <w:rPr>
          <w:rFonts w:cs="Times New Roman"/>
          <w:bCs/>
          <w:color w:val="auto"/>
          <w:highlight w:val="none"/>
        </w:rPr>
        <w:t>，园地面积25.70km</w:t>
      </w:r>
      <w:r>
        <w:rPr>
          <w:rFonts w:cs="Times New Roman"/>
          <w:bCs/>
          <w:color w:val="auto"/>
          <w:highlight w:val="none"/>
          <w:vertAlign w:val="superscript"/>
        </w:rPr>
        <w:t>2</w:t>
      </w:r>
      <w:r>
        <w:rPr>
          <w:rFonts w:cs="Times New Roman"/>
          <w:bCs/>
          <w:color w:val="auto"/>
          <w:highlight w:val="none"/>
        </w:rPr>
        <w:t>，林地面积872.74km</w:t>
      </w:r>
      <w:r>
        <w:rPr>
          <w:rFonts w:cs="Times New Roman"/>
          <w:bCs/>
          <w:color w:val="auto"/>
          <w:highlight w:val="none"/>
          <w:vertAlign w:val="superscript"/>
        </w:rPr>
        <w:t>2</w:t>
      </w:r>
      <w:r>
        <w:rPr>
          <w:rFonts w:cs="Times New Roman"/>
          <w:bCs/>
          <w:color w:val="auto"/>
          <w:highlight w:val="none"/>
        </w:rPr>
        <w:t>，草地面积64.23km</w:t>
      </w:r>
      <w:r>
        <w:rPr>
          <w:rFonts w:cs="Times New Roman"/>
          <w:bCs/>
          <w:color w:val="auto"/>
          <w:highlight w:val="none"/>
          <w:vertAlign w:val="superscript"/>
        </w:rPr>
        <w:t>2</w:t>
      </w:r>
      <w:r>
        <w:rPr>
          <w:rFonts w:cs="Times New Roman"/>
          <w:bCs/>
          <w:color w:val="auto"/>
          <w:highlight w:val="none"/>
        </w:rPr>
        <w:t>，城镇村及公共用地面积80.95km</w:t>
      </w:r>
      <w:r>
        <w:rPr>
          <w:rFonts w:cs="Times New Roman"/>
          <w:bCs/>
          <w:color w:val="auto"/>
          <w:highlight w:val="none"/>
          <w:vertAlign w:val="superscript"/>
        </w:rPr>
        <w:t>2</w:t>
      </w:r>
      <w:r>
        <w:rPr>
          <w:rFonts w:cs="Times New Roman"/>
          <w:bCs/>
          <w:color w:val="auto"/>
          <w:highlight w:val="none"/>
        </w:rPr>
        <w:t>，交通运输用地13.85km</w:t>
      </w:r>
      <w:r>
        <w:rPr>
          <w:rFonts w:cs="Times New Roman"/>
          <w:bCs/>
          <w:color w:val="auto"/>
          <w:highlight w:val="none"/>
          <w:vertAlign w:val="superscript"/>
        </w:rPr>
        <w:t>2</w:t>
      </w:r>
      <w:r>
        <w:rPr>
          <w:rFonts w:cs="Times New Roman"/>
          <w:bCs/>
          <w:color w:val="auto"/>
          <w:highlight w:val="none"/>
        </w:rPr>
        <w:t>，水域及水利设施用地23.60km</w:t>
      </w:r>
      <w:r>
        <w:rPr>
          <w:rFonts w:cs="Times New Roman"/>
          <w:bCs/>
          <w:color w:val="auto"/>
          <w:highlight w:val="none"/>
          <w:vertAlign w:val="superscript"/>
        </w:rPr>
        <w:t>2</w:t>
      </w:r>
      <w:r>
        <w:rPr>
          <w:rFonts w:cs="Times New Roman"/>
          <w:bCs/>
          <w:color w:val="auto"/>
          <w:highlight w:val="none"/>
        </w:rPr>
        <w:t>，人为扰动用地29.07km</w:t>
      </w:r>
      <w:r>
        <w:rPr>
          <w:rFonts w:cs="Times New Roman"/>
          <w:bCs/>
          <w:color w:val="auto"/>
          <w:highlight w:val="none"/>
          <w:vertAlign w:val="superscript"/>
        </w:rPr>
        <w:t>2</w:t>
      </w:r>
      <w:r>
        <w:rPr>
          <w:rFonts w:cs="Times New Roman"/>
          <w:bCs/>
          <w:color w:val="auto"/>
          <w:highlight w:val="none"/>
        </w:rPr>
        <w:t>。</w:t>
      </w:r>
      <w:r>
        <w:rPr>
          <w:rFonts w:cs="Times New Roman"/>
          <w:color w:val="auto"/>
          <w:highlight w:val="none"/>
          <w:lang w:val="en-GB"/>
        </w:rPr>
        <w:t>柳江区现有</w:t>
      </w:r>
      <w:r>
        <w:rPr>
          <w:rFonts w:cs="Times New Roman"/>
          <w:bCs/>
          <w:color w:val="auto"/>
          <w:highlight w:val="none"/>
        </w:rPr>
        <w:t>坡耕地面积200.17km</w:t>
      </w:r>
      <w:r>
        <w:rPr>
          <w:rFonts w:cs="Times New Roman"/>
          <w:bCs/>
          <w:color w:val="auto"/>
          <w:highlight w:val="none"/>
          <w:vertAlign w:val="superscript"/>
        </w:rPr>
        <w:t>2</w:t>
      </w:r>
      <w:r>
        <w:rPr>
          <w:rFonts w:cs="Times New Roman"/>
          <w:bCs/>
          <w:color w:val="auto"/>
          <w:highlight w:val="none"/>
        </w:rPr>
        <w:t>，占总耕地面积的30.20%。柳江区坡耕地主要分布于穿山镇、百朋镇、土博镇，3个镇的坡耕地面积为159.99 km</w:t>
      </w:r>
      <w:r>
        <w:rPr>
          <w:rFonts w:cs="Times New Roman"/>
          <w:bCs/>
          <w:color w:val="auto"/>
          <w:highlight w:val="none"/>
          <w:vertAlign w:val="superscript"/>
        </w:rPr>
        <w:t>2</w:t>
      </w:r>
      <w:r>
        <w:rPr>
          <w:rFonts w:cs="Times New Roman"/>
          <w:bCs/>
          <w:color w:val="auto"/>
          <w:highlight w:val="none"/>
        </w:rPr>
        <w:t>，占总坡耕地面积的79.93%。其中穿山镇的坡耕地面积最大，为80.18km</w:t>
      </w:r>
      <w:r>
        <w:rPr>
          <w:rFonts w:cs="Times New Roman"/>
          <w:bCs/>
          <w:color w:val="auto"/>
          <w:highlight w:val="none"/>
          <w:vertAlign w:val="superscript"/>
        </w:rPr>
        <w:t>2</w:t>
      </w:r>
      <w:r>
        <w:rPr>
          <w:rFonts w:cs="Times New Roman"/>
          <w:bCs/>
          <w:color w:val="auto"/>
          <w:highlight w:val="none"/>
        </w:rPr>
        <w:t>，占总坡耕地面积的40.06%。</w:t>
      </w:r>
    </w:p>
    <w:p>
      <w:pPr>
        <w:rPr>
          <w:rFonts w:cs="Times New Roman"/>
          <w:color w:val="auto"/>
          <w:highlight w:val="none"/>
          <w:lang w:val="en-GB"/>
        </w:rPr>
      </w:pPr>
      <w:r>
        <w:rPr>
          <w:rFonts w:cs="Times New Roman"/>
          <w:color w:val="auto"/>
          <w:highlight w:val="none"/>
          <w:lang w:val="zh-CN"/>
        </w:rPr>
        <w:t>柳江区人口密度为284人/km</w:t>
      </w:r>
      <w:r>
        <w:rPr>
          <w:rFonts w:cs="Times New Roman"/>
          <w:bCs/>
          <w:color w:val="auto"/>
          <w:highlight w:val="none"/>
          <w:vertAlign w:val="superscript"/>
        </w:rPr>
        <w:t>2</w:t>
      </w:r>
      <w:r>
        <w:rPr>
          <w:rFonts w:cs="Times New Roman"/>
          <w:bCs/>
          <w:color w:val="auto"/>
          <w:highlight w:val="none"/>
        </w:rPr>
        <w:t>，人均土地面积较少</w:t>
      </w:r>
      <w:r>
        <w:rPr>
          <w:rFonts w:cs="Times New Roman"/>
          <w:color w:val="auto"/>
          <w:highlight w:val="none"/>
        </w:rPr>
        <w:t>。</w:t>
      </w:r>
      <w:r>
        <w:rPr>
          <w:rFonts w:cs="Times New Roman"/>
          <w:bCs/>
          <w:color w:val="auto"/>
          <w:highlight w:val="none"/>
        </w:rPr>
        <w:t>柳江区土地利用类型以林地和耕地为主，现有耕地面积662.86km</w:t>
      </w:r>
      <w:r>
        <w:rPr>
          <w:rFonts w:cs="Times New Roman"/>
          <w:bCs/>
          <w:color w:val="auto"/>
          <w:highlight w:val="none"/>
          <w:vertAlign w:val="superscript"/>
        </w:rPr>
        <w:t>2</w:t>
      </w:r>
      <w:r>
        <w:rPr>
          <w:rFonts w:cs="Times New Roman"/>
          <w:bCs/>
          <w:color w:val="auto"/>
          <w:highlight w:val="none"/>
        </w:rPr>
        <w:t>，占柳江区总土地面积的37.42%，主要分布于百朋镇、穿山镇、土博镇等3个乡镇，这些区域适宜开展土地整治、蓄水池、沉砂池等以维护农田生产力，促进农业增收的水土保持措施；</w:t>
      </w:r>
      <w:r>
        <w:rPr>
          <w:rFonts w:cs="Times New Roman"/>
          <w:color w:val="auto"/>
          <w:highlight w:val="none"/>
          <w:lang w:val="en-GB"/>
        </w:rPr>
        <w:t>柳江区现有耕地面积</w:t>
      </w:r>
      <w:r>
        <w:rPr>
          <w:rFonts w:cs="Times New Roman"/>
          <w:bCs/>
          <w:color w:val="auto"/>
          <w:highlight w:val="none"/>
        </w:rPr>
        <w:t>662.86km</w:t>
      </w:r>
      <w:r>
        <w:rPr>
          <w:rFonts w:cs="Times New Roman"/>
          <w:bCs/>
          <w:color w:val="auto"/>
          <w:highlight w:val="none"/>
          <w:vertAlign w:val="superscript"/>
        </w:rPr>
        <w:t>2</w:t>
      </w:r>
      <w:r>
        <w:rPr>
          <w:rFonts w:cs="Times New Roman"/>
          <w:bCs/>
          <w:color w:val="auto"/>
          <w:highlight w:val="none"/>
        </w:rPr>
        <w:t>，其中坡耕地面积200.17km</w:t>
      </w:r>
      <w:r>
        <w:rPr>
          <w:rFonts w:cs="Times New Roman"/>
          <w:bCs/>
          <w:color w:val="auto"/>
          <w:highlight w:val="none"/>
          <w:vertAlign w:val="superscript"/>
        </w:rPr>
        <w:t>2</w:t>
      </w:r>
      <w:r>
        <w:rPr>
          <w:rFonts w:cs="Times New Roman"/>
          <w:bCs/>
          <w:color w:val="auto"/>
          <w:highlight w:val="none"/>
        </w:rPr>
        <w:t>，主要分布于穿山镇，适宜开展坡耕地水土流失综合治理工程；柳江区现有林地面积872.74km</w:t>
      </w:r>
      <w:r>
        <w:rPr>
          <w:rFonts w:cs="Times New Roman"/>
          <w:bCs/>
          <w:color w:val="auto"/>
          <w:highlight w:val="none"/>
          <w:vertAlign w:val="superscript"/>
        </w:rPr>
        <w:t>2</w:t>
      </w:r>
      <w:r>
        <w:rPr>
          <w:rFonts w:cs="Times New Roman"/>
          <w:bCs/>
          <w:color w:val="auto"/>
          <w:highlight w:val="none"/>
        </w:rPr>
        <w:t>，占柳江区总土地面积的49.27%，主要分布于百朋镇、穿山镇、土博镇等3个乡镇，这些区域适宜开展以封育为主的水土保持自然修复措施。随着经济的发展，近年来</w:t>
      </w:r>
      <w:r>
        <w:rPr>
          <w:rFonts w:cs="Times New Roman"/>
          <w:color w:val="auto"/>
          <w:highlight w:val="none"/>
        </w:rPr>
        <w:t>柳江区房地产建设、交通工程、水利建设、各类矿产开发较多</w:t>
      </w:r>
      <w:r>
        <w:rPr>
          <w:rFonts w:cs="Times New Roman"/>
          <w:color w:val="auto"/>
          <w:highlight w:val="none"/>
          <w:lang w:val="en-GB"/>
        </w:rPr>
        <w:t>，</w:t>
      </w:r>
      <w:r>
        <w:rPr>
          <w:rFonts w:cs="Times New Roman"/>
          <w:bCs/>
          <w:color w:val="auto"/>
          <w:highlight w:val="none"/>
        </w:rPr>
        <w:t>城镇村及公共用地、交通运输用地占地面积为94.80km</w:t>
      </w:r>
      <w:r>
        <w:rPr>
          <w:rFonts w:cs="Times New Roman"/>
          <w:bCs/>
          <w:color w:val="auto"/>
          <w:highlight w:val="none"/>
          <w:vertAlign w:val="superscript"/>
        </w:rPr>
        <w:t>2</w:t>
      </w:r>
      <w:r>
        <w:rPr>
          <w:rFonts w:cs="Times New Roman"/>
          <w:bCs/>
          <w:color w:val="auto"/>
          <w:highlight w:val="none"/>
        </w:rPr>
        <w:t>，占土地总面积的5.35%，主要分布在拉堡镇、进德镇、穿山镇，在规划期内，比重还会进一步提升，这三个镇应加强生产建设项目水土保持监管，进一步遏制</w:t>
      </w:r>
      <w:r>
        <w:rPr>
          <w:rFonts w:hint="eastAsia" w:cs="Times New Roman"/>
          <w:bCs/>
          <w:color w:val="auto"/>
          <w:highlight w:val="none"/>
          <w:lang w:eastAsia="zh-CN"/>
        </w:rPr>
        <w:t>生产建设</w:t>
      </w:r>
      <w:r>
        <w:rPr>
          <w:rFonts w:cs="Times New Roman"/>
          <w:bCs/>
          <w:color w:val="auto"/>
          <w:highlight w:val="none"/>
        </w:rPr>
        <w:t>造成的水土流失。</w:t>
      </w:r>
    </w:p>
    <w:p>
      <w:pPr>
        <w:pStyle w:val="4"/>
        <w:spacing w:before="156"/>
        <w:ind w:firstLine="562"/>
        <w:rPr>
          <w:color w:val="auto"/>
          <w:highlight w:val="none"/>
        </w:rPr>
      </w:pPr>
      <w:bookmarkStart w:id="182" w:name="_Toc101681441"/>
      <w:bookmarkStart w:id="183" w:name="_Toc28143"/>
      <w:r>
        <w:rPr>
          <w:color w:val="auto"/>
          <w:highlight w:val="none"/>
        </w:rPr>
        <w:t>3.1.2水土流失消长评价</w:t>
      </w:r>
      <w:bookmarkEnd w:id="181"/>
      <w:bookmarkEnd w:id="182"/>
      <w:bookmarkEnd w:id="183"/>
    </w:p>
    <w:p>
      <w:pPr>
        <w:rPr>
          <w:rFonts w:hint="eastAsia" w:cs="Times New Roman"/>
          <w:color w:val="auto"/>
          <w:highlight w:val="none"/>
        </w:rPr>
      </w:pPr>
      <w:r>
        <w:rPr>
          <w:rFonts w:cs="Times New Roman"/>
          <w:color w:val="auto"/>
          <w:highlight w:val="none"/>
          <w:lang w:val="zh-CN"/>
        </w:rPr>
        <w:t>近年来，由于经济的飞速发展，柳江区各类交通工程、房地产建设、矿产开发、水利建设等活动增多，柳江区人为水土流失面积增多，但是柳江区开展的水土流失治理工作很好</w:t>
      </w:r>
      <w:r>
        <w:rPr>
          <w:rFonts w:hint="eastAsia" w:cs="Times New Roman"/>
          <w:color w:val="auto"/>
          <w:highlight w:val="none"/>
          <w:lang w:val="zh-CN"/>
        </w:rPr>
        <w:t>地</w:t>
      </w:r>
      <w:r>
        <w:rPr>
          <w:rFonts w:cs="Times New Roman"/>
          <w:color w:val="auto"/>
          <w:highlight w:val="none"/>
          <w:lang w:val="zh-CN"/>
        </w:rPr>
        <w:t>遏制住了县区内水土流失面积增长</w:t>
      </w:r>
      <w:bookmarkStart w:id="184" w:name="_Hlk527729068"/>
      <w:r>
        <w:rPr>
          <w:rFonts w:cs="Times New Roman"/>
          <w:color w:val="auto"/>
          <w:highlight w:val="none"/>
          <w:lang w:val="zh-CN"/>
        </w:rPr>
        <w:t>，</w:t>
      </w:r>
      <w:r>
        <w:rPr>
          <w:rFonts w:cs="Times New Roman"/>
          <w:color w:val="auto"/>
          <w:highlight w:val="none"/>
        </w:rPr>
        <w:t>同时，受亚热带季风气候的影响，柳江区常年雨量充沛，气候温和，光照充足，植被生长迅速，自然生态修复快，对水土流失起到了一定的防治作用</w:t>
      </w:r>
      <w:r>
        <w:rPr>
          <w:rFonts w:cs="Times New Roman"/>
          <w:color w:val="auto"/>
          <w:highlight w:val="none"/>
          <w:lang w:val="zh-CN"/>
        </w:rPr>
        <w:t>。</w:t>
      </w:r>
      <w:r>
        <w:rPr>
          <w:rFonts w:cs="Times New Roman"/>
          <w:color w:val="auto"/>
          <w:highlight w:val="none"/>
        </w:rPr>
        <w:t>柳江区现有</w:t>
      </w:r>
      <w:r>
        <w:rPr>
          <w:rFonts w:cs="Times New Roman"/>
          <w:color w:val="auto"/>
          <w:highlight w:val="none"/>
          <w:lang w:val="zh-CN"/>
        </w:rPr>
        <w:t>水土流失面积</w:t>
      </w:r>
      <w:bookmarkEnd w:id="184"/>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，以轻度侵蚀为主，侵蚀类型为水蚀。</w:t>
      </w:r>
      <w:r>
        <w:rPr>
          <w:rFonts w:cs="Times New Roman"/>
          <w:color w:val="auto"/>
          <w:highlight w:val="none"/>
        </w:rPr>
        <w:t>与</w:t>
      </w:r>
      <w:r>
        <w:rPr>
          <w:rFonts w:cs="Times New Roman"/>
          <w:color w:val="auto"/>
          <w:highlight w:val="none"/>
          <w:lang w:val="zh-CN"/>
        </w:rPr>
        <w:t>2018年</w:t>
      </w:r>
      <w:r>
        <w:rPr>
          <w:rFonts w:cs="Times New Roman"/>
          <w:color w:val="auto"/>
          <w:highlight w:val="none"/>
        </w:rPr>
        <w:t>全国水土流失动态监测柳江区的</w:t>
      </w:r>
      <w:r>
        <w:rPr>
          <w:rFonts w:cs="Times New Roman"/>
          <w:color w:val="auto"/>
          <w:highlight w:val="none"/>
          <w:lang w:val="zh-CN"/>
        </w:rPr>
        <w:t>水土流失面积</w:t>
      </w:r>
      <w:r>
        <w:rPr>
          <w:rFonts w:cs="Times New Roman"/>
          <w:color w:val="auto"/>
          <w:highlight w:val="none"/>
        </w:rPr>
        <w:t>400.97</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相比，</w:t>
      </w:r>
      <w:r>
        <w:rPr>
          <w:rFonts w:cs="Times New Roman"/>
          <w:color w:val="auto"/>
          <w:highlight w:val="none"/>
        </w:rPr>
        <w:t>城区水土流失面积减少10.21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。从柳江区不同土壤侵蚀强度面积变化情况来看，与2018年相比，2021年柳江区轻度、中度侵蚀面积分别增加了23.05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、1.62</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w:t>
      </w:r>
      <w:r>
        <w:rPr>
          <w:rFonts w:cs="Times New Roman"/>
          <w:color w:val="auto"/>
          <w:highlight w:val="none"/>
        </w:rPr>
        <w:t>强烈、极强烈、剧烈侵蚀面积分别减少13.65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、10.29</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、10.94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。2018年以来，柳江区</w:t>
      </w:r>
      <w:r>
        <w:rPr>
          <w:rFonts w:cs="Times New Roman"/>
          <w:color w:val="auto"/>
          <w:highlight w:val="none"/>
          <w:lang w:val="zh-CN"/>
        </w:rPr>
        <w:t>水土流失</w:t>
      </w:r>
      <w:r>
        <w:rPr>
          <w:rFonts w:cs="Times New Roman"/>
          <w:color w:val="auto"/>
          <w:highlight w:val="none"/>
        </w:rPr>
        <w:t>情况有所改善，全</w:t>
      </w:r>
      <w:r>
        <w:rPr>
          <w:rFonts w:hint="eastAsia" w:cs="Times New Roman"/>
          <w:color w:val="auto"/>
          <w:highlight w:val="none"/>
          <w:lang w:val="en-US" w:eastAsia="zh-CN"/>
        </w:rPr>
        <w:t>区</w:t>
      </w:r>
      <w:r>
        <w:rPr>
          <w:rFonts w:cs="Times New Roman"/>
          <w:color w:val="auto"/>
          <w:highlight w:val="none"/>
        </w:rPr>
        <w:t>水土流失面积减少10.21</w:t>
      </w:r>
      <w:r>
        <w:rPr>
          <w:rFonts w:cs="Times New Roman"/>
          <w:color w:val="auto"/>
          <w:highlight w:val="none"/>
          <w:lang w:val="zh-CN"/>
        </w:rPr>
        <w:t xml:space="preserve"> km</w:t>
      </w:r>
      <w:r>
        <w:rPr>
          <w:rFonts w:cs="Times New Roman"/>
          <w:color w:val="auto"/>
          <w:highlight w:val="none"/>
          <w:vertAlign w:val="superscript"/>
          <w:lang w:val="zh-CN"/>
        </w:rPr>
        <w:t>2</w:t>
      </w:r>
      <w:r>
        <w:rPr>
          <w:rFonts w:cs="Times New Roman"/>
          <w:color w:val="auto"/>
          <w:highlight w:val="none"/>
        </w:rPr>
        <w:t>，同时水土流失强度降低。部分强烈以上侵蚀转换为轻度和中度侵蚀，强烈以上侵蚀面积明显减少，这主要是由于县区群众自发种植树木以及各种生态治理类项目实施导致城区林地面积增加，水土流失面积减少，很好</w:t>
      </w:r>
      <w:r>
        <w:rPr>
          <w:rFonts w:hint="eastAsia" w:cs="Times New Roman"/>
          <w:color w:val="auto"/>
          <w:highlight w:val="none"/>
          <w:lang w:eastAsia="zh-CN"/>
        </w:rPr>
        <w:t>地</w:t>
      </w:r>
      <w:r>
        <w:rPr>
          <w:rFonts w:cs="Times New Roman"/>
          <w:color w:val="auto"/>
          <w:highlight w:val="none"/>
        </w:rPr>
        <w:t>达到了防治水土流失的效果。</w:t>
      </w:r>
      <w:r>
        <w:rPr>
          <w:rFonts w:hint="eastAsia" w:cs="Times New Roman"/>
          <w:color w:val="auto"/>
          <w:highlight w:val="none"/>
        </w:rPr>
        <w:t>各乡镇水土流失消长情况具体如下：</w:t>
      </w:r>
    </w:p>
    <w:p>
      <w:pPr>
        <w:rPr>
          <w:rFonts w:cs="Times New Roman"/>
          <w:color w:val="auto"/>
          <w:highlight w:val="none"/>
        </w:rPr>
      </w:pPr>
      <w:r>
        <w:rPr>
          <w:rFonts w:hint="eastAsia" w:cs="Times New Roman"/>
          <w:color w:val="auto"/>
          <w:highlight w:val="none"/>
          <w:lang w:val="en-US" w:eastAsia="zh-CN"/>
        </w:rPr>
        <w:t>拉堡镇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4.60</w:t>
      </w:r>
      <w:r>
        <w:rPr>
          <w:rFonts w:cs="Times New Roman"/>
          <w:color w:val="auto"/>
          <w:highlight w:val="none"/>
          <w:lang w:val="zh-CN"/>
        </w:rPr>
        <w:t xml:space="preserve"> 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拉堡镇</w:t>
      </w:r>
      <w:r>
        <w:rPr>
          <w:rFonts w:hint="eastAsia" w:cs="Times New Roman"/>
          <w:color w:val="auto"/>
          <w:highlight w:val="none"/>
        </w:rPr>
        <w:t>水土流失面积</w:t>
      </w:r>
      <w:r>
        <w:rPr>
          <w:rFonts w:hint="eastAsia" w:cs="Times New Roman"/>
          <w:color w:val="auto"/>
          <w:highlight w:val="none"/>
          <w:lang w:val="en-US" w:eastAsia="zh-CN"/>
        </w:rPr>
        <w:t>减少</w:t>
      </w:r>
      <w:r>
        <w:rPr>
          <w:rFonts w:hint="eastAsia" w:cs="Times New Roman"/>
          <w:color w:val="auto"/>
          <w:highlight w:val="none"/>
        </w:rPr>
        <w:t>了</w:t>
      </w:r>
      <w:r>
        <w:rPr>
          <w:rFonts w:hint="eastAsia" w:cs="Times New Roman"/>
          <w:color w:val="auto"/>
          <w:highlight w:val="none"/>
          <w:lang w:val="en-US" w:eastAsia="zh-CN"/>
        </w:rPr>
        <w:t>0.78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其中中度、强烈</w:t>
      </w:r>
      <w:r>
        <w:rPr>
          <w:rFonts w:hint="eastAsia" w:cs="Times New Roman"/>
          <w:color w:val="auto"/>
          <w:highlight w:val="none"/>
          <w:lang w:eastAsia="zh-CN"/>
        </w:rPr>
        <w:t>、</w:t>
      </w:r>
      <w:r>
        <w:rPr>
          <w:rFonts w:cs="Times New Roman"/>
          <w:color w:val="auto"/>
          <w:highlight w:val="none"/>
        </w:rPr>
        <w:t>极强烈、剧烈侵蚀面积分别减少了</w:t>
      </w:r>
      <w:r>
        <w:rPr>
          <w:rFonts w:hint="eastAsia" w:cs="Times New Roman"/>
          <w:color w:val="auto"/>
          <w:highlight w:val="none"/>
          <w:lang w:val="en-US" w:eastAsia="zh-CN"/>
        </w:rPr>
        <w:t>0.03</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0.27</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lang w:eastAsia="zh-CN"/>
        </w:rPr>
        <w:t>、</w:t>
      </w:r>
      <w:r>
        <w:rPr>
          <w:rFonts w:hint="eastAsia" w:cs="Times New Roman"/>
          <w:color w:val="auto"/>
          <w:highlight w:val="none"/>
          <w:lang w:val="en-US" w:eastAsia="zh-CN"/>
        </w:rPr>
        <w:t>0.24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vertAlign w:val="baseline"/>
          <w:lang w:val="zh-CN"/>
        </w:rPr>
        <w:t>、</w:t>
      </w:r>
      <w:r>
        <w:rPr>
          <w:rFonts w:hint="eastAsia" w:cs="Times New Roman"/>
          <w:color w:val="auto"/>
          <w:highlight w:val="none"/>
          <w:lang w:val="en-US" w:eastAsia="zh-CN"/>
        </w:rPr>
        <w:t>0.24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vertAlign w:val="baseline"/>
          <w:lang w:val="zh-CN"/>
        </w:rPr>
        <w:t>。</w:t>
      </w:r>
      <w:r>
        <w:rPr>
          <w:rFonts w:hint="eastAsia" w:cs="Times New Roman"/>
          <w:color w:val="auto"/>
          <w:highlight w:val="none"/>
          <w:lang w:val="en-US" w:eastAsia="zh-CN"/>
        </w:rPr>
        <w:t>拉堡镇</w:t>
      </w:r>
      <w:r>
        <w:rPr>
          <w:rFonts w:hint="eastAsia" w:cs="Times New Roman"/>
          <w:color w:val="auto"/>
          <w:highlight w:val="none"/>
        </w:rPr>
        <w:t>是</w:t>
      </w:r>
      <w:r>
        <w:rPr>
          <w:rFonts w:hint="eastAsia" w:cs="Times New Roman"/>
          <w:color w:val="auto"/>
          <w:highlight w:val="none"/>
          <w:lang w:val="en-US" w:eastAsia="zh-CN"/>
        </w:rPr>
        <w:t>柳江区</w:t>
      </w:r>
      <w:r>
        <w:rPr>
          <w:rFonts w:hint="eastAsia" w:cs="Times New Roman"/>
          <w:color w:val="auto"/>
          <w:highlight w:val="none"/>
        </w:rPr>
        <w:t>人民政府所在地，是</w:t>
      </w:r>
      <w:r>
        <w:rPr>
          <w:rFonts w:hint="eastAsia" w:cs="Times New Roman"/>
          <w:color w:val="auto"/>
          <w:highlight w:val="none"/>
          <w:lang w:val="en-US" w:eastAsia="zh-CN"/>
        </w:rPr>
        <w:t>柳江区</w:t>
      </w:r>
      <w:r>
        <w:rPr>
          <w:rFonts w:hint="eastAsia" w:cs="Times New Roman"/>
          <w:color w:val="auto"/>
          <w:highlight w:val="none"/>
        </w:rPr>
        <w:t>政治、经济、文化、交通中心。</w:t>
      </w:r>
      <w:r>
        <w:rPr>
          <w:rFonts w:hint="eastAsia" w:cs="Times New Roman"/>
          <w:color w:val="auto"/>
          <w:highlight w:val="none"/>
          <w:lang w:val="en-US" w:eastAsia="zh-CN"/>
        </w:rPr>
        <w:t>拉堡镇</w:t>
      </w:r>
      <w:r>
        <w:rPr>
          <w:rFonts w:hint="eastAsia" w:cs="Times New Roman"/>
          <w:color w:val="auto"/>
          <w:highlight w:val="none"/>
        </w:rPr>
        <w:t>近几年水土流失面积减少的同时水土流失强度也进一步降低，水土流失治理成效显著。</w:t>
      </w:r>
    </w:p>
    <w:p>
      <w:pPr>
        <w:rPr>
          <w:rFonts w:cs="Times New Roman"/>
          <w:color w:val="auto"/>
          <w:highlight w:val="none"/>
        </w:rPr>
      </w:pPr>
      <w:r>
        <w:rPr>
          <w:rFonts w:hint="eastAsia" w:cs="Times New Roman"/>
          <w:color w:val="auto"/>
          <w:highlight w:val="none"/>
          <w:lang w:eastAsia="zh-CN"/>
        </w:rPr>
        <w:t>进德镇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27.25</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eastAsia="zh-CN"/>
        </w:rPr>
        <w:t>进德镇</w:t>
      </w:r>
      <w:r>
        <w:rPr>
          <w:rFonts w:hint="eastAsia" w:cs="Times New Roman"/>
          <w:color w:val="auto"/>
          <w:highlight w:val="none"/>
        </w:rPr>
        <w:t>水土流失面积</w:t>
      </w:r>
      <w:r>
        <w:rPr>
          <w:rFonts w:hint="eastAsia" w:cs="Times New Roman"/>
          <w:color w:val="auto"/>
          <w:highlight w:val="none"/>
          <w:lang w:val="en-US" w:eastAsia="zh-CN"/>
        </w:rPr>
        <w:t>减少</w:t>
      </w:r>
      <w:r>
        <w:rPr>
          <w:rFonts w:hint="eastAsia" w:cs="Times New Roman"/>
          <w:color w:val="auto"/>
          <w:highlight w:val="none"/>
        </w:rPr>
        <w:t>了</w:t>
      </w:r>
      <w:r>
        <w:rPr>
          <w:rFonts w:hint="eastAsia" w:cs="Times New Roman"/>
          <w:color w:val="auto"/>
          <w:highlight w:val="none"/>
          <w:lang w:val="en-US" w:eastAsia="zh-CN"/>
        </w:rPr>
        <w:t>5.93</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cs="Times New Roman"/>
          <w:color w:val="auto"/>
          <w:highlight w:val="none"/>
        </w:rPr>
        <w:t>侵蚀面积增加了</w:t>
      </w:r>
      <w:r>
        <w:rPr>
          <w:rFonts w:hint="eastAsia" w:cs="Times New Roman"/>
          <w:color w:val="auto"/>
          <w:highlight w:val="none"/>
          <w:lang w:val="en-US" w:eastAsia="zh-CN"/>
        </w:rPr>
        <w:t>1.35</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；中度、强烈、</w:t>
      </w:r>
      <w:r>
        <w:rPr>
          <w:rFonts w:cs="Times New Roman"/>
          <w:color w:val="auto"/>
          <w:highlight w:val="none"/>
        </w:rPr>
        <w:t>极强烈、剧烈侵蚀面积分别减少了</w:t>
      </w:r>
      <w:r>
        <w:rPr>
          <w:rFonts w:hint="eastAsia" w:cs="Times New Roman"/>
          <w:color w:val="auto"/>
          <w:highlight w:val="none"/>
          <w:lang w:val="en-US" w:eastAsia="zh-CN"/>
        </w:rPr>
        <w:t>2.03</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1.66</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1.59</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1.99</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。2</w:t>
      </w:r>
      <w:r>
        <w:rPr>
          <w:rFonts w:cs="Times New Roman"/>
          <w:color w:val="auto"/>
          <w:highlight w:val="none"/>
        </w:rPr>
        <w:t>018</w:t>
      </w:r>
      <w:r>
        <w:rPr>
          <w:rFonts w:hint="eastAsia" w:cs="Times New Roman"/>
          <w:color w:val="auto"/>
          <w:highlight w:val="none"/>
        </w:rPr>
        <w:t>年以来</w:t>
      </w:r>
      <w:r>
        <w:rPr>
          <w:rFonts w:hint="eastAsia" w:cs="Times New Roman"/>
          <w:color w:val="auto"/>
          <w:highlight w:val="none"/>
          <w:lang w:eastAsia="zh-CN"/>
        </w:rPr>
        <w:t>进德镇</w:t>
      </w:r>
      <w:r>
        <w:rPr>
          <w:rFonts w:hint="eastAsia" w:cs="Times New Roman"/>
          <w:color w:val="auto"/>
          <w:highlight w:val="none"/>
        </w:rPr>
        <w:t>虽然轻度侵蚀水土流失面积有所增加，但是中度侵蚀以上的水土流失面积都有减少，</w:t>
      </w:r>
      <w:r>
        <w:rPr>
          <w:rFonts w:hint="eastAsia" w:cs="Times New Roman"/>
          <w:color w:val="auto"/>
          <w:highlight w:val="none"/>
          <w:lang w:val="en-US" w:eastAsia="zh-CN"/>
        </w:rPr>
        <w:t>总体来说水土流失面积和</w:t>
      </w:r>
      <w:r>
        <w:rPr>
          <w:rFonts w:hint="eastAsia" w:cs="Times New Roman"/>
          <w:color w:val="auto"/>
          <w:highlight w:val="none"/>
        </w:rPr>
        <w:t>水土流失强度</w:t>
      </w:r>
      <w:r>
        <w:rPr>
          <w:rFonts w:hint="eastAsia" w:cs="Times New Roman"/>
          <w:color w:val="auto"/>
          <w:highlight w:val="none"/>
          <w:lang w:val="en-US" w:eastAsia="zh-CN"/>
        </w:rPr>
        <w:t>呈现双</w:t>
      </w:r>
      <w:r>
        <w:rPr>
          <w:rFonts w:hint="eastAsia" w:cs="Times New Roman"/>
          <w:color w:val="auto"/>
          <w:highlight w:val="none"/>
        </w:rPr>
        <w:t>降低</w:t>
      </w:r>
      <w:r>
        <w:rPr>
          <w:rFonts w:hint="eastAsia" w:cs="Times New Roman"/>
          <w:color w:val="auto"/>
          <w:highlight w:val="none"/>
          <w:lang w:val="en-US" w:eastAsia="zh-CN"/>
        </w:rPr>
        <w:t>趋势，</w:t>
      </w:r>
      <w:r>
        <w:rPr>
          <w:rFonts w:hint="eastAsia" w:cs="Times New Roman"/>
          <w:color w:val="auto"/>
          <w:highlight w:val="none"/>
        </w:rPr>
        <w:t>水土流失治理成效显著。</w:t>
      </w:r>
    </w:p>
    <w:p>
      <w:pPr>
        <w:rPr>
          <w:rFonts w:cs="Times New Roman"/>
          <w:color w:val="auto"/>
          <w:highlight w:val="none"/>
        </w:rPr>
      </w:pPr>
      <w:r>
        <w:rPr>
          <w:rFonts w:hint="eastAsia" w:cs="Times New Roman"/>
          <w:color w:val="auto"/>
          <w:highlight w:val="none"/>
          <w:lang w:val="en-US" w:eastAsia="zh-CN"/>
        </w:rPr>
        <w:t>成团镇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24.18</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成团镇</w:t>
      </w:r>
      <w:r>
        <w:rPr>
          <w:rFonts w:hint="eastAsia" w:cs="Times New Roman"/>
          <w:color w:val="auto"/>
          <w:highlight w:val="none"/>
        </w:rPr>
        <w:t>水土流失面积</w:t>
      </w:r>
      <w:r>
        <w:rPr>
          <w:rFonts w:hint="eastAsia" w:cs="Times New Roman"/>
          <w:color w:val="auto"/>
          <w:highlight w:val="none"/>
          <w:lang w:val="en-US" w:eastAsia="zh-CN"/>
        </w:rPr>
        <w:t>减少</w:t>
      </w:r>
      <w:r>
        <w:rPr>
          <w:rFonts w:hint="eastAsia" w:cs="Times New Roman"/>
          <w:color w:val="auto"/>
          <w:highlight w:val="none"/>
        </w:rPr>
        <w:t>了</w:t>
      </w:r>
      <w:r>
        <w:rPr>
          <w:rFonts w:hint="eastAsia" w:cs="Times New Roman"/>
          <w:color w:val="auto"/>
          <w:highlight w:val="none"/>
          <w:lang w:val="en-US" w:eastAsia="zh-CN"/>
        </w:rPr>
        <w:t>6.50</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cs="Times New Roman"/>
          <w:color w:val="auto"/>
          <w:highlight w:val="none"/>
        </w:rPr>
        <w:t>侵蚀面积增加了</w:t>
      </w:r>
      <w:r>
        <w:rPr>
          <w:rFonts w:hint="eastAsia" w:cs="Times New Roman"/>
          <w:color w:val="auto"/>
          <w:highlight w:val="none"/>
          <w:lang w:val="en-US" w:eastAsia="zh-CN"/>
        </w:rPr>
        <w:t>4.87</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；中度、强烈、</w:t>
      </w:r>
      <w:r>
        <w:rPr>
          <w:rFonts w:cs="Times New Roman"/>
          <w:color w:val="auto"/>
          <w:highlight w:val="none"/>
        </w:rPr>
        <w:t>极强烈、剧烈侵蚀面积分别减少了</w:t>
      </w:r>
      <w:r>
        <w:rPr>
          <w:rFonts w:hint="eastAsia" w:cs="Times New Roman"/>
          <w:color w:val="auto"/>
          <w:highlight w:val="none"/>
          <w:lang w:val="en-US" w:eastAsia="zh-CN"/>
        </w:rPr>
        <w:t>4.04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2.29</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2.37</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2.66</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。2</w:t>
      </w:r>
      <w:r>
        <w:rPr>
          <w:rFonts w:cs="Times New Roman"/>
          <w:color w:val="auto"/>
          <w:highlight w:val="none"/>
        </w:rPr>
        <w:t>018</w:t>
      </w:r>
      <w:r>
        <w:rPr>
          <w:rFonts w:hint="eastAsia" w:cs="Times New Roman"/>
          <w:color w:val="auto"/>
          <w:highlight w:val="none"/>
        </w:rPr>
        <w:t>年以来</w:t>
      </w:r>
      <w:r>
        <w:rPr>
          <w:rFonts w:hint="eastAsia" w:cs="Times New Roman"/>
          <w:color w:val="auto"/>
          <w:highlight w:val="none"/>
          <w:lang w:val="en-US" w:eastAsia="zh-CN"/>
        </w:rPr>
        <w:t>成团镇</w:t>
      </w:r>
      <w:r>
        <w:rPr>
          <w:rFonts w:hint="eastAsia" w:cs="Times New Roman"/>
          <w:color w:val="auto"/>
          <w:highlight w:val="none"/>
        </w:rPr>
        <w:t>虽然轻度侵蚀水土流失面积有所增加，但是中度侵蚀以上的水土流失面积都有减少，</w:t>
      </w:r>
      <w:r>
        <w:rPr>
          <w:rFonts w:hint="eastAsia" w:cs="Times New Roman"/>
          <w:color w:val="auto"/>
          <w:highlight w:val="none"/>
          <w:lang w:val="en-US" w:eastAsia="zh-CN"/>
        </w:rPr>
        <w:t>总体来说水土流失面积和</w:t>
      </w:r>
      <w:r>
        <w:rPr>
          <w:rFonts w:hint="eastAsia" w:cs="Times New Roman"/>
          <w:color w:val="auto"/>
          <w:highlight w:val="none"/>
        </w:rPr>
        <w:t>水土流失强度</w:t>
      </w:r>
      <w:r>
        <w:rPr>
          <w:rFonts w:hint="eastAsia" w:cs="Times New Roman"/>
          <w:color w:val="auto"/>
          <w:highlight w:val="none"/>
          <w:lang w:val="en-US" w:eastAsia="zh-CN"/>
        </w:rPr>
        <w:t>呈现双</w:t>
      </w:r>
      <w:r>
        <w:rPr>
          <w:rFonts w:hint="eastAsia" w:cs="Times New Roman"/>
          <w:color w:val="auto"/>
          <w:highlight w:val="none"/>
        </w:rPr>
        <w:t>降低</w:t>
      </w:r>
      <w:r>
        <w:rPr>
          <w:rFonts w:hint="eastAsia" w:cs="Times New Roman"/>
          <w:color w:val="auto"/>
          <w:highlight w:val="none"/>
          <w:lang w:val="en-US" w:eastAsia="zh-CN"/>
        </w:rPr>
        <w:t>趋势，</w:t>
      </w:r>
      <w:r>
        <w:rPr>
          <w:rFonts w:hint="eastAsia" w:cs="Times New Roman"/>
          <w:color w:val="auto"/>
          <w:highlight w:val="none"/>
        </w:rPr>
        <w:t>水土流失治理成效显著。</w:t>
      </w:r>
    </w:p>
    <w:p>
      <w:pPr>
        <w:rPr>
          <w:rFonts w:cs="Times New Roman"/>
          <w:color w:val="auto"/>
          <w:highlight w:val="none"/>
        </w:rPr>
      </w:pPr>
      <w:r>
        <w:rPr>
          <w:rFonts w:hint="eastAsia" w:cs="Times New Roman"/>
          <w:color w:val="auto"/>
          <w:highlight w:val="none"/>
          <w:lang w:val="en-US" w:eastAsia="zh-CN"/>
        </w:rPr>
        <w:t>百朋镇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75.30</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百朋镇</w:t>
      </w:r>
      <w:r>
        <w:rPr>
          <w:rFonts w:hint="eastAsia" w:cs="Times New Roman"/>
          <w:color w:val="auto"/>
          <w:highlight w:val="none"/>
        </w:rPr>
        <w:t>水土流失面积</w:t>
      </w:r>
      <w:r>
        <w:rPr>
          <w:rFonts w:hint="eastAsia" w:cs="Times New Roman"/>
          <w:color w:val="auto"/>
          <w:highlight w:val="none"/>
          <w:lang w:val="en-US" w:eastAsia="zh-CN"/>
        </w:rPr>
        <w:t>减少</w:t>
      </w:r>
      <w:r>
        <w:rPr>
          <w:rFonts w:hint="eastAsia" w:cs="Times New Roman"/>
          <w:color w:val="auto"/>
          <w:highlight w:val="none"/>
        </w:rPr>
        <w:t>了</w:t>
      </w:r>
      <w:r>
        <w:rPr>
          <w:rFonts w:hint="eastAsia" w:cs="Times New Roman"/>
          <w:color w:val="auto"/>
          <w:highlight w:val="none"/>
          <w:lang w:val="en-US" w:eastAsia="zh-CN"/>
        </w:rPr>
        <w:t>14.08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cs="Times New Roman"/>
          <w:color w:val="auto"/>
          <w:highlight w:val="none"/>
        </w:rPr>
        <w:t>侵蚀面积增加了</w:t>
      </w:r>
      <w:r>
        <w:rPr>
          <w:rFonts w:hint="eastAsia" w:cs="Times New Roman"/>
          <w:color w:val="auto"/>
          <w:highlight w:val="none"/>
          <w:lang w:val="en-US" w:eastAsia="zh-CN"/>
        </w:rPr>
        <w:t>6.04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；中度、强烈、</w:t>
      </w:r>
      <w:r>
        <w:rPr>
          <w:rFonts w:cs="Times New Roman"/>
          <w:color w:val="auto"/>
          <w:highlight w:val="none"/>
        </w:rPr>
        <w:t>极强烈、剧烈侵蚀面积分别减少了</w:t>
      </w:r>
      <w:r>
        <w:rPr>
          <w:rFonts w:hint="eastAsia" w:cs="Times New Roman"/>
          <w:color w:val="auto"/>
          <w:highlight w:val="none"/>
          <w:lang w:val="en-US" w:eastAsia="zh-CN"/>
        </w:rPr>
        <w:t>4.41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3.74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3.43</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8.54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百朋镇</w:t>
      </w:r>
      <w:r>
        <w:rPr>
          <w:rFonts w:hint="eastAsia" w:cs="Times New Roman"/>
          <w:color w:val="auto"/>
          <w:highlight w:val="none"/>
        </w:rPr>
        <w:t>2</w:t>
      </w:r>
      <w:r>
        <w:rPr>
          <w:rFonts w:hint="eastAsia" w:cs="Times New Roman"/>
          <w:color w:val="auto"/>
          <w:highlight w:val="none"/>
          <w:lang w:val="en-US" w:eastAsia="zh-CN"/>
        </w:rPr>
        <w:t>018年以来</w:t>
      </w:r>
      <w:r>
        <w:rPr>
          <w:rFonts w:hint="eastAsia" w:cs="Times New Roman"/>
          <w:color w:val="auto"/>
          <w:highlight w:val="none"/>
        </w:rPr>
        <w:t>水土流失面积减少的同时水土流失强度也进一步降低，水土流失治理成效显著。</w:t>
      </w:r>
    </w:p>
    <w:p>
      <w:pPr>
        <w:rPr>
          <w:rFonts w:cs="Times New Roman"/>
          <w:color w:val="auto"/>
          <w:highlight w:val="none"/>
        </w:rPr>
      </w:pPr>
      <w:r>
        <w:rPr>
          <w:rFonts w:hint="eastAsia" w:cs="Times New Roman"/>
          <w:color w:val="auto"/>
          <w:highlight w:val="none"/>
          <w:lang w:val="en-US" w:eastAsia="zh-CN"/>
        </w:rPr>
        <w:t>三都镇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20.13</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三都镇</w:t>
      </w:r>
      <w:r>
        <w:rPr>
          <w:rFonts w:hint="eastAsia" w:cs="Times New Roman"/>
          <w:color w:val="auto"/>
          <w:highlight w:val="none"/>
        </w:rPr>
        <w:t>水土流失面积</w:t>
      </w:r>
      <w:r>
        <w:rPr>
          <w:rFonts w:hint="eastAsia" w:cs="Times New Roman"/>
          <w:color w:val="auto"/>
          <w:highlight w:val="none"/>
          <w:lang w:val="en-US" w:eastAsia="zh-CN"/>
        </w:rPr>
        <w:t>减少</w:t>
      </w:r>
      <w:r>
        <w:rPr>
          <w:rFonts w:hint="eastAsia" w:cs="Times New Roman"/>
          <w:color w:val="auto"/>
          <w:highlight w:val="none"/>
        </w:rPr>
        <w:t>了</w:t>
      </w:r>
      <w:r>
        <w:rPr>
          <w:rFonts w:hint="eastAsia" w:cs="Times New Roman"/>
          <w:color w:val="auto"/>
          <w:highlight w:val="none"/>
          <w:lang w:val="en-US" w:eastAsia="zh-CN"/>
        </w:rPr>
        <w:t>2.84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cs="Times New Roman"/>
          <w:color w:val="auto"/>
          <w:highlight w:val="none"/>
        </w:rPr>
        <w:t>侵蚀面积增加了</w:t>
      </w:r>
      <w:r>
        <w:rPr>
          <w:rFonts w:hint="eastAsia" w:cs="Times New Roman"/>
          <w:color w:val="auto"/>
          <w:highlight w:val="none"/>
          <w:lang w:val="en-US" w:eastAsia="zh-CN"/>
        </w:rPr>
        <w:t>4.86</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；中度、强烈、</w:t>
      </w:r>
      <w:r>
        <w:rPr>
          <w:rFonts w:cs="Times New Roman"/>
          <w:color w:val="auto"/>
          <w:highlight w:val="none"/>
        </w:rPr>
        <w:t>极强烈、剧烈侵蚀面积分别减少了</w:t>
      </w:r>
      <w:r>
        <w:rPr>
          <w:rFonts w:hint="eastAsia" w:cs="Times New Roman"/>
          <w:color w:val="auto"/>
          <w:highlight w:val="none"/>
          <w:lang w:val="en-US" w:eastAsia="zh-CN"/>
        </w:rPr>
        <w:t>0.91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1.75</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1.84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3.20</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。2</w:t>
      </w:r>
      <w:r>
        <w:rPr>
          <w:rFonts w:cs="Times New Roman"/>
          <w:color w:val="auto"/>
          <w:highlight w:val="none"/>
        </w:rPr>
        <w:t>018</w:t>
      </w:r>
      <w:r>
        <w:rPr>
          <w:rFonts w:hint="eastAsia" w:cs="Times New Roman"/>
          <w:color w:val="auto"/>
          <w:highlight w:val="none"/>
        </w:rPr>
        <w:t>年以来</w:t>
      </w:r>
      <w:r>
        <w:rPr>
          <w:rFonts w:hint="eastAsia" w:cs="Times New Roman"/>
          <w:color w:val="auto"/>
          <w:highlight w:val="none"/>
          <w:lang w:val="en-US" w:eastAsia="zh-CN"/>
        </w:rPr>
        <w:t>三都镇</w:t>
      </w:r>
      <w:r>
        <w:rPr>
          <w:rFonts w:hint="eastAsia" w:cs="Times New Roman"/>
          <w:color w:val="auto"/>
          <w:highlight w:val="none"/>
        </w:rPr>
        <w:t>虽然轻度侵蚀水土流失面积有所增加，但是中度侵蚀以上的水土流失面积都有减少，</w:t>
      </w:r>
      <w:r>
        <w:rPr>
          <w:rFonts w:hint="eastAsia" w:cs="Times New Roman"/>
          <w:color w:val="auto"/>
          <w:highlight w:val="none"/>
          <w:lang w:val="en-US" w:eastAsia="zh-CN"/>
        </w:rPr>
        <w:t>总体来说水土流失面积和</w:t>
      </w:r>
      <w:r>
        <w:rPr>
          <w:rFonts w:hint="eastAsia" w:cs="Times New Roman"/>
          <w:color w:val="auto"/>
          <w:highlight w:val="none"/>
        </w:rPr>
        <w:t>水土流失强度</w:t>
      </w:r>
      <w:r>
        <w:rPr>
          <w:rFonts w:hint="eastAsia" w:cs="Times New Roman"/>
          <w:color w:val="auto"/>
          <w:highlight w:val="none"/>
          <w:lang w:val="en-US" w:eastAsia="zh-CN"/>
        </w:rPr>
        <w:t>呈现双</w:t>
      </w:r>
      <w:r>
        <w:rPr>
          <w:rFonts w:hint="eastAsia" w:cs="Times New Roman"/>
          <w:color w:val="auto"/>
          <w:highlight w:val="none"/>
        </w:rPr>
        <w:t>降低</w:t>
      </w:r>
      <w:r>
        <w:rPr>
          <w:rFonts w:hint="eastAsia" w:cs="Times New Roman"/>
          <w:color w:val="auto"/>
          <w:highlight w:val="none"/>
          <w:lang w:val="en-US" w:eastAsia="zh-CN"/>
        </w:rPr>
        <w:t>趋势，</w:t>
      </w:r>
      <w:r>
        <w:rPr>
          <w:rFonts w:hint="eastAsia" w:cs="Times New Roman"/>
          <w:color w:val="auto"/>
          <w:highlight w:val="none"/>
        </w:rPr>
        <w:t>水土流失治理成效显著。</w:t>
      </w:r>
    </w:p>
    <w:p>
      <w:pPr>
        <w:rPr>
          <w:rFonts w:cs="Times New Roman"/>
          <w:color w:val="auto"/>
          <w:highlight w:val="none"/>
        </w:rPr>
      </w:pPr>
      <w:r>
        <w:rPr>
          <w:rFonts w:hint="eastAsia" w:cs="Times New Roman"/>
          <w:color w:val="auto"/>
          <w:highlight w:val="none"/>
          <w:lang w:eastAsia="zh-CN"/>
        </w:rPr>
        <w:t>土博镇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54.01</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eastAsia="zh-CN"/>
        </w:rPr>
        <w:t>土博镇</w:t>
      </w:r>
      <w:r>
        <w:rPr>
          <w:rFonts w:hint="eastAsia" w:cs="Times New Roman"/>
          <w:color w:val="auto"/>
          <w:highlight w:val="none"/>
        </w:rPr>
        <w:t>水土流失面积增加了</w:t>
      </w:r>
      <w:r>
        <w:rPr>
          <w:rFonts w:hint="eastAsia" w:cs="Times New Roman"/>
          <w:color w:val="auto"/>
          <w:highlight w:val="none"/>
          <w:lang w:val="en-US" w:eastAsia="zh-CN"/>
        </w:rPr>
        <w:t>7.67</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hint="eastAsia" w:cs="Times New Roman"/>
          <w:color w:val="auto"/>
          <w:highlight w:val="none"/>
          <w:lang w:eastAsia="zh-CN"/>
        </w:rPr>
        <w:t>、</w:t>
      </w:r>
      <w:r>
        <w:rPr>
          <w:rFonts w:hint="eastAsia" w:cs="Times New Roman"/>
          <w:color w:val="auto"/>
          <w:highlight w:val="none"/>
        </w:rPr>
        <w:t>中度</w:t>
      </w:r>
      <w:r>
        <w:rPr>
          <w:rFonts w:cs="Times New Roman"/>
          <w:color w:val="auto"/>
          <w:highlight w:val="none"/>
        </w:rPr>
        <w:t>侵蚀面积</w:t>
      </w:r>
      <w:r>
        <w:rPr>
          <w:rFonts w:hint="eastAsia" w:cs="Times New Roman"/>
          <w:color w:val="auto"/>
          <w:highlight w:val="none"/>
          <w:lang w:val="en-US" w:eastAsia="zh-CN"/>
        </w:rPr>
        <w:t>分别</w:t>
      </w:r>
      <w:r>
        <w:rPr>
          <w:rFonts w:cs="Times New Roman"/>
          <w:color w:val="auto"/>
          <w:highlight w:val="none"/>
        </w:rPr>
        <w:t>增加了</w:t>
      </w:r>
      <w:r>
        <w:rPr>
          <w:rFonts w:hint="eastAsia" w:cs="Times New Roman"/>
          <w:color w:val="auto"/>
          <w:highlight w:val="none"/>
          <w:lang w:val="en-US" w:eastAsia="zh-CN"/>
        </w:rPr>
        <w:t>13.66</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2.84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vertAlign w:val="baseline"/>
          <w:lang w:val="zh-CN"/>
        </w:rPr>
        <w:t>；</w:t>
      </w:r>
      <w:r>
        <w:rPr>
          <w:rFonts w:hint="eastAsia" w:cs="Times New Roman"/>
          <w:color w:val="auto"/>
          <w:highlight w:val="none"/>
        </w:rPr>
        <w:t>强烈、</w:t>
      </w:r>
      <w:r>
        <w:rPr>
          <w:rFonts w:cs="Times New Roman"/>
          <w:color w:val="auto"/>
          <w:highlight w:val="none"/>
        </w:rPr>
        <w:t>极强烈、剧烈侵蚀面积分别减少了0.</w:t>
      </w:r>
      <w:r>
        <w:rPr>
          <w:rFonts w:hint="eastAsia" w:cs="Times New Roman"/>
          <w:color w:val="auto"/>
          <w:highlight w:val="none"/>
          <w:lang w:val="en-US" w:eastAsia="zh-CN"/>
        </w:rPr>
        <w:t>11</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0.</w:t>
      </w:r>
      <w:r>
        <w:rPr>
          <w:rFonts w:hint="eastAsia" w:cs="Times New Roman"/>
          <w:color w:val="auto"/>
          <w:highlight w:val="none"/>
          <w:lang w:val="en-US" w:eastAsia="zh-CN"/>
        </w:rPr>
        <w:t>25</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8.10</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eastAsia="zh-CN"/>
        </w:rPr>
        <w:t>土博镇</w:t>
      </w:r>
      <w:r>
        <w:rPr>
          <w:rFonts w:hint="eastAsia" w:cs="Times New Roman"/>
          <w:color w:val="auto"/>
          <w:highlight w:val="none"/>
        </w:rPr>
        <w:t>辖区内拥有较多的</w:t>
      </w:r>
      <w:r>
        <w:rPr>
          <w:rFonts w:hint="eastAsia" w:cs="Times New Roman"/>
          <w:color w:val="auto"/>
          <w:highlight w:val="none"/>
          <w:lang w:val="en-US" w:eastAsia="zh-CN"/>
        </w:rPr>
        <w:t>林地、园地、草地和耕地</w:t>
      </w:r>
      <w:r>
        <w:rPr>
          <w:rFonts w:hint="eastAsia" w:cs="Times New Roman"/>
          <w:color w:val="auto"/>
          <w:highlight w:val="none"/>
        </w:rPr>
        <w:t>，</w:t>
      </w:r>
      <w:r>
        <w:rPr>
          <w:rFonts w:hint="eastAsia" w:cs="Times New Roman"/>
          <w:color w:val="auto"/>
          <w:highlight w:val="none"/>
          <w:lang w:val="en-US" w:eastAsia="zh-CN"/>
        </w:rPr>
        <w:t>林地和草地用地面积在8个镇中排名第一，林地耕地</w:t>
      </w:r>
      <w:r>
        <w:rPr>
          <w:rFonts w:hint="eastAsia" w:cs="Times New Roman"/>
          <w:color w:val="auto"/>
          <w:highlight w:val="none"/>
        </w:rPr>
        <w:t>用地面积排名第三，较为频繁的</w:t>
      </w:r>
      <w:r>
        <w:rPr>
          <w:rFonts w:hint="eastAsia" w:cs="Times New Roman"/>
          <w:color w:val="auto"/>
          <w:highlight w:val="none"/>
          <w:lang w:val="en-US" w:eastAsia="zh-CN"/>
        </w:rPr>
        <w:t>农林开发</w:t>
      </w:r>
      <w:r>
        <w:rPr>
          <w:rFonts w:hint="eastAsia" w:cs="Times New Roman"/>
          <w:color w:val="auto"/>
          <w:highlight w:val="none"/>
        </w:rPr>
        <w:t>活动是造成</w:t>
      </w:r>
      <w:r>
        <w:rPr>
          <w:rFonts w:hint="eastAsia" w:cs="Times New Roman"/>
          <w:color w:val="auto"/>
          <w:highlight w:val="none"/>
          <w:lang w:eastAsia="zh-CN"/>
        </w:rPr>
        <w:t>土博镇</w:t>
      </w:r>
      <w:r>
        <w:rPr>
          <w:rFonts w:hint="eastAsia" w:cs="Times New Roman"/>
          <w:color w:val="auto"/>
          <w:highlight w:val="none"/>
        </w:rPr>
        <w:t>水土流失面积增加的主要原因</w:t>
      </w:r>
      <w:r>
        <w:rPr>
          <w:rFonts w:hint="eastAsia" w:cs="Times New Roman"/>
          <w:color w:val="auto"/>
          <w:highlight w:val="none"/>
          <w:lang w:eastAsia="zh-CN"/>
        </w:rPr>
        <w:t>，</w:t>
      </w:r>
      <w:r>
        <w:rPr>
          <w:rFonts w:hint="eastAsia" w:cs="Times New Roman"/>
          <w:color w:val="auto"/>
          <w:highlight w:val="none"/>
          <w:lang w:val="en-US" w:eastAsia="zh-CN"/>
        </w:rPr>
        <w:t>建议增加土博镇的农林开发建设项目的水土保持监管强度，遏制人为水土流失的发生</w:t>
      </w:r>
      <w:r>
        <w:rPr>
          <w:rFonts w:hint="eastAsia" w:cs="Times New Roman"/>
          <w:color w:val="auto"/>
          <w:highlight w:val="none"/>
        </w:rPr>
        <w:t>。</w:t>
      </w:r>
    </w:p>
    <w:p>
      <w:pPr>
        <w:rPr>
          <w:rFonts w:cs="Times New Roman"/>
          <w:color w:val="auto"/>
          <w:highlight w:val="none"/>
        </w:rPr>
      </w:pPr>
      <w:r>
        <w:rPr>
          <w:rFonts w:hint="eastAsia" w:cs="Times New Roman"/>
          <w:color w:val="auto"/>
          <w:highlight w:val="none"/>
          <w:lang w:val="en-US" w:eastAsia="zh-CN"/>
        </w:rPr>
        <w:t>里高</w:t>
      </w:r>
      <w:r>
        <w:rPr>
          <w:rFonts w:hint="eastAsia" w:cs="Times New Roman"/>
          <w:color w:val="auto"/>
          <w:highlight w:val="none"/>
          <w:lang w:eastAsia="zh-CN"/>
        </w:rPr>
        <w:t>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19.31</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里高</w:t>
      </w:r>
      <w:r>
        <w:rPr>
          <w:rFonts w:hint="eastAsia" w:cs="Times New Roman"/>
          <w:color w:val="auto"/>
          <w:highlight w:val="none"/>
          <w:lang w:eastAsia="zh-CN"/>
        </w:rPr>
        <w:t>镇</w:t>
      </w:r>
      <w:r>
        <w:rPr>
          <w:rFonts w:hint="eastAsia" w:cs="Times New Roman"/>
          <w:color w:val="auto"/>
          <w:highlight w:val="none"/>
        </w:rPr>
        <w:t>水土流失面积增加了</w:t>
      </w:r>
      <w:r>
        <w:rPr>
          <w:rFonts w:hint="eastAsia" w:cs="Times New Roman"/>
          <w:color w:val="auto"/>
          <w:highlight w:val="none"/>
          <w:lang w:val="en-US" w:eastAsia="zh-CN"/>
        </w:rPr>
        <w:t>3.81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hint="eastAsia" w:cs="Times New Roman"/>
          <w:color w:val="auto"/>
          <w:highlight w:val="none"/>
          <w:lang w:eastAsia="zh-CN"/>
        </w:rPr>
        <w:t>、</w:t>
      </w:r>
      <w:r>
        <w:rPr>
          <w:rFonts w:hint="eastAsia" w:cs="Times New Roman"/>
          <w:color w:val="auto"/>
          <w:highlight w:val="none"/>
        </w:rPr>
        <w:t>中度</w:t>
      </w:r>
      <w:r>
        <w:rPr>
          <w:rFonts w:cs="Times New Roman"/>
          <w:color w:val="auto"/>
          <w:highlight w:val="none"/>
        </w:rPr>
        <w:t>侵蚀面积</w:t>
      </w:r>
      <w:r>
        <w:rPr>
          <w:rFonts w:hint="eastAsia" w:cs="Times New Roman"/>
          <w:color w:val="auto"/>
          <w:highlight w:val="none"/>
          <w:lang w:val="en-US" w:eastAsia="zh-CN"/>
        </w:rPr>
        <w:t>分别</w:t>
      </w:r>
      <w:r>
        <w:rPr>
          <w:rFonts w:cs="Times New Roman"/>
          <w:color w:val="auto"/>
          <w:highlight w:val="none"/>
        </w:rPr>
        <w:t>增加了</w:t>
      </w:r>
      <w:r>
        <w:rPr>
          <w:rFonts w:hint="eastAsia" w:cs="Times New Roman"/>
          <w:color w:val="auto"/>
          <w:highlight w:val="none"/>
          <w:lang w:val="en-US" w:eastAsia="zh-CN"/>
        </w:rPr>
        <w:t>4.03</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1.05</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vertAlign w:val="baseline"/>
          <w:lang w:val="zh-CN"/>
        </w:rPr>
        <w:t>；</w:t>
      </w:r>
      <w:r>
        <w:rPr>
          <w:rFonts w:cs="Times New Roman"/>
          <w:color w:val="auto"/>
          <w:highlight w:val="none"/>
        </w:rPr>
        <w:t>极强烈、剧烈侵蚀面积分别减少了</w:t>
      </w:r>
      <w:r>
        <w:rPr>
          <w:rFonts w:hint="eastAsia" w:cs="Times New Roman"/>
          <w:color w:val="auto"/>
          <w:highlight w:val="none"/>
          <w:lang w:val="en-US" w:eastAsia="zh-CN"/>
        </w:rPr>
        <w:t>0.14</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1.14</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里高</w:t>
      </w:r>
      <w:r>
        <w:rPr>
          <w:rFonts w:hint="eastAsia" w:cs="Times New Roman"/>
          <w:color w:val="auto"/>
          <w:highlight w:val="none"/>
          <w:lang w:eastAsia="zh-CN"/>
        </w:rPr>
        <w:t>镇</w:t>
      </w:r>
      <w:r>
        <w:rPr>
          <w:rFonts w:hint="eastAsia" w:cs="Times New Roman"/>
          <w:color w:val="auto"/>
          <w:highlight w:val="none"/>
        </w:rPr>
        <w:t>辖区内拥有较多的</w:t>
      </w:r>
      <w:r>
        <w:rPr>
          <w:rFonts w:hint="eastAsia" w:cs="Times New Roman"/>
          <w:color w:val="auto"/>
          <w:highlight w:val="none"/>
          <w:lang w:val="en-US" w:eastAsia="zh-CN"/>
        </w:rPr>
        <w:t>园地和林地</w:t>
      </w:r>
      <w:r>
        <w:rPr>
          <w:rFonts w:hint="eastAsia" w:cs="Times New Roman"/>
          <w:color w:val="auto"/>
          <w:highlight w:val="none"/>
        </w:rPr>
        <w:t>，</w:t>
      </w:r>
      <w:r>
        <w:rPr>
          <w:rFonts w:hint="eastAsia" w:cs="Times New Roman"/>
          <w:color w:val="auto"/>
          <w:highlight w:val="none"/>
          <w:lang w:val="en-US" w:eastAsia="zh-CN"/>
        </w:rPr>
        <w:t>园地用地面积在8个镇中排名第一，不合理</w:t>
      </w:r>
      <w:r>
        <w:rPr>
          <w:rFonts w:hint="eastAsia" w:cs="Times New Roman"/>
          <w:color w:val="auto"/>
          <w:highlight w:val="none"/>
        </w:rPr>
        <w:t>的</w:t>
      </w:r>
      <w:r>
        <w:rPr>
          <w:rFonts w:hint="eastAsia" w:cs="Times New Roman"/>
          <w:color w:val="auto"/>
          <w:highlight w:val="none"/>
          <w:lang w:val="en-US" w:eastAsia="zh-CN"/>
        </w:rPr>
        <w:t>园地开发利用（例如陡坡种植）</w:t>
      </w:r>
      <w:r>
        <w:rPr>
          <w:rFonts w:hint="eastAsia" w:cs="Times New Roman"/>
          <w:color w:val="auto"/>
          <w:highlight w:val="none"/>
        </w:rPr>
        <w:t>是造成</w:t>
      </w:r>
      <w:r>
        <w:rPr>
          <w:rFonts w:hint="eastAsia" w:cs="Times New Roman"/>
          <w:color w:val="auto"/>
          <w:highlight w:val="none"/>
          <w:lang w:val="en-US" w:eastAsia="zh-CN"/>
        </w:rPr>
        <w:t>里高</w:t>
      </w:r>
      <w:r>
        <w:rPr>
          <w:rFonts w:hint="eastAsia" w:cs="Times New Roman"/>
          <w:color w:val="auto"/>
          <w:highlight w:val="none"/>
          <w:lang w:eastAsia="zh-CN"/>
        </w:rPr>
        <w:t>镇</w:t>
      </w:r>
      <w:r>
        <w:rPr>
          <w:rFonts w:hint="eastAsia" w:cs="Times New Roman"/>
          <w:color w:val="auto"/>
          <w:highlight w:val="none"/>
        </w:rPr>
        <w:t>水土流失面积增加的主要原因</w:t>
      </w:r>
      <w:r>
        <w:rPr>
          <w:rFonts w:hint="eastAsia" w:cs="Times New Roman"/>
          <w:color w:val="auto"/>
          <w:highlight w:val="none"/>
          <w:lang w:eastAsia="zh-CN"/>
        </w:rPr>
        <w:t>，</w:t>
      </w:r>
      <w:r>
        <w:rPr>
          <w:rFonts w:hint="eastAsia" w:cs="Times New Roman"/>
          <w:color w:val="auto"/>
          <w:highlight w:val="none"/>
          <w:lang w:val="en-US" w:eastAsia="zh-CN"/>
        </w:rPr>
        <w:t>建议在陡坡种植的园地内布设排水沟等水保措施</w:t>
      </w:r>
      <w:r>
        <w:rPr>
          <w:rFonts w:hint="eastAsia" w:cs="Times New Roman"/>
          <w:color w:val="auto"/>
          <w:highlight w:val="none"/>
        </w:rPr>
        <w:t>。</w:t>
      </w:r>
    </w:p>
    <w:p>
      <w:pPr>
        <w:rPr>
          <w:rFonts w:cs="Times New Roman"/>
          <w:color w:val="auto"/>
          <w:highlight w:val="none"/>
        </w:rPr>
      </w:pPr>
      <w:r>
        <w:rPr>
          <w:rFonts w:hint="eastAsia" w:cs="Times New Roman"/>
          <w:color w:val="auto"/>
          <w:highlight w:val="none"/>
          <w:lang w:val="en-US" w:eastAsia="zh-CN"/>
        </w:rPr>
        <w:t>穿山</w:t>
      </w:r>
      <w:r>
        <w:rPr>
          <w:rFonts w:hint="eastAsia" w:cs="Times New Roman"/>
          <w:color w:val="auto"/>
          <w:highlight w:val="none"/>
          <w:lang w:eastAsia="zh-CN"/>
        </w:rPr>
        <w:t>镇</w:t>
      </w:r>
      <w:r>
        <w:rPr>
          <w:rFonts w:hint="eastAsia" w:cs="Times New Roman"/>
          <w:color w:val="auto"/>
          <w:highlight w:val="none"/>
        </w:rPr>
        <w:t>2</w:t>
      </w:r>
      <w:r>
        <w:rPr>
          <w:rFonts w:cs="Times New Roman"/>
          <w:color w:val="auto"/>
          <w:highlight w:val="none"/>
        </w:rPr>
        <w:t>021</w:t>
      </w:r>
      <w:r>
        <w:rPr>
          <w:rFonts w:hint="eastAsia" w:cs="Times New Roman"/>
          <w:color w:val="auto"/>
          <w:highlight w:val="none"/>
        </w:rPr>
        <w:t>年水土流失面积为</w:t>
      </w:r>
      <w:r>
        <w:rPr>
          <w:rFonts w:hint="eastAsia" w:cs="Times New Roman"/>
          <w:color w:val="auto"/>
          <w:highlight w:val="none"/>
          <w:lang w:val="en-US" w:eastAsia="zh-CN"/>
        </w:rPr>
        <w:t>165.99</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cs="Times New Roman"/>
          <w:color w:val="auto"/>
          <w:highlight w:val="none"/>
        </w:rPr>
        <w:t>与2018年相比，2021年</w:t>
      </w:r>
      <w:r>
        <w:rPr>
          <w:rFonts w:hint="eastAsia" w:cs="Times New Roman"/>
          <w:color w:val="auto"/>
          <w:highlight w:val="none"/>
          <w:lang w:val="en-US" w:eastAsia="zh-CN"/>
        </w:rPr>
        <w:t>穿山</w:t>
      </w:r>
      <w:r>
        <w:rPr>
          <w:rFonts w:hint="eastAsia" w:cs="Times New Roman"/>
          <w:color w:val="auto"/>
          <w:highlight w:val="none"/>
          <w:lang w:eastAsia="zh-CN"/>
        </w:rPr>
        <w:t>镇</w:t>
      </w:r>
      <w:r>
        <w:rPr>
          <w:rFonts w:hint="eastAsia" w:cs="Times New Roman"/>
          <w:color w:val="auto"/>
          <w:highlight w:val="none"/>
        </w:rPr>
        <w:t>水土流失面积增加了</w:t>
      </w:r>
      <w:r>
        <w:rPr>
          <w:rFonts w:hint="eastAsia" w:cs="Times New Roman"/>
          <w:color w:val="auto"/>
          <w:highlight w:val="none"/>
          <w:lang w:val="en-US" w:eastAsia="zh-CN"/>
        </w:rPr>
        <w:t>3.41</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rPr>
        <w:t>其中轻度</w:t>
      </w:r>
      <w:r>
        <w:rPr>
          <w:rFonts w:hint="eastAsia" w:cs="Times New Roman"/>
          <w:color w:val="auto"/>
          <w:highlight w:val="none"/>
          <w:lang w:eastAsia="zh-CN"/>
        </w:rPr>
        <w:t>、</w:t>
      </w:r>
      <w:r>
        <w:rPr>
          <w:rFonts w:hint="eastAsia" w:cs="Times New Roman"/>
          <w:color w:val="auto"/>
          <w:highlight w:val="none"/>
        </w:rPr>
        <w:t>中度</w:t>
      </w:r>
      <w:r>
        <w:rPr>
          <w:rFonts w:cs="Times New Roman"/>
          <w:color w:val="auto"/>
          <w:highlight w:val="none"/>
        </w:rPr>
        <w:t>侵蚀面积</w:t>
      </w:r>
      <w:r>
        <w:rPr>
          <w:rFonts w:hint="eastAsia" w:cs="Times New Roman"/>
          <w:color w:val="auto"/>
          <w:highlight w:val="none"/>
          <w:lang w:val="en-US" w:eastAsia="zh-CN"/>
        </w:rPr>
        <w:t>分别</w:t>
      </w:r>
      <w:r>
        <w:rPr>
          <w:rFonts w:cs="Times New Roman"/>
          <w:color w:val="auto"/>
          <w:highlight w:val="none"/>
        </w:rPr>
        <w:t>增加了</w:t>
      </w:r>
      <w:r>
        <w:rPr>
          <w:rFonts w:hint="eastAsia" w:cs="Times New Roman"/>
          <w:color w:val="auto"/>
          <w:highlight w:val="none"/>
          <w:lang w:val="en-US" w:eastAsia="zh-CN"/>
        </w:rPr>
        <w:t>21.16</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5.68</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vertAlign w:val="baseline"/>
          <w:lang w:val="zh-CN"/>
        </w:rPr>
        <w:t>；</w:t>
      </w:r>
      <w:r>
        <w:rPr>
          <w:rFonts w:hint="eastAsia" w:cs="Times New Roman"/>
          <w:color w:val="auto"/>
          <w:highlight w:val="none"/>
          <w:vertAlign w:val="baseline"/>
          <w:lang w:val="en-US" w:eastAsia="zh-CN"/>
        </w:rPr>
        <w:t>强烈、</w:t>
      </w:r>
      <w:r>
        <w:rPr>
          <w:rFonts w:cs="Times New Roman"/>
          <w:color w:val="auto"/>
          <w:highlight w:val="none"/>
        </w:rPr>
        <w:t>极强烈、剧烈侵蚀面积分别减少了</w:t>
      </w:r>
      <w:r>
        <w:rPr>
          <w:rFonts w:hint="eastAsia" w:cs="Times New Roman"/>
          <w:color w:val="auto"/>
          <w:highlight w:val="none"/>
          <w:lang w:val="en-US" w:eastAsia="zh-CN"/>
        </w:rPr>
        <w:t>3.72</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6.60</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r>
        <w:rPr>
          <w:rFonts w:hint="eastAsia" w:cs="Times New Roman"/>
          <w:color w:val="auto"/>
          <w:highlight w:val="none"/>
          <w:lang w:val="en-US" w:eastAsia="zh-CN"/>
        </w:rPr>
        <w:t>13.11</w:t>
      </w:r>
      <w:r>
        <w:rPr>
          <w:rFonts w:cs="Times New Roman"/>
          <w:color w:val="auto"/>
          <w:highlight w:val="none"/>
          <w:lang w:val="zh-CN"/>
        </w:rPr>
        <w:t>km</w:t>
      </w:r>
      <w:r>
        <w:rPr>
          <w:rFonts w:cs="Times New Roman"/>
          <w:color w:val="auto"/>
          <w:highlight w:val="none"/>
          <w:vertAlign w:val="superscript"/>
          <w:lang w:val="zh-CN"/>
        </w:rPr>
        <w:t>2</w:t>
      </w:r>
      <w:r>
        <w:rPr>
          <w:rFonts w:hint="eastAsia" w:cs="Times New Roman"/>
          <w:color w:val="auto"/>
          <w:highlight w:val="none"/>
        </w:rPr>
        <w:t>。</w:t>
      </w:r>
      <w:r>
        <w:rPr>
          <w:rFonts w:hint="eastAsia" w:cs="Times New Roman"/>
          <w:color w:val="auto"/>
          <w:highlight w:val="none"/>
          <w:lang w:val="en-US" w:eastAsia="zh-CN"/>
        </w:rPr>
        <w:t>穿山</w:t>
      </w:r>
      <w:r>
        <w:rPr>
          <w:rFonts w:hint="eastAsia" w:cs="Times New Roman"/>
          <w:color w:val="auto"/>
          <w:highlight w:val="none"/>
          <w:lang w:eastAsia="zh-CN"/>
        </w:rPr>
        <w:t>镇</w:t>
      </w:r>
      <w:r>
        <w:rPr>
          <w:rFonts w:hint="eastAsia" w:cs="Times New Roman"/>
          <w:color w:val="auto"/>
          <w:highlight w:val="none"/>
        </w:rPr>
        <w:t>辖区内拥有较多的</w:t>
      </w:r>
      <w:r>
        <w:rPr>
          <w:rFonts w:hint="eastAsia" w:cs="Times New Roman"/>
          <w:color w:val="auto"/>
          <w:highlight w:val="none"/>
          <w:lang w:val="en-US" w:eastAsia="zh-CN"/>
        </w:rPr>
        <w:t>耕地、林地、城镇村及工矿用地和交通运输用地</w:t>
      </w:r>
      <w:r>
        <w:rPr>
          <w:rFonts w:hint="eastAsia" w:cs="Times New Roman"/>
          <w:color w:val="auto"/>
          <w:highlight w:val="none"/>
        </w:rPr>
        <w:t>，</w:t>
      </w:r>
      <w:r>
        <w:rPr>
          <w:rFonts w:hint="eastAsia" w:cs="Times New Roman"/>
          <w:color w:val="auto"/>
          <w:highlight w:val="none"/>
          <w:lang w:val="en-US" w:eastAsia="zh-CN"/>
        </w:rPr>
        <w:t>耕地、城镇村及工矿用地和交通运输用地面积在8个镇中均排名第一，不合理</w:t>
      </w:r>
      <w:r>
        <w:rPr>
          <w:rFonts w:hint="eastAsia" w:cs="Times New Roman"/>
          <w:color w:val="auto"/>
          <w:highlight w:val="none"/>
        </w:rPr>
        <w:t>的</w:t>
      </w:r>
      <w:r>
        <w:rPr>
          <w:rFonts w:hint="eastAsia" w:cs="Times New Roman"/>
          <w:color w:val="auto"/>
          <w:highlight w:val="none"/>
          <w:lang w:val="en-US" w:eastAsia="zh-CN"/>
        </w:rPr>
        <w:t>耕作方式和城市建设</w:t>
      </w:r>
      <w:r>
        <w:rPr>
          <w:rFonts w:hint="eastAsia" w:cs="Times New Roman"/>
          <w:color w:val="auto"/>
          <w:highlight w:val="none"/>
        </w:rPr>
        <w:t>是造成</w:t>
      </w:r>
      <w:r>
        <w:rPr>
          <w:rFonts w:hint="eastAsia" w:cs="Times New Roman"/>
          <w:color w:val="auto"/>
          <w:highlight w:val="none"/>
          <w:lang w:val="en-US" w:eastAsia="zh-CN"/>
        </w:rPr>
        <w:t>穿山</w:t>
      </w:r>
      <w:r>
        <w:rPr>
          <w:rFonts w:hint="eastAsia" w:cs="Times New Roman"/>
          <w:color w:val="auto"/>
          <w:highlight w:val="none"/>
          <w:lang w:eastAsia="zh-CN"/>
        </w:rPr>
        <w:t>镇</w:t>
      </w:r>
      <w:r>
        <w:rPr>
          <w:rFonts w:hint="eastAsia" w:cs="Times New Roman"/>
          <w:color w:val="auto"/>
          <w:highlight w:val="none"/>
        </w:rPr>
        <w:t>水土流失面积增加的主要原因</w:t>
      </w:r>
      <w:r>
        <w:rPr>
          <w:rFonts w:hint="eastAsia" w:cs="Times New Roman"/>
          <w:color w:val="auto"/>
          <w:highlight w:val="none"/>
          <w:lang w:eastAsia="zh-CN"/>
        </w:rPr>
        <w:t>，</w:t>
      </w:r>
      <w:r>
        <w:rPr>
          <w:rFonts w:hint="eastAsia" w:cs="Times New Roman"/>
          <w:color w:val="auto"/>
          <w:highlight w:val="none"/>
          <w:lang w:val="en-US" w:eastAsia="zh-CN"/>
        </w:rPr>
        <w:t>建议改善农业耕作方式，</w:t>
      </w:r>
      <w:r>
        <w:rPr>
          <w:rFonts w:cs="Times New Roman"/>
          <w:color w:val="auto"/>
          <w:highlight w:val="none"/>
          <w:lang w:val="en-US"/>
        </w:rPr>
        <w:t>采取保护性耕作措施</w:t>
      </w:r>
      <w:r>
        <w:rPr>
          <w:rFonts w:hint="eastAsia" w:cs="Times New Roman"/>
          <w:color w:val="auto"/>
          <w:highlight w:val="none"/>
          <w:lang w:val="en-US" w:eastAsia="zh-CN"/>
        </w:rPr>
        <w:t>，同时加强穿山</w:t>
      </w:r>
      <w:r>
        <w:rPr>
          <w:rFonts w:hint="eastAsia" w:cs="Times New Roman"/>
          <w:color w:val="auto"/>
          <w:highlight w:val="none"/>
          <w:lang w:eastAsia="zh-CN"/>
        </w:rPr>
        <w:t>镇</w:t>
      </w:r>
      <w:r>
        <w:rPr>
          <w:rFonts w:hint="eastAsia" w:cs="Times New Roman"/>
          <w:color w:val="auto"/>
          <w:highlight w:val="none"/>
          <w:lang w:val="en-US" w:eastAsia="zh-CN"/>
        </w:rPr>
        <w:t>内的生产建设项目水土保持监管力度</w:t>
      </w:r>
      <w:r>
        <w:rPr>
          <w:rFonts w:hint="eastAsia" w:cs="Times New Roman"/>
          <w:color w:val="auto"/>
          <w:highlight w:val="none"/>
        </w:rPr>
        <w:t>。</w:t>
      </w:r>
    </w:p>
    <w:p>
      <w:pPr>
        <w:rPr>
          <w:rFonts w:cs="Times New Roman"/>
          <w:color w:val="auto"/>
          <w:highlight w:val="none"/>
          <w:lang w:val="zh-CN"/>
        </w:rPr>
      </w:pPr>
      <w:r>
        <w:rPr>
          <w:rFonts w:cs="Times New Roman"/>
          <w:color w:val="auto"/>
          <w:highlight w:val="none"/>
        </w:rPr>
        <w:t>从以上分析可知，与2018年相比柳江区水土流失情况有所改善，但目前仍有水土流失面积为390.76</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，柳江区</w:t>
      </w:r>
      <w:r>
        <w:rPr>
          <w:rFonts w:cs="Times New Roman"/>
          <w:color w:val="auto"/>
          <w:highlight w:val="none"/>
        </w:rPr>
        <w:t>水土流失量大面广的现状没有发生根本性改变。</w:t>
      </w:r>
    </w:p>
    <w:p>
      <w:pPr>
        <w:pStyle w:val="4"/>
        <w:spacing w:before="156"/>
        <w:ind w:firstLine="562"/>
        <w:rPr>
          <w:color w:val="auto"/>
          <w:highlight w:val="none"/>
        </w:rPr>
      </w:pPr>
      <w:bookmarkStart w:id="185" w:name="_Toc30300"/>
      <w:bookmarkStart w:id="186" w:name="_Toc101681442"/>
      <w:r>
        <w:rPr>
          <w:color w:val="auto"/>
          <w:highlight w:val="none"/>
          <w:lang w:val="en-US"/>
        </w:rPr>
        <w:t>3.1.3水土保持综合治理评价</w:t>
      </w:r>
      <w:bookmarkEnd w:id="185"/>
      <w:bookmarkEnd w:id="186"/>
    </w:p>
    <w:p>
      <w:pPr>
        <w:rPr>
          <w:rFonts w:hint="default" w:cs="Times New Roman"/>
          <w:color w:val="auto"/>
          <w:highlight w:val="none"/>
          <w:lang w:val="en-US" w:eastAsia="zh-CN"/>
        </w:rPr>
      </w:pPr>
      <w:r>
        <w:rPr>
          <w:rFonts w:cs="Times New Roman"/>
          <w:color w:val="auto"/>
          <w:highlight w:val="none"/>
        </w:rPr>
        <w:t>柳江区现有</w:t>
      </w:r>
      <w:r>
        <w:rPr>
          <w:rFonts w:cs="Times New Roman"/>
          <w:color w:val="auto"/>
          <w:highlight w:val="none"/>
          <w:lang w:val="zh-CN"/>
        </w:rPr>
        <w:t>水土流失面积</w:t>
      </w:r>
      <w:r>
        <w:rPr>
          <w:rFonts w:cs="Times New Roman"/>
          <w:color w:val="auto"/>
          <w:highlight w:val="none"/>
        </w:rPr>
        <w:t>390.76</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，以轻度侵蚀为主，侵蚀类型为水蚀。</w:t>
      </w:r>
      <w:r>
        <w:rPr>
          <w:rFonts w:cs="Times New Roman"/>
          <w:color w:val="auto"/>
          <w:highlight w:val="none"/>
        </w:rPr>
        <w:t>与</w:t>
      </w:r>
      <w:r>
        <w:rPr>
          <w:rFonts w:cs="Times New Roman"/>
          <w:color w:val="auto"/>
          <w:highlight w:val="none"/>
          <w:lang w:val="zh-CN"/>
        </w:rPr>
        <w:t>2011年</w:t>
      </w:r>
      <w:r>
        <w:rPr>
          <w:rFonts w:cs="Times New Roman"/>
          <w:color w:val="auto"/>
          <w:highlight w:val="none"/>
        </w:rPr>
        <w:t>全国</w:t>
      </w:r>
      <w:r>
        <w:rPr>
          <w:rFonts w:cs="Times New Roman"/>
          <w:color w:val="auto"/>
          <w:highlight w:val="none"/>
          <w:lang w:val="zh-CN"/>
        </w:rPr>
        <w:t>水土流失普查</w:t>
      </w:r>
      <w:r>
        <w:rPr>
          <w:rFonts w:cs="Times New Roman"/>
          <w:color w:val="auto"/>
          <w:highlight w:val="none"/>
        </w:rPr>
        <w:t>时柳江区的</w:t>
      </w:r>
      <w:r>
        <w:rPr>
          <w:rFonts w:cs="Times New Roman"/>
          <w:color w:val="auto"/>
          <w:highlight w:val="none"/>
          <w:lang w:val="zh-CN"/>
        </w:rPr>
        <w:t>水土流失面积</w:t>
      </w:r>
      <w:r>
        <w:rPr>
          <w:rFonts w:cs="Times New Roman"/>
          <w:color w:val="auto"/>
          <w:highlight w:val="none"/>
        </w:rPr>
        <w:t>389.27</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相比，</w:t>
      </w:r>
      <w:r>
        <w:rPr>
          <w:rFonts w:cs="Times New Roman"/>
          <w:color w:val="auto"/>
          <w:highlight w:val="none"/>
        </w:rPr>
        <w:t>县区水土流失面积增加了1.49</w:t>
      </w:r>
      <w:r>
        <w:rPr>
          <w:rFonts w:cs="Times New Roman"/>
          <w:color w:val="auto"/>
          <w:highlight w:val="none"/>
          <w:lang w:val="zh-CN"/>
        </w:rPr>
        <w:t xml:space="preserve"> km</w:t>
      </w:r>
      <w:r>
        <w:rPr>
          <w:rFonts w:cs="Times New Roman"/>
          <w:color w:val="auto"/>
          <w:highlight w:val="none"/>
          <w:vertAlign w:val="superscript"/>
          <w:lang w:val="zh-CN"/>
        </w:rPr>
        <w:t>2</w:t>
      </w:r>
      <w:r>
        <w:rPr>
          <w:rFonts w:cs="Times New Roman"/>
          <w:color w:val="auto"/>
          <w:highlight w:val="none"/>
          <w:lang w:val="zh-CN"/>
        </w:rPr>
        <w:t>，水土流失</w:t>
      </w:r>
      <w:r>
        <w:rPr>
          <w:rFonts w:cs="Times New Roman"/>
          <w:color w:val="auto"/>
          <w:highlight w:val="none"/>
        </w:rPr>
        <w:t>情况没有得到改善</w:t>
      </w:r>
      <w:r>
        <w:rPr>
          <w:rFonts w:cs="Times New Roman"/>
          <w:color w:val="auto"/>
          <w:highlight w:val="none"/>
          <w:lang w:val="zh-CN"/>
        </w:rPr>
        <w:t>。</w:t>
      </w:r>
      <w:r>
        <w:rPr>
          <w:rFonts w:cs="Times New Roman"/>
          <w:color w:val="auto"/>
          <w:highlight w:val="none"/>
        </w:rPr>
        <w:t>2016年以来，柳江区虽然未曾获得中央、自治区或柳州市水土保持重点工程补助资金的支持，但区发改、自然资源、生态环境、农业农村等部门根据职责在土地整治、巩固退耕还林、荒山造林、果树种植等项目上开展水土流失治理，并通过招商引资等方式吸引社会团体参与生态建设工作，</w:t>
      </w:r>
      <w:r>
        <w:rPr>
          <w:rFonts w:cs="Times New Roman"/>
          <w:color w:val="auto"/>
          <w:highlight w:val="none"/>
          <w:lang w:val="zh-CN"/>
        </w:rPr>
        <w:t>一定程度上遏制住了县区水土流失面积的大幅度增长。</w:t>
      </w:r>
      <w:r>
        <w:rPr>
          <w:rFonts w:cs="Times New Roman"/>
          <w:color w:val="auto"/>
          <w:highlight w:val="none"/>
        </w:rPr>
        <w:t>根据统计，</w:t>
      </w:r>
      <w:r>
        <w:rPr>
          <w:rFonts w:hint="eastAsia" w:cs="Times New Roman"/>
          <w:color w:val="auto"/>
          <w:highlight w:val="none"/>
          <w:lang w:val="en-US" w:eastAsia="zh-CN"/>
        </w:rPr>
        <w:t>2019—2022年</w:t>
      </w:r>
      <w:r>
        <w:rPr>
          <w:rFonts w:cs="Times New Roman"/>
          <w:color w:val="auto"/>
          <w:highlight w:val="none"/>
        </w:rPr>
        <w:t>柳江区以水利部门牵头，各部门协作，社会力量参与，全</w:t>
      </w:r>
      <w:r>
        <w:rPr>
          <w:rFonts w:hint="eastAsia" w:cs="Times New Roman"/>
          <w:color w:val="auto"/>
          <w:highlight w:val="none"/>
          <w:lang w:val="en-US" w:eastAsia="zh-CN"/>
        </w:rPr>
        <w:t>区</w:t>
      </w:r>
      <w:r>
        <w:rPr>
          <w:rFonts w:cs="Times New Roman"/>
          <w:color w:val="auto"/>
          <w:highlight w:val="none"/>
        </w:rPr>
        <w:t>共同完成水土流失综合治理面积</w:t>
      </w:r>
      <w:r>
        <w:rPr>
          <w:rFonts w:hint="eastAsia" w:cs="Times New Roman"/>
          <w:color w:val="auto"/>
          <w:highlight w:val="none"/>
        </w:rPr>
        <w:t>92.77</w:t>
      </w:r>
      <w:r>
        <w:rPr>
          <w:rFonts w:cs="Times New Roman"/>
          <w:color w:val="auto"/>
          <w:highlight w:val="none"/>
        </w:rPr>
        <w:t>平方公里</w:t>
      </w:r>
      <w:r>
        <w:rPr>
          <w:rFonts w:hint="eastAsia" w:cs="Times New Roman"/>
          <w:color w:val="auto"/>
          <w:highlight w:val="none"/>
          <w:lang w:eastAsia="zh-CN"/>
        </w:rPr>
        <w:t>，</w:t>
      </w:r>
      <w:r>
        <w:rPr>
          <w:rFonts w:hint="eastAsia" w:cs="Times New Roman"/>
          <w:color w:val="auto"/>
          <w:highlight w:val="none"/>
          <w:lang w:val="en-US" w:eastAsia="zh-CN"/>
        </w:rPr>
        <w:t>均是其他部门及社会力量共同完成。柳江区近几年在水土流失治理方面水利部门存在不足，需加强水土流失治理工程的实施。</w:t>
      </w:r>
    </w:p>
    <w:p>
      <w:pPr>
        <w:rPr>
          <w:rFonts w:cs="Times New Roman"/>
          <w:color w:val="auto"/>
          <w:highlight w:val="none"/>
        </w:rPr>
      </w:pPr>
      <w:r>
        <w:rPr>
          <w:rFonts w:cs="Times New Roman"/>
          <w:color w:val="auto"/>
          <w:highlight w:val="none"/>
        </w:rPr>
        <w:t>目前水土流失仍是柳江区当前面临的主要生态问题之一。一方面，</w:t>
      </w:r>
      <w:r>
        <w:rPr>
          <w:rFonts w:cs="Times New Roman"/>
          <w:color w:val="auto"/>
          <w:highlight w:val="none"/>
          <w:lang w:val="zh-CN"/>
        </w:rPr>
        <w:t>由于经济的飞速发展，柳江区各类交通工程、房地产建设、矿产开发、水利建设等活动增多，</w:t>
      </w:r>
      <w:r>
        <w:rPr>
          <w:rFonts w:cs="Times New Roman"/>
          <w:color w:val="auto"/>
          <w:highlight w:val="none"/>
        </w:rPr>
        <w:t>柳江区现有水土流失面积390.76</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，占柳江区土地总面积的</w:t>
      </w:r>
      <w:r>
        <w:rPr>
          <w:rFonts w:cs="Times New Roman"/>
          <w:color w:val="auto"/>
          <w:highlight w:val="none"/>
        </w:rPr>
        <w:t>22.04%</w:t>
      </w:r>
      <w:r>
        <w:rPr>
          <w:rFonts w:cs="Times New Roman"/>
          <w:color w:val="auto"/>
          <w:highlight w:val="none"/>
          <w:lang w:val="zh-CN"/>
        </w:rPr>
        <w:t>，县区内水土流失量大面广的现状没有发生根本性改变</w:t>
      </w:r>
      <w:r>
        <w:rPr>
          <w:rFonts w:cs="Times New Roman"/>
          <w:color w:val="auto"/>
          <w:highlight w:val="none"/>
        </w:rPr>
        <w:t>；另一方面，现有的水土流失治理普遍还存在治理质量和标准不高、治理体系不完善等情况，防治进程、效果与水土保持高质量发展、生态文明建设的要求还存在一定的差距。</w:t>
      </w:r>
    </w:p>
    <w:p>
      <w:pPr>
        <w:pStyle w:val="4"/>
        <w:spacing w:before="156"/>
        <w:ind w:firstLine="562"/>
        <w:rPr>
          <w:color w:val="auto"/>
          <w:highlight w:val="none"/>
          <w:lang w:val="en-GB"/>
        </w:rPr>
      </w:pPr>
      <w:bookmarkStart w:id="187" w:name="_Toc7164"/>
      <w:bookmarkStart w:id="188" w:name="_Toc14299"/>
      <w:bookmarkStart w:id="189" w:name="_Toc101681443"/>
      <w:r>
        <w:rPr>
          <w:color w:val="auto"/>
          <w:highlight w:val="none"/>
          <w:lang w:val="en-US"/>
        </w:rPr>
        <w:t>3.1.4水土保持监督管理</w:t>
      </w:r>
      <w:bookmarkEnd w:id="187"/>
      <w:r>
        <w:rPr>
          <w:color w:val="auto"/>
          <w:highlight w:val="none"/>
          <w:lang w:val="en-US"/>
        </w:rPr>
        <w:t>评价</w:t>
      </w:r>
      <w:bookmarkEnd w:id="188"/>
      <w:bookmarkEnd w:id="189"/>
    </w:p>
    <w:p>
      <w:pPr>
        <w:rPr>
          <w:rFonts w:cs="Times New Roman"/>
          <w:color w:val="auto"/>
          <w:highlight w:val="none"/>
        </w:rPr>
      </w:pPr>
      <w:r>
        <w:rPr>
          <w:rFonts w:cs="Times New Roman"/>
          <w:color w:val="auto"/>
          <w:highlight w:val="none"/>
        </w:rPr>
        <w:t>柳江区通过大力开展水土保持监督管理，规范水土保持监管建设，基本实现水土保持执法队伍专业化，水土保持监督管理制度化，生产建设项目落实“三同时”制度逐步正规化，水土保持监督检查常态化。柳江区水土保持监督管理虽然取得了一定的成效，但也存在一定的问题，主要表现在以下三个方面：</w:t>
      </w:r>
    </w:p>
    <w:p>
      <w:pPr>
        <w:rPr>
          <w:rFonts w:cs="Times New Roman"/>
          <w:color w:val="auto"/>
          <w:highlight w:val="none"/>
        </w:rPr>
      </w:pPr>
      <w:r>
        <w:rPr>
          <w:rFonts w:cs="Times New Roman"/>
          <w:color w:val="auto"/>
          <w:highlight w:val="none"/>
        </w:rPr>
        <w:t>一、缺乏快速惩戒的事中处罚机制。根据当前水土保持相关法律法规，在对生产建设项目“三同时”监管中，对事中监测方面没有强制处罚手段。为此，自治区水利厅在水土保持“三个管理办法”中对于生产建设项目事中监管环节使用了信用惩戒的方式，这种管理方式对于长效管理十分有效但时效较长。管理效率滞后，导致建设单位</w:t>
      </w:r>
      <w:r>
        <w:rPr>
          <w:rFonts w:hint="eastAsia" w:cs="Times New Roman"/>
          <w:color w:val="auto"/>
          <w:highlight w:val="none"/>
          <w:lang w:eastAsia="zh-CN"/>
        </w:rPr>
        <w:t>厉行</w:t>
      </w:r>
      <w:r>
        <w:rPr>
          <w:rFonts w:cs="Times New Roman"/>
          <w:color w:val="auto"/>
          <w:highlight w:val="none"/>
        </w:rPr>
        <w:t>整改的意愿不强，容易出现“拖</w:t>
      </w:r>
      <w:r>
        <w:rPr>
          <w:rFonts w:hint="eastAsia" w:cs="Times New Roman"/>
          <w:color w:val="auto"/>
          <w:highlight w:val="none"/>
          <w:lang w:eastAsia="zh-CN"/>
        </w:rPr>
        <w:t>”“</w:t>
      </w:r>
      <w:r>
        <w:rPr>
          <w:rFonts w:cs="Times New Roman"/>
          <w:color w:val="auto"/>
          <w:highlight w:val="none"/>
        </w:rPr>
        <w:t>推</w:t>
      </w:r>
      <w:r>
        <w:rPr>
          <w:rFonts w:hint="eastAsia" w:cs="Times New Roman"/>
          <w:color w:val="auto"/>
          <w:highlight w:val="none"/>
          <w:lang w:eastAsia="zh-CN"/>
        </w:rPr>
        <w:t>”“</w:t>
      </w:r>
      <w:r>
        <w:rPr>
          <w:rFonts w:cs="Times New Roman"/>
          <w:color w:val="auto"/>
          <w:highlight w:val="none"/>
        </w:rPr>
        <w:t>躲”的情况，易造成“事后”验收出现难以控制的尴尬局面。</w:t>
      </w:r>
    </w:p>
    <w:p>
      <w:pPr>
        <w:rPr>
          <w:rFonts w:cs="Times New Roman"/>
          <w:color w:val="auto"/>
          <w:highlight w:val="none"/>
        </w:rPr>
      </w:pPr>
      <w:r>
        <w:rPr>
          <w:rFonts w:cs="Times New Roman"/>
          <w:color w:val="auto"/>
          <w:highlight w:val="none"/>
        </w:rPr>
        <w:t>二、基层队伍力量和监管手段有待加强。受体制编制等</w:t>
      </w:r>
      <w:r>
        <w:rPr>
          <w:rFonts w:hint="eastAsia" w:cs="Times New Roman"/>
          <w:color w:val="auto"/>
          <w:highlight w:val="none"/>
          <w:lang w:eastAsia="zh-CN"/>
        </w:rPr>
        <w:t>多种</w:t>
      </w:r>
      <w:r>
        <w:rPr>
          <w:rFonts w:cs="Times New Roman"/>
          <w:color w:val="auto"/>
          <w:highlight w:val="none"/>
        </w:rPr>
        <w:t>因素影响，县区未设置专门的水土保持管理和监测机构，一人多岗、一岗多责，专业技术人员配备有限。由于需要监管的生产建设项目数量较大，基层靠现场检查等传统方式进行监管，难以做到全覆盖、全过程，水土保持事中事后相对困难，影响水土保持法的全面贯彻落实。</w:t>
      </w:r>
    </w:p>
    <w:p>
      <w:pPr>
        <w:rPr>
          <w:rFonts w:cs="Times New Roman"/>
          <w:color w:val="auto"/>
          <w:highlight w:val="none"/>
        </w:rPr>
      </w:pPr>
      <w:r>
        <w:rPr>
          <w:rFonts w:cs="Times New Roman"/>
          <w:color w:val="auto"/>
          <w:highlight w:val="none"/>
        </w:rPr>
        <w:t>三、生产建设项目参建单位水土保持意识较差。县区水行政主管部门对生产建设项目水土保持方案实施情况进行监督检查时发现，生产建设项目参建单位水土保持意识较差，一方面是部分国企项目、政府平台公司实施项目在申请立项阶段，没有充分考虑后期水土保持工作需要的经费问题，导致建设过程中经费不足无法落实水土保持监测验收工作和水土保持防护措施；另一方面是建设单位、施工单位、监理单位对水土保持工作认识不足，未能根据法律法规的要求履行相应的水土保持责任，水土保持方案流于形式，水土保持防治措施未能及时落实，导致项目建设过程中出现水土流失的问题。</w:t>
      </w:r>
    </w:p>
    <w:p>
      <w:pPr>
        <w:pStyle w:val="4"/>
        <w:spacing w:before="156"/>
        <w:ind w:firstLine="562"/>
        <w:rPr>
          <w:color w:val="auto"/>
          <w:highlight w:val="none"/>
        </w:rPr>
      </w:pPr>
      <w:bookmarkStart w:id="190" w:name="_Toc23484"/>
      <w:bookmarkStart w:id="191" w:name="_Toc101681444"/>
      <w:r>
        <w:rPr>
          <w:color w:val="auto"/>
          <w:highlight w:val="none"/>
        </w:rPr>
        <w:t>3.1.5生态状况评价</w:t>
      </w:r>
      <w:bookmarkEnd w:id="190"/>
      <w:bookmarkEnd w:id="191"/>
    </w:p>
    <w:p>
      <w:pPr>
        <w:rPr>
          <w:rFonts w:cs="Times New Roman"/>
          <w:color w:val="auto"/>
          <w:highlight w:val="none"/>
        </w:rPr>
      </w:pPr>
      <w:bookmarkStart w:id="192" w:name="_Toc101681445"/>
      <w:r>
        <w:rPr>
          <w:rFonts w:cs="Times New Roman"/>
          <w:color w:val="auto"/>
          <w:highlight w:val="none"/>
        </w:rPr>
        <w:t>近年来，为了更好地满足人民群众对优美生态、高品质城市环境的需要，</w:t>
      </w:r>
      <w:r>
        <w:rPr>
          <w:rFonts w:cs="Times New Roman"/>
          <w:color w:val="auto"/>
          <w:sz w:val="29"/>
          <w:szCs w:val="29"/>
          <w:highlight w:val="none"/>
          <w:shd w:val="clear" w:color="auto" w:fill="FFFFFF"/>
        </w:rPr>
        <w:t>在上级党委政府及区委的正确领导下，柳江区坚持以习近平新时代中国特色社会主义思想为指导，全面贯彻落实党的</w:t>
      </w:r>
      <w:r>
        <w:rPr>
          <w:rFonts w:hint="eastAsia" w:cs="Times New Roman"/>
          <w:color w:val="auto"/>
          <w:sz w:val="29"/>
          <w:szCs w:val="29"/>
          <w:highlight w:val="none"/>
          <w:shd w:val="clear" w:color="auto" w:fill="FFFFFF"/>
          <w:lang w:val="en-US" w:eastAsia="zh-CN"/>
        </w:rPr>
        <w:t>二十</w:t>
      </w:r>
      <w:r>
        <w:rPr>
          <w:rFonts w:cs="Times New Roman"/>
          <w:color w:val="auto"/>
          <w:sz w:val="29"/>
          <w:szCs w:val="29"/>
          <w:highlight w:val="none"/>
          <w:shd w:val="clear" w:color="auto" w:fill="FFFFFF"/>
        </w:rPr>
        <w:t>大精神，认真落实习近平总书记视察广西“4.27”重要讲话精神和对广西工作系列重要指示要求，</w:t>
      </w:r>
      <w:r>
        <w:rPr>
          <w:rFonts w:cs="Times New Roman"/>
          <w:color w:val="auto"/>
          <w:highlight w:val="none"/>
        </w:rPr>
        <w:t>深入贯彻落实习近平生态文明思想的号召，牢固树立绿色发展理念，深入推进城镇化健康发展、城市综合执法、生态文明等体制机制改革，扬尘污染防治、农村环境综合整治等工作成绩斐然，县区生态环境明显提升，柳江区曾获“全市林业有害生物防控目标管理检查考核中获得优秀等级”“全市各县区人民政府2018年度保护发展森林资源目标责任制考核结果中获优秀等级”“全市五县五区2018年度耕地保护责任目标履行情况考核中获得优秀等次”荣誉称号。2019年，12月4日拉堡镇和进德镇获得自治区生态乡镇命名。</w:t>
      </w:r>
    </w:p>
    <w:p>
      <w:pPr>
        <w:pStyle w:val="4"/>
        <w:spacing w:before="156"/>
        <w:ind w:firstLine="562"/>
        <w:rPr>
          <w:color w:val="auto"/>
          <w:highlight w:val="none"/>
        </w:rPr>
      </w:pPr>
      <w:bookmarkStart w:id="193" w:name="_Toc3314"/>
      <w:r>
        <w:rPr>
          <w:color w:val="auto"/>
          <w:highlight w:val="none"/>
        </w:rPr>
        <w:t>3.1.6水资源丰缺程度评价</w:t>
      </w:r>
      <w:bookmarkEnd w:id="192"/>
      <w:bookmarkEnd w:id="193"/>
    </w:p>
    <w:p>
      <w:pPr>
        <w:rPr>
          <w:rFonts w:cs="Times New Roman"/>
          <w:color w:val="auto"/>
          <w:highlight w:val="none"/>
          <w:lang w:val="zh-CN"/>
        </w:rPr>
      </w:pPr>
      <w:r>
        <w:rPr>
          <w:rFonts w:cs="Times New Roman"/>
          <w:color w:val="auto"/>
          <w:highlight w:val="none"/>
          <w:lang w:val="zh-CN"/>
        </w:rPr>
        <w:t>以下分析均用柳州市辖区的水资源丰缺程度代表柳江区水资源丰缺程度。</w:t>
      </w:r>
    </w:p>
    <w:p>
      <w:pPr>
        <w:rPr>
          <w:rFonts w:cs="Times New Roman"/>
          <w:color w:val="auto"/>
          <w:highlight w:val="none"/>
          <w:lang w:val="zh-CN"/>
        </w:rPr>
      </w:pPr>
      <w:r>
        <w:rPr>
          <w:rFonts w:cs="Times New Roman"/>
          <w:color w:val="auto"/>
          <w:highlight w:val="none"/>
          <w:lang w:val="zh-CN"/>
        </w:rPr>
        <w:t>2020年柳州市辖区降雨量为1633.6mm，降水总量53.45亿m</w:t>
      </w:r>
      <w:r>
        <w:rPr>
          <w:rFonts w:cs="Times New Roman"/>
          <w:color w:val="auto"/>
          <w:highlight w:val="none"/>
          <w:vertAlign w:val="superscript"/>
          <w:lang w:val="zh-CN"/>
        </w:rPr>
        <w:t>3</w:t>
      </w:r>
      <w:r>
        <w:rPr>
          <w:rFonts w:cs="Times New Roman"/>
          <w:color w:val="auto"/>
          <w:highlight w:val="none"/>
          <w:lang w:val="zh-CN"/>
        </w:rPr>
        <w:t>，地表水资源量为42.24亿m</w:t>
      </w:r>
      <w:r>
        <w:rPr>
          <w:rFonts w:cs="Times New Roman"/>
          <w:color w:val="auto"/>
          <w:highlight w:val="none"/>
          <w:vertAlign w:val="superscript"/>
          <w:lang w:val="zh-CN"/>
        </w:rPr>
        <w:t>3</w:t>
      </w:r>
      <w:r>
        <w:rPr>
          <w:rFonts w:cs="Times New Roman"/>
          <w:color w:val="auto"/>
          <w:highlight w:val="none"/>
          <w:lang w:val="zh-CN"/>
        </w:rPr>
        <w:t>，折合径流深1291.0mm，地下水资源量6.68亿m</w:t>
      </w:r>
      <w:r>
        <w:rPr>
          <w:rFonts w:cs="Times New Roman"/>
          <w:color w:val="auto"/>
          <w:highlight w:val="none"/>
          <w:vertAlign w:val="superscript"/>
          <w:lang w:val="zh-CN"/>
        </w:rPr>
        <w:t>3</w:t>
      </w:r>
      <w:r>
        <w:rPr>
          <w:rFonts w:cs="Times New Roman"/>
          <w:color w:val="auto"/>
          <w:highlight w:val="none"/>
          <w:lang w:val="zh-CN"/>
        </w:rPr>
        <w:t>，水资源总量42.24亿m</w:t>
      </w:r>
      <w:r>
        <w:rPr>
          <w:rFonts w:cs="Times New Roman"/>
          <w:color w:val="auto"/>
          <w:highlight w:val="none"/>
          <w:vertAlign w:val="superscript"/>
          <w:lang w:val="zh-CN"/>
        </w:rPr>
        <w:t>3</w:t>
      </w:r>
      <w:r>
        <w:rPr>
          <w:rFonts w:cs="Times New Roman"/>
          <w:color w:val="auto"/>
          <w:highlight w:val="none"/>
          <w:lang w:val="zh-CN"/>
        </w:rPr>
        <w:t>，其中柳江区水资源总量为16.05亿m</w:t>
      </w:r>
      <w:r>
        <w:rPr>
          <w:rFonts w:cs="Times New Roman"/>
          <w:color w:val="auto"/>
          <w:highlight w:val="none"/>
          <w:vertAlign w:val="superscript"/>
          <w:lang w:val="zh-CN"/>
        </w:rPr>
        <w:t>3</w:t>
      </w:r>
      <w:r>
        <w:rPr>
          <w:rFonts w:cs="Times New Roman"/>
          <w:color w:val="auto"/>
          <w:highlight w:val="none"/>
          <w:lang w:val="zh-CN"/>
        </w:rPr>
        <w:t>。</w:t>
      </w:r>
    </w:p>
    <w:p>
      <w:pPr>
        <w:rPr>
          <w:rFonts w:cs="Times New Roman"/>
          <w:color w:val="auto"/>
          <w:highlight w:val="none"/>
          <w:lang w:val="zh-CN"/>
        </w:rPr>
      </w:pPr>
      <w:r>
        <w:rPr>
          <w:rFonts w:cs="Times New Roman"/>
          <w:color w:val="auto"/>
          <w:highlight w:val="none"/>
          <w:lang w:val="zh-CN"/>
        </w:rPr>
        <w:t>2020年柳州市辖区总供水量为7.447亿m</w:t>
      </w:r>
      <w:r>
        <w:rPr>
          <w:rFonts w:cs="Times New Roman"/>
          <w:color w:val="auto"/>
          <w:highlight w:val="none"/>
          <w:vertAlign w:val="superscript"/>
          <w:lang w:val="zh-CN"/>
        </w:rPr>
        <w:t>3</w:t>
      </w:r>
      <w:r>
        <w:rPr>
          <w:rFonts w:cs="Times New Roman"/>
          <w:color w:val="auto"/>
          <w:highlight w:val="none"/>
          <w:lang w:val="zh-CN"/>
        </w:rPr>
        <w:t>（其中地表供水6.866亿m</w:t>
      </w:r>
      <w:r>
        <w:rPr>
          <w:rFonts w:cs="Times New Roman"/>
          <w:color w:val="auto"/>
          <w:highlight w:val="none"/>
          <w:vertAlign w:val="superscript"/>
          <w:lang w:val="zh-CN"/>
        </w:rPr>
        <w:t>3</w:t>
      </w:r>
      <w:r>
        <w:rPr>
          <w:rFonts w:cs="Times New Roman"/>
          <w:color w:val="auto"/>
          <w:highlight w:val="none"/>
          <w:lang w:val="zh-CN"/>
        </w:rPr>
        <w:t>，地下供水0.311m</w:t>
      </w:r>
      <w:r>
        <w:rPr>
          <w:rFonts w:cs="Times New Roman"/>
          <w:color w:val="auto"/>
          <w:highlight w:val="none"/>
          <w:vertAlign w:val="superscript"/>
          <w:lang w:val="zh-CN"/>
        </w:rPr>
        <w:t>3</w:t>
      </w:r>
      <w:r>
        <w:rPr>
          <w:rFonts w:cs="Times New Roman"/>
          <w:color w:val="auto"/>
          <w:highlight w:val="none"/>
          <w:lang w:val="zh-CN"/>
        </w:rPr>
        <w:t>），柳州市辖区供水主要以地表水供水为主，占总供水量的92.20%。2020年柳州市辖区总用水量为7.447亿m</w:t>
      </w:r>
      <w:r>
        <w:rPr>
          <w:rFonts w:cs="Times New Roman"/>
          <w:color w:val="auto"/>
          <w:highlight w:val="none"/>
          <w:vertAlign w:val="superscript"/>
          <w:lang w:val="zh-CN"/>
        </w:rPr>
        <w:t>3</w:t>
      </w:r>
      <w:r>
        <w:rPr>
          <w:rFonts w:cs="Times New Roman"/>
          <w:color w:val="auto"/>
          <w:highlight w:val="none"/>
          <w:lang w:val="zh-CN"/>
        </w:rPr>
        <w:t>（其中农业用水3.266亿m</w:t>
      </w:r>
      <w:r>
        <w:rPr>
          <w:rFonts w:cs="Times New Roman"/>
          <w:color w:val="auto"/>
          <w:highlight w:val="none"/>
          <w:vertAlign w:val="superscript"/>
          <w:lang w:val="zh-CN"/>
        </w:rPr>
        <w:t>3</w:t>
      </w:r>
      <w:r>
        <w:rPr>
          <w:rFonts w:cs="Times New Roman"/>
          <w:color w:val="auto"/>
          <w:highlight w:val="none"/>
          <w:lang w:val="zh-CN"/>
        </w:rPr>
        <w:t>，工业用水1.504亿m</w:t>
      </w:r>
      <w:r>
        <w:rPr>
          <w:rFonts w:cs="Times New Roman"/>
          <w:color w:val="auto"/>
          <w:highlight w:val="none"/>
          <w:vertAlign w:val="superscript"/>
          <w:lang w:val="zh-CN"/>
        </w:rPr>
        <w:t>3</w:t>
      </w:r>
      <w:r>
        <w:rPr>
          <w:rFonts w:cs="Times New Roman"/>
          <w:color w:val="auto"/>
          <w:highlight w:val="none"/>
          <w:lang w:val="zh-CN"/>
        </w:rPr>
        <w:t>，生活用水2.511亿m</w:t>
      </w:r>
      <w:r>
        <w:rPr>
          <w:rFonts w:cs="Times New Roman"/>
          <w:color w:val="auto"/>
          <w:highlight w:val="none"/>
          <w:vertAlign w:val="superscript"/>
          <w:lang w:val="zh-CN"/>
        </w:rPr>
        <w:t>3</w:t>
      </w:r>
      <w:r>
        <w:rPr>
          <w:rFonts w:cs="Times New Roman"/>
          <w:color w:val="auto"/>
          <w:highlight w:val="none"/>
          <w:lang w:val="zh-CN"/>
        </w:rPr>
        <w:t>，居民生活用水0.207亿m</w:t>
      </w:r>
      <w:r>
        <w:rPr>
          <w:rFonts w:cs="Times New Roman"/>
          <w:color w:val="auto"/>
          <w:highlight w:val="none"/>
          <w:vertAlign w:val="superscript"/>
          <w:lang w:val="zh-CN"/>
        </w:rPr>
        <w:t>3</w:t>
      </w:r>
      <w:r>
        <w:rPr>
          <w:rFonts w:cs="Times New Roman"/>
          <w:color w:val="auto"/>
          <w:highlight w:val="none"/>
          <w:lang w:val="zh-CN"/>
        </w:rPr>
        <w:t>，城乡环境用水0.166亿m</w:t>
      </w:r>
      <w:r>
        <w:rPr>
          <w:rFonts w:cs="Times New Roman"/>
          <w:color w:val="auto"/>
          <w:highlight w:val="none"/>
          <w:vertAlign w:val="superscript"/>
          <w:lang w:val="zh-CN"/>
        </w:rPr>
        <w:t>3</w:t>
      </w:r>
      <w:r>
        <w:rPr>
          <w:rFonts w:cs="Times New Roman"/>
          <w:color w:val="auto"/>
          <w:highlight w:val="none"/>
          <w:lang w:val="zh-CN"/>
        </w:rPr>
        <w:t>）。</w:t>
      </w:r>
    </w:p>
    <w:p>
      <w:pPr>
        <w:rPr>
          <w:rFonts w:cs="Times New Roman"/>
          <w:color w:val="auto"/>
          <w:highlight w:val="none"/>
          <w:lang w:val="zh-CN"/>
        </w:rPr>
      </w:pPr>
      <w:r>
        <w:rPr>
          <w:rFonts w:cs="Times New Roman"/>
          <w:color w:val="auto"/>
          <w:highlight w:val="none"/>
          <w:lang w:val="zh-CN"/>
        </w:rPr>
        <w:t>根据《2020年柳州水资源公报》，柳州市辖区水资源量在柳州市中处于较高水平，仅次于融水县和鹿寨县。但是柳州市人均水资源量呈现市区与县分布极不平衡的趋势，城区人均水资源量仅占各县的不到五分之一，柳州市辖区2020年人均水资源量为1675 m</w:t>
      </w:r>
      <w:r>
        <w:rPr>
          <w:rFonts w:cs="Times New Roman"/>
          <w:color w:val="auto"/>
          <w:highlight w:val="none"/>
          <w:vertAlign w:val="superscript"/>
          <w:lang w:val="zh-CN"/>
        </w:rPr>
        <w:t>3</w:t>
      </w:r>
      <w:r>
        <w:rPr>
          <w:rFonts w:cs="Times New Roman"/>
          <w:color w:val="auto"/>
          <w:highlight w:val="none"/>
          <w:lang w:val="zh-CN"/>
        </w:rPr>
        <w:t>，仅为柳州市人均水资源量的26.45%，人均水资源量极为匮乏。柳州市辖区人均用水量、万元地区生产总值用水量（分别295 m</w:t>
      </w:r>
      <w:r>
        <w:rPr>
          <w:rFonts w:cs="Times New Roman"/>
          <w:color w:val="auto"/>
          <w:highlight w:val="none"/>
          <w:vertAlign w:val="superscript"/>
          <w:lang w:val="zh-CN"/>
        </w:rPr>
        <w:t>3</w:t>
      </w:r>
      <w:r>
        <w:rPr>
          <w:rFonts w:cs="Times New Roman"/>
          <w:color w:val="auto"/>
          <w:highlight w:val="none"/>
          <w:lang w:val="zh-CN"/>
        </w:rPr>
        <w:t>、29.8m</w:t>
      </w:r>
      <w:r>
        <w:rPr>
          <w:rFonts w:cs="Times New Roman"/>
          <w:color w:val="auto"/>
          <w:highlight w:val="none"/>
          <w:vertAlign w:val="superscript"/>
          <w:lang w:val="zh-CN"/>
        </w:rPr>
        <w:t>3</w:t>
      </w:r>
      <w:r>
        <w:rPr>
          <w:rFonts w:cs="Times New Roman"/>
          <w:color w:val="auto"/>
          <w:highlight w:val="none"/>
          <w:lang w:val="zh-CN"/>
        </w:rPr>
        <w:t>）均较低，分别为柳州市人均用水量、万元地区生产总值用水量的69.90%、53.99%。因此，与柳州市其他县相比，柳州市辖区人均水资源量较低，随着经济社会的发展，柳州市辖区对水资源的需求将会进一步加大。</w:t>
      </w:r>
    </w:p>
    <w:p>
      <w:pPr>
        <w:pStyle w:val="4"/>
        <w:spacing w:before="156"/>
        <w:ind w:firstLine="562"/>
        <w:rPr>
          <w:color w:val="auto"/>
          <w:highlight w:val="none"/>
        </w:rPr>
      </w:pPr>
      <w:bookmarkStart w:id="194" w:name="_Toc24816"/>
      <w:bookmarkStart w:id="195" w:name="_Toc101681446"/>
      <w:r>
        <w:rPr>
          <w:color w:val="auto"/>
          <w:highlight w:val="none"/>
        </w:rPr>
        <w:t>3.1.7饮用水水源地面源污染评价</w:t>
      </w:r>
      <w:bookmarkEnd w:id="194"/>
      <w:bookmarkEnd w:id="195"/>
    </w:p>
    <w:p>
      <w:pPr>
        <w:rPr>
          <w:rFonts w:cs="Times New Roman"/>
          <w:color w:val="auto"/>
          <w:highlight w:val="none"/>
        </w:rPr>
      </w:pPr>
      <w:bookmarkStart w:id="196" w:name="_Toc101681447"/>
      <w:r>
        <w:rPr>
          <w:rFonts w:cs="Times New Roman"/>
          <w:color w:val="auto"/>
          <w:highlight w:val="none"/>
        </w:rPr>
        <w:t>根据《柳江区乡镇集中式饮用水水源保护区划定方案》柳江区内划定有除拉堡镇和进德镇以外的6个乡镇的6处现用集中式饮用水水源地保护区，拉堡镇和进德镇由柳州市市区（原柳江县县城）水源供水，未划定乡镇集中式饮用水水源保护区。饮用水水源地保护区面积共计</w:t>
      </w:r>
      <w:r>
        <w:rPr>
          <w:rFonts w:eastAsia="仿宋_GB2312" w:cs="Times New Roman"/>
          <w:color w:val="auto"/>
          <w:highlight w:val="none"/>
        </w:rPr>
        <w:t>27.776</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主要分布于百朋镇、成团镇、三都镇、里高镇、穿山镇、土博镇等6个镇。位于百朋镇、成团镇、三都镇、里高镇、穿山镇、土博镇的饮用水水源保护区周边存在大量的农田，随着农药、化肥的大量施用，水土流失作为面源污染物的传输载体，携带面源污染物进入江河湖库，影响江河湖库水质，对饮用水水源地水质安全构成了一定的威胁。</w:t>
      </w:r>
    </w:p>
    <w:p>
      <w:pPr>
        <w:widowControl/>
        <w:adjustRightInd/>
        <w:spacing w:before="156" w:beforeLines="50"/>
        <w:ind w:firstLine="0" w:firstLineChars="0"/>
        <w:jc w:val="center"/>
        <w:rPr>
          <w:rFonts w:eastAsia="黑体" w:cs="Times New Roman"/>
          <w:bCs/>
          <w:color w:val="auto"/>
          <w:kern w:val="0"/>
          <w:sz w:val="24"/>
          <w:szCs w:val="20"/>
          <w:highlight w:val="none"/>
        </w:rPr>
      </w:pPr>
    </w:p>
    <w:p>
      <w:pPr>
        <w:widowControl/>
        <w:adjustRightInd/>
        <w:spacing w:before="156" w:beforeLines="50"/>
        <w:ind w:firstLine="0" w:firstLineChars="0"/>
        <w:jc w:val="center"/>
        <w:rPr>
          <w:rFonts w:eastAsia="黑体" w:cs="Times New Roman"/>
          <w:bCs/>
          <w:color w:val="auto"/>
          <w:kern w:val="0"/>
          <w:sz w:val="24"/>
          <w:szCs w:val="20"/>
          <w:highlight w:val="none"/>
        </w:rPr>
      </w:pPr>
      <w:r>
        <w:rPr>
          <w:rFonts w:eastAsia="黑体" w:cs="Times New Roman"/>
          <w:bCs/>
          <w:color w:val="auto"/>
          <w:kern w:val="0"/>
          <w:sz w:val="24"/>
          <w:szCs w:val="20"/>
          <w:highlight w:val="none"/>
        </w:rPr>
        <w:t>表3.1-1 柳江区乡镇饮用水水源地农田径流污染源调查表</w:t>
      </w:r>
    </w:p>
    <w:tbl>
      <w:tblPr>
        <w:tblStyle w:val="30"/>
        <w:tblW w:w="7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308"/>
        <w:gridCol w:w="1308"/>
        <w:gridCol w:w="130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2616" w:type="dxa"/>
            <w:vMerge w:val="restart"/>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bookmarkStart w:id="197" w:name="OLE_LINK12"/>
            <w:bookmarkStart w:id="198" w:name="OLE_LINK11"/>
            <w:r>
              <w:rPr>
                <w:rFonts w:eastAsia="宋体" w:cs="Times New Roman"/>
                <w:b/>
                <w:bCs/>
                <w:color w:val="auto"/>
                <w:kern w:val="0"/>
                <w:sz w:val="21"/>
                <w:szCs w:val="21"/>
                <w:highlight w:val="none"/>
              </w:rPr>
              <w:t>所属乡镇</w:t>
            </w:r>
          </w:p>
        </w:tc>
        <w:tc>
          <w:tcPr>
            <w:tcW w:w="2616" w:type="dxa"/>
            <w:gridSpan w:val="2"/>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农田面积</w:t>
            </w: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COD排放量</w:t>
            </w: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NH</w:t>
            </w:r>
            <w:r>
              <w:rPr>
                <w:rFonts w:eastAsia="宋体" w:cs="Times New Roman"/>
                <w:b/>
                <w:bCs/>
                <w:color w:val="auto"/>
                <w:kern w:val="0"/>
                <w:sz w:val="21"/>
                <w:szCs w:val="21"/>
                <w:highlight w:val="none"/>
                <w:vertAlign w:val="subscript"/>
              </w:rPr>
              <w:t>3</w:t>
            </w:r>
            <w:r>
              <w:rPr>
                <w:rFonts w:eastAsia="宋体" w:cs="Times New Roman"/>
                <w:b/>
                <w:bCs/>
                <w:color w:val="auto"/>
                <w:kern w:val="0"/>
                <w:sz w:val="21"/>
                <w:szCs w:val="21"/>
                <w:highlight w:val="none"/>
              </w:rPr>
              <w:t>-N排放量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2616" w:type="dxa"/>
            <w:vMerge w:val="continue"/>
            <w:vAlign w:val="center"/>
          </w:tcPr>
          <w:p>
            <w:pPr>
              <w:widowControl/>
              <w:adjustRightInd/>
              <w:spacing w:line="240" w:lineRule="auto"/>
              <w:ind w:firstLine="0" w:firstLineChars="0"/>
              <w:jc w:val="left"/>
              <w:rPr>
                <w:rFonts w:eastAsia="宋体" w:cs="Times New Roman"/>
                <w:b/>
                <w:bCs/>
                <w:color w:val="auto"/>
                <w:kern w:val="0"/>
                <w:sz w:val="21"/>
                <w:szCs w:val="21"/>
                <w:highlight w:val="none"/>
              </w:rPr>
            </w:pP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水田（亩）</w:t>
            </w: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旱地（亩）</w:t>
            </w: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（t/a）</w:t>
            </w:r>
          </w:p>
        </w:tc>
        <w:tc>
          <w:tcPr>
            <w:tcW w:w="130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穿山镇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15</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5</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0.41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里高镇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0.00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成团镇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500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7.50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土博镇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50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750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12.38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三都镇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700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30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16.20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616"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百朋镇</w:t>
            </w:r>
          </w:p>
        </w:tc>
        <w:tc>
          <w:tcPr>
            <w:tcW w:w="1308" w:type="dxa"/>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2300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300</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56.25 </w:t>
            </w:r>
          </w:p>
        </w:tc>
        <w:tc>
          <w:tcPr>
            <w:tcW w:w="1308" w:type="dxa"/>
            <w:shd w:val="clear" w:color="auto" w:fill="auto"/>
            <w:vAlign w:val="bottom"/>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 xml:space="preserve">11.25 </w:t>
            </w:r>
          </w:p>
        </w:tc>
      </w:tr>
      <w:bookmarkEnd w:id="197"/>
      <w:bookmarkEnd w:id="198"/>
    </w:tbl>
    <w:p>
      <w:pPr>
        <w:pStyle w:val="4"/>
        <w:spacing w:before="156"/>
        <w:ind w:firstLine="562"/>
        <w:rPr>
          <w:color w:val="auto"/>
          <w:highlight w:val="none"/>
        </w:rPr>
      </w:pPr>
      <w:bookmarkStart w:id="199" w:name="_Toc13183"/>
      <w:r>
        <w:rPr>
          <w:color w:val="auto"/>
          <w:highlight w:val="none"/>
          <w:lang w:val="en-US"/>
        </w:rPr>
        <w:t>3.1.8水土保持监测工作评价</w:t>
      </w:r>
      <w:bookmarkEnd w:id="196"/>
      <w:bookmarkEnd w:id="199"/>
    </w:p>
    <w:p>
      <w:pPr>
        <w:rPr>
          <w:rFonts w:cs="Times New Roman"/>
          <w:color w:val="auto"/>
          <w:highlight w:val="none"/>
        </w:rPr>
      </w:pPr>
      <w:r>
        <w:rPr>
          <w:rFonts w:cs="Times New Roman"/>
          <w:color w:val="auto"/>
          <w:highlight w:val="none"/>
        </w:rPr>
        <w:t>当前，新时代新形势给水土保持工作带来了有利机遇，对水土保持监测等基础工作也提出了新的要求。按照《广西水土保持监测规划（2015</w:t>
      </w:r>
      <w:r>
        <w:rPr>
          <w:rFonts w:hint="eastAsia" w:cs="Times New Roman"/>
          <w:color w:val="auto"/>
          <w:highlight w:val="none"/>
          <w:lang w:eastAsia="zh-CN"/>
        </w:rPr>
        <w:t>—</w:t>
      </w:r>
      <w:r>
        <w:rPr>
          <w:rFonts w:cs="Times New Roman"/>
          <w:color w:val="auto"/>
          <w:highlight w:val="none"/>
        </w:rPr>
        <w:t>2030年）》的部署安排，全区逐步优化调整监测点布设，建成布局合理、功能齐全的自治区、市、县三级监测网络体系。柳江区水土保持监测主要为生产建设项目小范围</w:t>
      </w:r>
      <w:r>
        <w:rPr>
          <w:rFonts w:hint="eastAsia" w:cs="Times New Roman"/>
          <w:color w:val="auto"/>
          <w:highlight w:val="none"/>
          <w:lang w:val="en-US" w:eastAsia="zh-CN"/>
        </w:rPr>
        <w:t>地</w:t>
      </w:r>
      <w:r>
        <w:rPr>
          <w:rFonts w:cs="Times New Roman"/>
          <w:color w:val="auto"/>
          <w:highlight w:val="none"/>
        </w:rPr>
        <w:t>监测，以临时监测为主，由于监测人员、机构、资金、技术等方面存在不足，常规化的监测未全面开展。在水土保持工作日益严峻的形势下，水土保持监测与管理越来越不能满足加强保持水土、建设生态文明社会的需求。柳江区应加快完善水土保持监测与管理能力建设，积极推进水土保持常规化监测，配合国家、自治区和市级完善县区水土保持监测网络体系，进一步强化水土保持基础工作。</w:t>
      </w:r>
    </w:p>
    <w:p>
      <w:pPr>
        <w:pStyle w:val="3"/>
        <w:spacing w:before="156"/>
        <w:ind w:firstLine="602"/>
        <w:rPr>
          <w:color w:val="auto"/>
          <w:highlight w:val="none"/>
        </w:rPr>
      </w:pPr>
      <w:bookmarkStart w:id="200" w:name="_Toc32746"/>
      <w:bookmarkStart w:id="201" w:name="_Toc23981"/>
      <w:bookmarkStart w:id="202" w:name="_Toc90399092"/>
      <w:bookmarkStart w:id="203" w:name="_Toc482812765"/>
      <w:bookmarkStart w:id="204" w:name="_Toc528945989"/>
      <w:bookmarkStart w:id="205" w:name="_Toc101681448"/>
      <w:r>
        <w:rPr>
          <w:color w:val="auto"/>
          <w:highlight w:val="none"/>
        </w:rPr>
        <w:t>3.2水土保持需求分析</w:t>
      </w:r>
      <w:bookmarkEnd w:id="200"/>
      <w:bookmarkEnd w:id="201"/>
      <w:bookmarkEnd w:id="202"/>
      <w:bookmarkEnd w:id="203"/>
      <w:bookmarkEnd w:id="204"/>
      <w:bookmarkEnd w:id="205"/>
    </w:p>
    <w:p>
      <w:pPr>
        <w:pStyle w:val="4"/>
        <w:spacing w:before="156"/>
        <w:ind w:firstLine="562"/>
        <w:rPr>
          <w:color w:val="auto"/>
          <w:highlight w:val="none"/>
        </w:rPr>
      </w:pPr>
      <w:bookmarkStart w:id="206" w:name="_Toc101681449"/>
      <w:bookmarkStart w:id="207" w:name="_Toc32128"/>
      <w:bookmarkStart w:id="208" w:name="_Toc32594"/>
      <w:r>
        <w:rPr>
          <w:color w:val="auto"/>
          <w:highlight w:val="none"/>
        </w:rPr>
        <w:t>3.2.1</w:t>
      </w:r>
      <w:bookmarkEnd w:id="206"/>
      <w:bookmarkEnd w:id="207"/>
      <w:r>
        <w:rPr>
          <w:rFonts w:hint="default" w:ascii="Arial" w:hAnsi="Arial" w:cs="Arial"/>
          <w:color w:val="auto"/>
          <w:highlight w:val="none"/>
        </w:rPr>
        <w:t>改善水环境、治理水生态</w:t>
      </w:r>
      <w:bookmarkEnd w:id="208"/>
    </w:p>
    <w:p>
      <w:pPr>
        <w:rPr>
          <w:rFonts w:cs="Times New Roman"/>
          <w:color w:val="auto"/>
          <w:highlight w:val="none"/>
        </w:rPr>
      </w:pPr>
      <w:r>
        <w:rPr>
          <w:rFonts w:hint="eastAsia" w:cs="Times New Roman"/>
          <w:color w:val="auto"/>
          <w:highlight w:val="none"/>
          <w:lang w:val="en-US" w:eastAsia="zh-CN"/>
        </w:rPr>
        <w:t>水环境、水生态</w:t>
      </w:r>
      <w:r>
        <w:rPr>
          <w:rFonts w:cs="Times New Roman"/>
          <w:color w:val="auto"/>
          <w:highlight w:val="none"/>
        </w:rPr>
        <w:t>问题既</w:t>
      </w:r>
      <w:r>
        <w:rPr>
          <w:rFonts w:hint="eastAsia" w:cs="Times New Roman"/>
          <w:color w:val="auto"/>
          <w:highlight w:val="none"/>
          <w:lang w:eastAsia="zh-CN"/>
        </w:rPr>
        <w:t>涉及</w:t>
      </w:r>
      <w:r>
        <w:rPr>
          <w:rFonts w:cs="Times New Roman"/>
          <w:color w:val="auto"/>
          <w:highlight w:val="none"/>
        </w:rPr>
        <w:t>人民群众的生命健康，又</w:t>
      </w:r>
      <w:r>
        <w:rPr>
          <w:rFonts w:hint="eastAsia" w:cs="Times New Roman"/>
          <w:color w:val="auto"/>
          <w:highlight w:val="none"/>
          <w:lang w:eastAsia="zh-CN"/>
        </w:rPr>
        <w:t>涉及</w:t>
      </w:r>
      <w:r>
        <w:rPr>
          <w:rFonts w:cs="Times New Roman"/>
          <w:color w:val="auto"/>
          <w:highlight w:val="none"/>
        </w:rPr>
        <w:t>经济社会持续稳定发展。柳江区近年来农村饮水安全工作取得了很大进展，城镇供水工作也取得了很大的成绩，但是饮水安全形势仍十分严峻。地区饮水存在水质不达标、供水保证率低、水质型缺水突出等问题。保障饮水安全、保障群众身体健康及生命安全是当前经济社会发展对水土保持工作的第一需要。</w:t>
      </w:r>
    </w:p>
    <w:p>
      <w:pPr>
        <w:rPr>
          <w:rFonts w:cs="Times New Roman"/>
          <w:color w:val="auto"/>
          <w:highlight w:val="none"/>
        </w:rPr>
      </w:pPr>
      <w:r>
        <w:rPr>
          <w:rFonts w:cs="Times New Roman"/>
          <w:color w:val="auto"/>
          <w:highlight w:val="none"/>
        </w:rPr>
        <w:t>水土流失不仅向河流水库输送大量的泥沙，而且径流与泥沙作为载体将大量面源污染物送入水体，造成水体富营养化，尤其影响城镇饮用水集中供水水源地的安全。水土保持对饮用水安全的保障作用，除了河流源头区和水库集雨区的水源涵养作用外，集中体现在具有水质维护的功能。</w:t>
      </w:r>
    </w:p>
    <w:p>
      <w:pPr>
        <w:rPr>
          <w:rFonts w:cs="Times New Roman"/>
          <w:color w:val="auto"/>
          <w:highlight w:val="none"/>
        </w:rPr>
      </w:pPr>
      <w:r>
        <w:rPr>
          <w:rFonts w:cs="Times New Roman"/>
          <w:color w:val="auto"/>
          <w:highlight w:val="none"/>
        </w:rPr>
        <w:t>工业污染和农业面源污染是柳江区水源地水体富营养化的主要因素。在这些区域，水土保持应以保护水质为核心，减少水土流失，控制入库泥沙和面源污染；大力推广清洁小流域建设模式，为城镇居民提供良好的生态环境；通过植物、工程、管理等综合措施，</w:t>
      </w:r>
      <w:r>
        <w:rPr>
          <w:rFonts w:hint="eastAsia" w:cs="Times New Roman"/>
          <w:color w:val="auto"/>
          <w:highlight w:val="none"/>
          <w:lang w:eastAsia="zh-CN"/>
        </w:rPr>
        <w:t>采取</w:t>
      </w:r>
      <w:r>
        <w:rPr>
          <w:rFonts w:cs="Times New Roman"/>
          <w:color w:val="auto"/>
          <w:highlight w:val="none"/>
        </w:rPr>
        <w:t>工程拦蓄、植物土壤分解、净化设施处理等措施进行充分降解、吸收、转化，将化肥、农药和生活垃圾对下游的危害降低到最低限度</w:t>
      </w:r>
      <w:r>
        <w:rPr>
          <w:rFonts w:hint="eastAsia" w:cs="Times New Roman"/>
          <w:color w:val="auto"/>
          <w:highlight w:val="none"/>
          <w:lang w:eastAsia="zh-CN"/>
        </w:rPr>
        <w:t>。</w:t>
      </w:r>
      <w:r>
        <w:rPr>
          <w:rFonts w:hint="eastAsia" w:cs="Times New Roman"/>
          <w:color w:val="auto"/>
          <w:highlight w:val="none"/>
        </w:rPr>
        <w:t>将改善水环境、治理水生态和发展乡村优势产业有机结合，打造山青、水净、村美、民富的美丽乡村</w:t>
      </w:r>
      <w:r>
        <w:rPr>
          <w:rFonts w:cs="Times New Roman"/>
          <w:color w:val="auto"/>
          <w:highlight w:val="none"/>
        </w:rPr>
        <w:t>。</w:t>
      </w:r>
    </w:p>
    <w:p>
      <w:pPr>
        <w:pStyle w:val="4"/>
        <w:spacing w:before="156"/>
        <w:ind w:firstLine="562"/>
        <w:rPr>
          <w:color w:val="auto"/>
          <w:highlight w:val="none"/>
        </w:rPr>
      </w:pPr>
      <w:bookmarkStart w:id="209" w:name="_Toc77"/>
      <w:bookmarkStart w:id="210" w:name="_Toc101681450"/>
      <w:bookmarkStart w:id="211" w:name="bookmark65"/>
      <w:r>
        <w:rPr>
          <w:color w:val="auto"/>
          <w:highlight w:val="none"/>
        </w:rPr>
        <w:t>3.2.2水土保持</w:t>
      </w:r>
      <w:r>
        <w:rPr>
          <w:rFonts w:hint="default" w:ascii="Arial" w:hAnsi="Arial" w:cs="Arial"/>
          <w:color w:val="auto"/>
          <w:highlight w:val="none"/>
        </w:rPr>
        <w:t>保护农田生态系统</w:t>
      </w:r>
      <w:r>
        <w:rPr>
          <w:color w:val="auto"/>
          <w:highlight w:val="none"/>
        </w:rPr>
        <w:t>、</w:t>
      </w:r>
      <w:r>
        <w:rPr>
          <w:rFonts w:hint="default" w:ascii="Arial" w:hAnsi="Arial" w:cs="Arial"/>
          <w:color w:val="auto"/>
          <w:highlight w:val="none"/>
        </w:rPr>
        <w:t>提升土壤保持能力</w:t>
      </w:r>
      <w:r>
        <w:rPr>
          <w:rFonts w:hint="eastAsia" w:ascii="Arial" w:hAnsi="Arial" w:cs="Arial"/>
          <w:color w:val="auto"/>
          <w:highlight w:val="none"/>
          <w:lang w:eastAsia="zh-CN"/>
        </w:rPr>
        <w:t>、</w:t>
      </w:r>
      <w:r>
        <w:rPr>
          <w:color w:val="auto"/>
          <w:highlight w:val="none"/>
        </w:rPr>
        <w:t>促进农业增收</w:t>
      </w:r>
      <w:bookmarkEnd w:id="209"/>
      <w:bookmarkEnd w:id="210"/>
    </w:p>
    <w:bookmarkEnd w:id="211"/>
    <w:p>
      <w:pPr>
        <w:rPr>
          <w:rFonts w:cs="Times New Roman"/>
          <w:color w:val="auto"/>
          <w:highlight w:val="none"/>
        </w:rPr>
      </w:pPr>
      <w:r>
        <w:rPr>
          <w:rFonts w:cs="Times New Roman"/>
          <w:color w:val="auto"/>
          <w:highlight w:val="none"/>
        </w:rPr>
        <w:t>柳江区河流沿岸地势平坦，光、热、水、土资源丰富，具有适宜的粮食作物生长条件，然而，水土流失的发生，导致入河泥沙量增加，河道淤积严重，河床抬高，洪涝灾害频发，堤岸冲刷崩塌，农业生产道路损毁，人民生命财产受损，土壤防御能力减弱，生产力下降，农田产量降低。同时，在生态恢复建设和经济发展中，又面临着人口不断增加，人均耕地减少，土地污染严重，耕地质量下降等问题。</w:t>
      </w:r>
    </w:p>
    <w:p>
      <w:pPr>
        <w:rPr>
          <w:rFonts w:cs="Times New Roman"/>
          <w:color w:val="auto"/>
          <w:highlight w:val="none"/>
        </w:rPr>
      </w:pPr>
      <w:r>
        <w:rPr>
          <w:rFonts w:cs="Times New Roman"/>
          <w:color w:val="auto"/>
          <w:highlight w:val="none"/>
        </w:rPr>
        <w:t>要建设现代化农业产业基地，大幅度提高粮食产量，必须将水土保持与河道治理以及农田基本建设紧密结合起来，充分发挥水土保持在防治粮食安全方面的重要保障功能。需要以小流域为单元，修建拦蓄工程，进行塘堰整治、河道清淤，</w:t>
      </w:r>
      <w:r>
        <w:rPr>
          <w:rFonts w:hint="eastAsia" w:cs="Times New Roman"/>
          <w:color w:val="auto"/>
          <w:highlight w:val="none"/>
          <w:lang w:eastAsia="zh-CN"/>
        </w:rPr>
        <w:t>采取</w:t>
      </w:r>
      <w:r>
        <w:rPr>
          <w:rFonts w:cs="Times New Roman"/>
          <w:color w:val="auto"/>
          <w:highlight w:val="none"/>
        </w:rPr>
        <w:t>封、补、造措施，提高林草覆盖率，控制地表径流和水土流失，降低入河泥沙量，确保河道行洪安全；对平缓地区通过实施工程措施、植物措施和耕作措施，发展生态农业，</w:t>
      </w:r>
      <w:r>
        <w:rPr>
          <w:rFonts w:hint="eastAsia" w:cs="Times New Roman"/>
          <w:color w:val="auto"/>
          <w:highlight w:val="none"/>
        </w:rPr>
        <w:t>落实耕地休耕轮作制度，推进高标准农田建设，完善农田灌溉排水体系，提升土壤保持能力</w:t>
      </w:r>
      <w:r>
        <w:rPr>
          <w:rFonts w:cs="Times New Roman"/>
          <w:color w:val="auto"/>
          <w:highlight w:val="none"/>
        </w:rPr>
        <w:t>，促进农业增产增收。同时，加强生产建设项目的监管，结合堤防工程和城镇建设，充分利用过程土石方，减少取土、弃渣及占用耕地，密切结合农业、水利等部门相关工程的建设，进行生态修复和重建，提高防洪能力，为农业产业化以及现代化农业生产创造有利条件。</w:t>
      </w:r>
    </w:p>
    <w:p>
      <w:pPr>
        <w:pStyle w:val="4"/>
        <w:spacing w:before="156"/>
        <w:ind w:firstLine="562"/>
        <w:rPr>
          <w:rFonts w:hint="default" w:eastAsia="黑体"/>
          <w:color w:val="auto"/>
          <w:highlight w:val="none"/>
          <w:lang w:val="en-US" w:eastAsia="zh-CN"/>
        </w:rPr>
      </w:pPr>
      <w:bookmarkStart w:id="212" w:name="_Toc101681451"/>
      <w:bookmarkStart w:id="213" w:name="_Toc14386"/>
      <w:bookmarkStart w:id="214" w:name="bookmark67"/>
      <w:r>
        <w:rPr>
          <w:color w:val="auto"/>
          <w:highlight w:val="none"/>
        </w:rPr>
        <w:t>3.2.3</w:t>
      </w:r>
      <w:bookmarkEnd w:id="212"/>
      <w:r>
        <w:rPr>
          <w:rFonts w:hint="eastAsia"/>
          <w:color w:val="auto"/>
          <w:highlight w:val="none"/>
          <w:lang w:val="en-US" w:eastAsia="zh-CN"/>
        </w:rPr>
        <w:t>区域发展战略对水土保持提出了更高的要求</w:t>
      </w:r>
      <w:bookmarkEnd w:id="213"/>
    </w:p>
    <w:bookmarkEnd w:id="214"/>
    <w:p>
      <w:pPr>
        <w:rPr>
          <w:rFonts w:hint="default" w:cs="Times New Roman"/>
          <w:color w:val="auto"/>
          <w:highlight w:val="none"/>
          <w:lang w:val="en-US"/>
        </w:rPr>
      </w:pPr>
      <w:r>
        <w:rPr>
          <w:rFonts w:hint="eastAsia" w:cs="Times New Roman"/>
          <w:color w:val="auto"/>
          <w:highlight w:val="none"/>
          <w:lang w:val="en-US" w:eastAsia="zh-CN"/>
        </w:rPr>
        <w:t>我国进入经济社会高质量发展的新时代，党的二十大胜利召开后，党中央国务院提出了一系列国家战略发展新思路，2023年1月，中共中央办公厅、国务院办公厅印发了《关于加强新时代水土保持工作的意见》，2023年5月，广西壮族自治区人民政府办公厅关于印发《广西加强新时代水土保持工作实施方案的通知》（桂政办发〔2023〕28号），要求全面加强水土流失预防保护，依法严格人为水土流失监管，加快推进水土流失重点治理，提升水土保持管理能力和水平。</w:t>
      </w:r>
    </w:p>
    <w:p>
      <w:pPr>
        <w:rPr>
          <w:rFonts w:cs="Times New Roman"/>
          <w:color w:val="auto"/>
          <w:highlight w:val="none"/>
        </w:rPr>
      </w:pPr>
      <w:r>
        <w:rPr>
          <w:rFonts w:cs="Times New Roman"/>
          <w:color w:val="auto"/>
          <w:highlight w:val="none"/>
        </w:rPr>
        <w:t>随着柳江区人口总量持续增长，城镇化水平不断提高，资源环境承载压力日益增大。因此，进一步加强水土流失防治，充分发挥水土保持对生态改善和生态安全维护的作用刻不容缓。水土保持在生态建设中具有独特的优势，能够充分考虑自然、社会等各种因素，统筹协调各方面力量，科学配置各项措施，确保人口、资源、环境和经济社会的协调发展。</w:t>
      </w:r>
    </w:p>
    <w:p>
      <w:pPr>
        <w:pStyle w:val="4"/>
        <w:spacing w:before="156"/>
        <w:ind w:firstLine="562"/>
        <w:rPr>
          <w:color w:val="auto"/>
          <w:highlight w:val="none"/>
        </w:rPr>
      </w:pPr>
      <w:bookmarkStart w:id="215" w:name="_Toc101681452"/>
      <w:bookmarkStart w:id="216" w:name="bookmark68"/>
      <w:bookmarkStart w:id="217" w:name="_Toc30386"/>
      <w:r>
        <w:rPr>
          <w:color w:val="auto"/>
          <w:highlight w:val="none"/>
        </w:rPr>
        <w:t>3.2.4乡村振兴要求水土保持发挥积极作用</w:t>
      </w:r>
      <w:bookmarkEnd w:id="215"/>
      <w:bookmarkEnd w:id="216"/>
      <w:bookmarkEnd w:id="217"/>
    </w:p>
    <w:p>
      <w:pPr>
        <w:rPr>
          <w:rFonts w:hint="default" w:eastAsia="仿宋" w:cs="Times New Roman"/>
          <w:color w:val="auto"/>
          <w:highlight w:val="none"/>
          <w:lang w:val="en-US" w:eastAsia="zh-CN"/>
        </w:rPr>
      </w:pPr>
      <w:r>
        <w:rPr>
          <w:rFonts w:hint="eastAsia" w:cs="Times New Roman"/>
          <w:color w:val="auto"/>
          <w:highlight w:val="none"/>
          <w:lang w:val="en-US" w:eastAsia="zh-CN"/>
        </w:rPr>
        <w:t>党的十九大作出了实施乡村振兴战略的重大战略部署，提出了“产业兴旺、生态宜居、乡风文明、治理有效、生活富裕”的总要求，要合理布局生产、生活和生态空间，用有限的生产空间生产更多的优质产品。水土保持工作要切实将习近平总书记关于乡村振兴战略的重要讲话精神贯彻落实到实处，围绕实施乡村振兴战略，以小流域为单元的重点工程建设为抓手，不断改善乡村生产生活生态条件，以生态清洁型小流域建设推动生态文明建设。</w:t>
      </w:r>
    </w:p>
    <w:p>
      <w:pPr>
        <w:rPr>
          <w:rFonts w:cs="Times New Roman"/>
          <w:color w:val="auto"/>
          <w:highlight w:val="none"/>
        </w:rPr>
      </w:pPr>
      <w:r>
        <w:rPr>
          <w:rFonts w:hint="eastAsia" w:cs="Times New Roman"/>
          <w:color w:val="auto"/>
          <w:highlight w:val="none"/>
          <w:lang w:val="en-US" w:eastAsia="zh-CN"/>
        </w:rPr>
        <w:t>因此，水土保持要围绕“产业兴旺、生态宜居、生活富裕”的要求，充分发挥项目的综合性优势，把水土流失综合治理与农业综合生产能力提高、产业结构调整、农民增产增收和生活生态质量提升结合起来，与农村河道水系整治、乡村人居环境改善、生态产业发展等有机结合起来，切实精准配置水土保持各项措施，最大限度地维护和提高水土保持基础功能和社会经济功能，创造更多的优质生态产品和提高水土保持基础功能和社会经济功能，创造更多的优质生态产品和更优美的生态环境，满足人民对美好生活的更高需求</w:t>
      </w:r>
      <w:r>
        <w:rPr>
          <w:rFonts w:cs="Times New Roman"/>
          <w:color w:val="auto"/>
          <w:highlight w:val="none"/>
        </w:rPr>
        <w:t>。</w:t>
      </w:r>
    </w:p>
    <w:p>
      <w:pPr>
        <w:pStyle w:val="4"/>
        <w:spacing w:before="156"/>
        <w:ind w:firstLine="562"/>
        <w:rPr>
          <w:rFonts w:hint="default" w:eastAsia="黑体"/>
          <w:color w:val="auto"/>
          <w:highlight w:val="none"/>
          <w:lang w:val="en-US" w:eastAsia="zh-CN"/>
        </w:rPr>
      </w:pPr>
      <w:bookmarkStart w:id="218" w:name="_Toc101681453"/>
      <w:bookmarkStart w:id="219" w:name="bookmark69"/>
      <w:bookmarkStart w:id="220" w:name="_Toc1176"/>
      <w:r>
        <w:rPr>
          <w:color w:val="auto"/>
          <w:highlight w:val="none"/>
        </w:rPr>
        <w:t>3.2.5“美丽</w:t>
      </w:r>
      <w:r>
        <w:rPr>
          <w:rFonts w:hint="eastAsia"/>
          <w:color w:val="auto"/>
          <w:highlight w:val="none"/>
          <w:lang w:val="en-US" w:eastAsia="zh-CN"/>
        </w:rPr>
        <w:t>中国</w:t>
      </w:r>
      <w:r>
        <w:rPr>
          <w:color w:val="auto"/>
          <w:highlight w:val="none"/>
        </w:rPr>
        <w:t>”建设要求</w:t>
      </w:r>
      <w:bookmarkEnd w:id="218"/>
      <w:bookmarkEnd w:id="219"/>
      <w:r>
        <w:rPr>
          <w:rFonts w:hint="eastAsia"/>
          <w:color w:val="auto"/>
          <w:highlight w:val="none"/>
          <w:lang w:val="en-US" w:eastAsia="zh-CN"/>
        </w:rPr>
        <w:t>发挥水土保持作用</w:t>
      </w:r>
      <w:bookmarkEnd w:id="220"/>
    </w:p>
    <w:p>
      <w:pPr>
        <w:rPr>
          <w:rFonts w:hint="default" w:cs="Times New Roman"/>
          <w:color w:val="auto"/>
          <w:highlight w:val="none"/>
          <w:lang w:val="en-US" w:eastAsia="zh-CN"/>
        </w:rPr>
      </w:pPr>
      <w:r>
        <w:rPr>
          <w:rFonts w:hint="eastAsia" w:cs="Times New Roman"/>
          <w:color w:val="auto"/>
          <w:highlight w:val="none"/>
          <w:lang w:val="en-US" w:eastAsia="zh-CN"/>
        </w:rPr>
        <w:t>进入新发展阶段，我国要建设人与自然和谐共生的现代化，经济社会发展将全面绿色转型，绿色将成为高质量发展的普遍形态和鲜明底色，这给水土保持工作带来了新的工作机遇。</w:t>
      </w:r>
    </w:p>
    <w:p>
      <w:pPr>
        <w:rPr>
          <w:rFonts w:hint="default" w:eastAsia="仿宋" w:cs="Times New Roman"/>
          <w:color w:val="auto"/>
          <w:highlight w:val="none"/>
          <w:lang w:val="en-US" w:eastAsia="zh-CN"/>
        </w:rPr>
      </w:pPr>
      <w:r>
        <w:rPr>
          <w:rFonts w:hint="eastAsia" w:cs="Times New Roman"/>
          <w:color w:val="auto"/>
          <w:highlight w:val="none"/>
          <w:lang w:val="en-US" w:eastAsia="zh-CN"/>
        </w:rPr>
        <w:t>党的十九届五中全会将“美丽中国建设目标基本实现”纳入2035年基本实现社会主义现代化远景目标，将“生态文明建设实现新进步”确立为“十四五”时期经济社会发展主要目标之一，明确提出“科学推进荒漠化、石漠化、水土流失综合治理”。</w:t>
      </w:r>
    </w:p>
    <w:p>
      <w:pPr>
        <w:pStyle w:val="4"/>
        <w:spacing w:before="156"/>
        <w:ind w:firstLine="562"/>
        <w:rPr>
          <w:color w:val="auto"/>
          <w:highlight w:val="none"/>
        </w:rPr>
      </w:pPr>
      <w:bookmarkStart w:id="221" w:name="_Toc19173"/>
      <w:bookmarkStart w:id="222" w:name="bookmark70"/>
      <w:bookmarkStart w:id="223" w:name="_Toc101681454"/>
      <w:r>
        <w:rPr>
          <w:color w:val="auto"/>
          <w:highlight w:val="none"/>
        </w:rPr>
        <w:t>3.2.6加强政府的社会管理和公共服务能力，要求水土保持不断深化改革，全面加强行业能力建设</w:t>
      </w:r>
      <w:bookmarkEnd w:id="221"/>
      <w:bookmarkEnd w:id="222"/>
      <w:bookmarkEnd w:id="223"/>
    </w:p>
    <w:p>
      <w:pPr>
        <w:rPr>
          <w:rFonts w:cs="Times New Roman"/>
          <w:color w:val="auto"/>
          <w:highlight w:val="none"/>
        </w:rPr>
      </w:pPr>
      <w:r>
        <w:rPr>
          <w:rFonts w:cs="Times New Roman"/>
          <w:color w:val="auto"/>
          <w:highlight w:val="none"/>
        </w:rPr>
        <w:t>随着经济社会的迅速发展、社会主义市场经济体制的不断完善和依法治国进程的加快，要求水土保持进一步加强法制建设，全面落实政府目标责任制；依法建立和完善水土保持监督管理、监测评价制度，增强社会管理和服务功能；不断完善水土保持政策、技术标准、规划、科技支撑、机构和队伍五大体系，强化行业能力建设，以水土保持信息化推动水土保持现代化；深化改革，不断建立和完善统筹协调、水土保持补偿、公众监督和参与、投融资、重点工程建设和管理机制，推动水土保持事业新发展。</w:t>
      </w:r>
    </w:p>
    <w:p>
      <w:pPr>
        <w:pStyle w:val="2"/>
        <w:rPr>
          <w:color w:val="auto"/>
          <w:highlight w:val="none"/>
          <w:lang w:val="en-US"/>
        </w:rPr>
      </w:pPr>
      <w:bookmarkStart w:id="224" w:name="_Toc439661514"/>
      <w:bookmarkStart w:id="225" w:name="_Toc482812766"/>
      <w:bookmarkStart w:id="226" w:name="_Toc528945990"/>
      <w:bookmarkStart w:id="227" w:name="_Toc9622"/>
      <w:bookmarkStart w:id="228" w:name="_Toc101681455"/>
      <w:bookmarkStart w:id="229" w:name="_Toc878"/>
      <w:bookmarkStart w:id="230" w:name="_Toc90399093"/>
      <w:r>
        <w:rPr>
          <w:color w:val="auto"/>
          <w:highlight w:val="none"/>
          <w:lang w:val="en-US"/>
        </w:rPr>
        <w:t>4</w:t>
      </w:r>
      <w:r>
        <w:rPr>
          <w:color w:val="auto"/>
          <w:highlight w:val="none"/>
          <w:lang w:val="en-GB"/>
        </w:rPr>
        <w:t>规划依据、</w:t>
      </w:r>
      <w:bookmarkEnd w:id="224"/>
      <w:bookmarkEnd w:id="225"/>
      <w:bookmarkEnd w:id="226"/>
      <w:r>
        <w:rPr>
          <w:color w:val="auto"/>
          <w:highlight w:val="none"/>
          <w:lang w:val="en-GB"/>
        </w:rPr>
        <w:t>目标</w:t>
      </w:r>
      <w:bookmarkEnd w:id="227"/>
      <w:r>
        <w:rPr>
          <w:color w:val="auto"/>
          <w:highlight w:val="none"/>
          <w:lang w:val="en-GB"/>
        </w:rPr>
        <w:t>和</w:t>
      </w:r>
      <w:r>
        <w:rPr>
          <w:color w:val="auto"/>
          <w:highlight w:val="none"/>
          <w:lang w:val="en-US"/>
        </w:rPr>
        <w:t>任务</w:t>
      </w:r>
      <w:bookmarkEnd w:id="228"/>
      <w:bookmarkEnd w:id="229"/>
      <w:bookmarkEnd w:id="230"/>
    </w:p>
    <w:p>
      <w:pPr>
        <w:pStyle w:val="3"/>
        <w:spacing w:before="156"/>
        <w:ind w:firstLine="602"/>
        <w:rPr>
          <w:color w:val="auto"/>
          <w:highlight w:val="none"/>
          <w:lang w:val="en-GB"/>
        </w:rPr>
      </w:pPr>
      <w:bookmarkStart w:id="231" w:name="_Toc25908"/>
      <w:bookmarkStart w:id="232" w:name="_Toc90399094"/>
      <w:bookmarkStart w:id="233" w:name="_Toc439661515"/>
      <w:bookmarkStart w:id="234" w:name="_Toc101681456"/>
      <w:bookmarkStart w:id="235" w:name="_Toc3196"/>
      <w:bookmarkStart w:id="236" w:name="_Toc482812767"/>
      <w:bookmarkStart w:id="237" w:name="_Toc528945991"/>
      <w:r>
        <w:rPr>
          <w:color w:val="auto"/>
          <w:highlight w:val="none"/>
          <w:lang w:val="en-US"/>
        </w:rPr>
        <w:t>4.1</w:t>
      </w:r>
      <w:r>
        <w:rPr>
          <w:color w:val="auto"/>
          <w:highlight w:val="none"/>
          <w:lang w:val="en-GB"/>
        </w:rPr>
        <w:t>指导思想和原则</w:t>
      </w:r>
      <w:bookmarkEnd w:id="231"/>
      <w:bookmarkEnd w:id="232"/>
      <w:bookmarkEnd w:id="233"/>
      <w:bookmarkEnd w:id="234"/>
      <w:bookmarkEnd w:id="235"/>
      <w:bookmarkEnd w:id="236"/>
      <w:bookmarkEnd w:id="237"/>
    </w:p>
    <w:p>
      <w:pPr>
        <w:pStyle w:val="4"/>
        <w:spacing w:before="156"/>
        <w:ind w:firstLine="562"/>
        <w:rPr>
          <w:color w:val="auto"/>
          <w:highlight w:val="none"/>
          <w:lang w:val="en-GB"/>
        </w:rPr>
      </w:pPr>
      <w:bookmarkStart w:id="238" w:name="_Toc21680"/>
      <w:bookmarkStart w:id="239" w:name="_Toc439661516"/>
      <w:bookmarkStart w:id="240" w:name="_Toc101681457"/>
      <w:bookmarkStart w:id="241" w:name="_Toc20379"/>
      <w:r>
        <w:rPr>
          <w:color w:val="auto"/>
          <w:highlight w:val="none"/>
          <w:lang w:val="en-US"/>
        </w:rPr>
        <w:t>4.1.1</w:t>
      </w:r>
      <w:r>
        <w:rPr>
          <w:color w:val="auto"/>
          <w:highlight w:val="none"/>
          <w:lang w:val="en-GB"/>
        </w:rPr>
        <w:t>指导思想</w:t>
      </w:r>
      <w:bookmarkEnd w:id="238"/>
      <w:bookmarkEnd w:id="239"/>
      <w:bookmarkEnd w:id="240"/>
      <w:bookmarkEnd w:id="241"/>
    </w:p>
    <w:p>
      <w:pPr>
        <w:rPr>
          <w:rFonts w:cs="Times New Roman"/>
          <w:color w:val="auto"/>
          <w:highlight w:val="none"/>
          <w:lang w:val="zh-CN"/>
        </w:rPr>
      </w:pPr>
      <w:r>
        <w:rPr>
          <w:rFonts w:cs="Times New Roman"/>
          <w:color w:val="auto"/>
          <w:highlight w:val="none"/>
          <w:lang w:val="zh-CN"/>
        </w:rPr>
        <w:t>以习近平新时代中国特色社会主义思想为指导，深入贯彻落实</w:t>
      </w:r>
      <w:r>
        <w:rPr>
          <w:rFonts w:cs="Times New Roman"/>
          <w:color w:val="auto"/>
          <w:highlight w:val="none"/>
        </w:rPr>
        <w:t>党的</w:t>
      </w:r>
      <w:r>
        <w:rPr>
          <w:rFonts w:hint="eastAsia" w:cs="Times New Roman"/>
          <w:color w:val="auto"/>
          <w:highlight w:val="none"/>
          <w:lang w:val="en-US" w:eastAsia="zh-CN"/>
        </w:rPr>
        <w:t>二十大</w:t>
      </w:r>
      <w:r>
        <w:rPr>
          <w:rFonts w:cs="Times New Roman"/>
          <w:color w:val="auto"/>
          <w:highlight w:val="none"/>
        </w:rPr>
        <w:t>精神</w:t>
      </w:r>
      <w:r>
        <w:rPr>
          <w:rFonts w:cs="Times New Roman"/>
          <w:color w:val="auto"/>
          <w:highlight w:val="none"/>
          <w:lang w:val="zh-CN"/>
        </w:rPr>
        <w:t>，围绕习近平总书记提出的“建设新时代中国特色社会主义壮美广西”总目标和“四个新”总要求，</w:t>
      </w:r>
      <w:r>
        <w:rPr>
          <w:rFonts w:cs="Times New Roman"/>
          <w:color w:val="auto"/>
          <w:highlight w:val="none"/>
        </w:rPr>
        <w:t>坚定不移贯彻习近平生态文明思想和习近平总书记“节水优先、空间均衡、系统治理、两手发力”治水思路，践行“水利工程补短板、水利行业强监管”水利改革发展总基调。以提高水土保持率为目标，</w:t>
      </w:r>
      <w:r>
        <w:rPr>
          <w:rFonts w:cs="Times New Roman"/>
          <w:color w:val="auto"/>
          <w:highlight w:val="none"/>
          <w:lang w:val="zh-CN"/>
        </w:rPr>
        <w:t>全面落实《中华人民共和国水土保持法》、</w:t>
      </w:r>
      <w:r>
        <w:rPr>
          <w:rFonts w:hint="eastAsia" w:cs="Times New Roman"/>
          <w:color w:val="auto"/>
          <w:highlight w:val="none"/>
          <w:lang w:val="en-US" w:eastAsia="zh-CN"/>
        </w:rPr>
        <w:t>中共中央办公厅、国务院办公厅印发的《关于加强新时代水土保持工作的意见》，广西壮族自治区人民政府办公厅关于印发《广西加强新时代水土保持工作实施方案的通知》，</w:t>
      </w:r>
      <w:r>
        <w:rPr>
          <w:rFonts w:cs="Times New Roman"/>
          <w:color w:val="auto"/>
          <w:highlight w:val="none"/>
          <w:lang w:val="zh-CN"/>
        </w:rPr>
        <w:t>国务院批复的《全国水土保持规划（2015</w:t>
      </w:r>
      <w:r>
        <w:rPr>
          <w:rFonts w:hint="eastAsia" w:cs="Times New Roman"/>
          <w:color w:val="auto"/>
          <w:highlight w:val="none"/>
          <w:lang w:val="zh-CN"/>
        </w:rPr>
        <w:t>—</w:t>
      </w:r>
      <w:r>
        <w:rPr>
          <w:rFonts w:cs="Times New Roman"/>
          <w:color w:val="auto"/>
          <w:highlight w:val="none"/>
          <w:lang w:val="zh-CN"/>
        </w:rPr>
        <w:t>2030年）》、广西壮族自治区人民政府批复的《广西壮族自治区水土保持规划（2016</w:t>
      </w:r>
      <w:r>
        <w:rPr>
          <w:rFonts w:hint="eastAsia" w:cs="Times New Roman"/>
          <w:color w:val="auto"/>
          <w:highlight w:val="none"/>
          <w:lang w:val="zh-CN"/>
        </w:rPr>
        <w:t>—</w:t>
      </w:r>
      <w:r>
        <w:rPr>
          <w:rFonts w:cs="Times New Roman"/>
          <w:color w:val="auto"/>
          <w:highlight w:val="none"/>
          <w:lang w:val="zh-CN"/>
        </w:rPr>
        <w:t>2030年）</w:t>
      </w:r>
      <w:r>
        <w:rPr>
          <w:rFonts w:hint="eastAsia" w:cs="Times New Roman"/>
          <w:color w:val="auto"/>
          <w:highlight w:val="none"/>
          <w:lang w:val="zh-CN"/>
        </w:rPr>
        <w:t>》《</w:t>
      </w:r>
      <w:r>
        <w:rPr>
          <w:rFonts w:cs="Times New Roman"/>
          <w:color w:val="auto"/>
          <w:highlight w:val="none"/>
          <w:lang w:val="zh-CN"/>
        </w:rPr>
        <w:t>广西“十四五”水土保持实施方案》以及柳州市人民政府批复的《柳州市水土保持规划（2019</w:t>
      </w:r>
      <w:r>
        <w:rPr>
          <w:rFonts w:hint="eastAsia" w:cs="Times New Roman"/>
          <w:color w:val="auto"/>
          <w:highlight w:val="none"/>
          <w:lang w:val="zh-CN"/>
        </w:rPr>
        <w:t>—</w:t>
      </w:r>
      <w:r>
        <w:rPr>
          <w:rFonts w:cs="Times New Roman"/>
          <w:color w:val="auto"/>
          <w:highlight w:val="none"/>
          <w:lang w:val="zh-CN"/>
        </w:rPr>
        <w:t>2030年）》。坚持“预防为主、保护优先、全面规划、综合治理、因地制宜、突出重点、科学管理、注重效益”的工作方针，以有效控制新增水土流失面积为前提，以合理开发、利用和保护水土资源为出发点，从柳江区实际情况出发，对水土保持工作进行全局性和前瞻性规划，制定与自然条件相适应、与经济社会可持续发展相协调的防治目标，加强预防保护和监督管理，注重综合治理，积极服务乡村振兴和脱贫攻坚等中心工作，为水土资源可持续利用和经济社会可持续发展提供支撑。</w:t>
      </w:r>
    </w:p>
    <w:p>
      <w:pPr>
        <w:pStyle w:val="4"/>
        <w:spacing w:before="156"/>
        <w:ind w:firstLine="562"/>
        <w:rPr>
          <w:color w:val="auto"/>
          <w:highlight w:val="none"/>
          <w:lang w:val="en-GB"/>
        </w:rPr>
      </w:pPr>
      <w:bookmarkStart w:id="242" w:name="_Toc439661517"/>
      <w:bookmarkStart w:id="243" w:name="_Toc101681458"/>
      <w:bookmarkStart w:id="244" w:name="_Toc25350"/>
      <w:bookmarkStart w:id="245" w:name="_Toc20982"/>
      <w:r>
        <w:rPr>
          <w:color w:val="auto"/>
          <w:highlight w:val="none"/>
          <w:lang w:val="en-US"/>
        </w:rPr>
        <w:t>4.1.2</w:t>
      </w:r>
      <w:r>
        <w:rPr>
          <w:color w:val="auto"/>
          <w:highlight w:val="none"/>
          <w:lang w:val="en-GB"/>
        </w:rPr>
        <w:t>基本原则</w:t>
      </w:r>
      <w:bookmarkEnd w:id="242"/>
      <w:bookmarkEnd w:id="243"/>
      <w:bookmarkEnd w:id="244"/>
      <w:bookmarkEnd w:id="245"/>
    </w:p>
    <w:p>
      <w:pPr>
        <w:rPr>
          <w:rFonts w:cs="Times New Roman"/>
          <w:color w:val="auto"/>
          <w:highlight w:val="none"/>
        </w:rPr>
      </w:pPr>
      <w:r>
        <w:rPr>
          <w:rFonts w:cs="Times New Roman"/>
          <w:color w:val="auto"/>
          <w:highlight w:val="none"/>
        </w:rPr>
        <w:t>（1）坚持全面规划、统筹兼顾。立足于维护水土保持基本功能，在强化防治和监管的基础上，进行全面规划，系统提升水土保持服务经济社会发展的综合能力。规划须统筹协调自治区与地方、重点区域与一般区域、主管部门与相关部门之间的关系，整合部门资源，形成以规划为依据，政府领导、部门协作、社会参与的水土保持工作新局面。</w:t>
      </w:r>
    </w:p>
    <w:p>
      <w:pPr>
        <w:rPr>
          <w:rFonts w:cs="Times New Roman"/>
          <w:color w:val="auto"/>
          <w:highlight w:val="none"/>
        </w:rPr>
      </w:pPr>
      <w:r>
        <w:rPr>
          <w:rFonts w:cs="Times New Roman"/>
          <w:color w:val="auto"/>
          <w:highlight w:val="none"/>
        </w:rPr>
        <w:t>（2）坚持以人为本、改善民生。立足于广大农村地区生存和发展对土地资源依存度高的基本情况，坚持以人民为中心，把水土流失防治与乡村振兴战略紧密结合起来，真正关注广大人民群众的切身利益，切实增进民生福祉，不断实现人民对美好生活的向往。</w:t>
      </w:r>
    </w:p>
    <w:p>
      <w:pPr>
        <w:rPr>
          <w:rFonts w:cs="Times New Roman"/>
          <w:color w:val="auto"/>
          <w:highlight w:val="none"/>
        </w:rPr>
      </w:pPr>
      <w:r>
        <w:rPr>
          <w:rFonts w:cs="Times New Roman"/>
          <w:color w:val="auto"/>
          <w:highlight w:val="none"/>
        </w:rPr>
        <w:t>（3）坚持预防为主、防治结合。牢固树立和践行绿水青山就是金山银山的理念，把人与自然和谐相处作为基本目标，尊重自然、顺应自然、保护自然，坚持预防为主，保护优先，防治结合，牢记“广西生态优势金不换”殷切嘱托，充分发挥大自然的自我修复能力，加快推进水土流失重点治理。</w:t>
      </w:r>
    </w:p>
    <w:p>
      <w:pPr>
        <w:rPr>
          <w:rFonts w:cs="Times New Roman"/>
          <w:color w:val="auto"/>
          <w:highlight w:val="none"/>
        </w:rPr>
      </w:pPr>
      <w:r>
        <w:rPr>
          <w:rFonts w:cs="Times New Roman"/>
          <w:color w:val="auto"/>
          <w:highlight w:val="none"/>
        </w:rPr>
        <w:t>（4）坚持精准施策、分区分类防治。坚持山水林田湖草是生命共同体理念，遵循水土流失机理和规律，以水土流失现状和经济社会发展需求为基础，突出治理质量提升，做到因地制宜、精准施策，科学配置工程、林草和农业耕作等措施，统筹推动山水林田湖草系统治理。</w:t>
      </w:r>
    </w:p>
    <w:p>
      <w:pPr>
        <w:rPr>
          <w:rFonts w:cs="Times New Roman"/>
          <w:color w:val="auto"/>
          <w:highlight w:val="none"/>
        </w:rPr>
      </w:pPr>
      <w:r>
        <w:rPr>
          <w:rFonts w:cs="Times New Roman"/>
          <w:color w:val="auto"/>
          <w:highlight w:val="none"/>
        </w:rPr>
        <w:t>（5）坚持深化改革，完善制度建设。持续深化水土保持领域改革，落实地方政府水土保持主体责任，创新多元化投入和监管模式，拓宽投融资渠道，调动各方的积极性和主动性。不断完善各项水土保持政策制度，强化制度执行与有效监管，增强水土保持发展内在动力。</w:t>
      </w:r>
    </w:p>
    <w:p>
      <w:pPr>
        <w:rPr>
          <w:rFonts w:cs="Times New Roman"/>
          <w:color w:val="auto"/>
          <w:highlight w:val="none"/>
        </w:rPr>
      </w:pPr>
      <w:r>
        <w:rPr>
          <w:rFonts w:cs="Times New Roman"/>
          <w:color w:val="auto"/>
          <w:highlight w:val="none"/>
        </w:rPr>
        <w:t>（6）坚持夯实基础，注重创新引领。加强水土保持监测、信息化应用等基础工作，切实掌握县区水土流失状况和防治成效。注重发挥科技创新对水土保持改革发展的支撑和引领作用，充分运用好现代化技术手段，推动信息技术与水土保持业务深度融合，不断提升管理效能和水平，进一步提高水土流失综合防治效益。</w:t>
      </w:r>
    </w:p>
    <w:p>
      <w:pPr>
        <w:rPr>
          <w:rFonts w:cs="Times New Roman"/>
          <w:color w:val="auto"/>
          <w:highlight w:val="none"/>
        </w:rPr>
      </w:pPr>
      <w:r>
        <w:rPr>
          <w:rFonts w:cs="Times New Roman"/>
          <w:color w:val="auto"/>
          <w:highlight w:val="none"/>
        </w:rPr>
        <w:t>（7）坚持科学决策，保障措施实施。规划要充分考虑利益相关方参与，征求各部门、专家和公众意见，加强沟通协调，科学民主决策；充分利用先进技术手段，创新水土保持工作机制，强化规划实施保障措施。</w:t>
      </w:r>
    </w:p>
    <w:p>
      <w:pPr>
        <w:pStyle w:val="3"/>
        <w:spacing w:before="156"/>
        <w:ind w:firstLine="602"/>
        <w:rPr>
          <w:color w:val="auto"/>
          <w:highlight w:val="none"/>
          <w:lang w:val="en-GB"/>
        </w:rPr>
      </w:pPr>
      <w:bookmarkStart w:id="246" w:name="_Toc101681459"/>
      <w:bookmarkStart w:id="247" w:name="_Toc90399095"/>
      <w:bookmarkStart w:id="248" w:name="_Toc262144"/>
      <w:bookmarkStart w:id="249" w:name="_Toc4120"/>
      <w:bookmarkStart w:id="250" w:name="_Toc3631"/>
      <w:bookmarkStart w:id="251" w:name="_Toc528945992"/>
      <w:r>
        <w:rPr>
          <w:color w:val="auto"/>
          <w:highlight w:val="none"/>
          <w:lang w:val="en-US"/>
        </w:rPr>
        <w:t>4.2</w:t>
      </w:r>
      <w:r>
        <w:rPr>
          <w:color w:val="auto"/>
          <w:highlight w:val="none"/>
          <w:lang w:val="en-GB"/>
        </w:rPr>
        <w:t>编制依据</w:t>
      </w:r>
      <w:bookmarkEnd w:id="246"/>
      <w:bookmarkEnd w:id="247"/>
      <w:bookmarkEnd w:id="248"/>
      <w:bookmarkEnd w:id="249"/>
      <w:bookmarkEnd w:id="250"/>
      <w:bookmarkEnd w:id="251"/>
    </w:p>
    <w:p>
      <w:pPr>
        <w:pStyle w:val="4"/>
        <w:spacing w:before="156"/>
        <w:ind w:firstLine="562"/>
        <w:rPr>
          <w:color w:val="auto"/>
          <w:highlight w:val="none"/>
          <w:lang w:val="en-GB"/>
        </w:rPr>
      </w:pPr>
      <w:bookmarkStart w:id="252" w:name="_Toc23635"/>
      <w:bookmarkStart w:id="253" w:name="_Toc30033"/>
      <w:bookmarkStart w:id="254" w:name="_Toc101681460"/>
      <w:r>
        <w:rPr>
          <w:color w:val="auto"/>
          <w:highlight w:val="none"/>
          <w:lang w:val="en-US"/>
        </w:rPr>
        <w:t>4.2.1</w:t>
      </w:r>
      <w:r>
        <w:rPr>
          <w:color w:val="auto"/>
          <w:highlight w:val="none"/>
          <w:lang w:val="en-GB"/>
        </w:rPr>
        <w:t>主要法律法规及规范性文件</w:t>
      </w:r>
      <w:bookmarkEnd w:id="252"/>
      <w:bookmarkEnd w:id="253"/>
      <w:bookmarkEnd w:id="254"/>
    </w:p>
    <w:p>
      <w:pPr>
        <w:rPr>
          <w:rFonts w:cs="Times New Roman"/>
          <w:color w:val="auto"/>
          <w:highlight w:val="none"/>
        </w:rPr>
      </w:pPr>
      <w:bookmarkStart w:id="255" w:name="_Toc17261"/>
      <w:bookmarkStart w:id="256" w:name="_Toc101681461"/>
      <w:r>
        <w:rPr>
          <w:rFonts w:cs="Times New Roman"/>
          <w:color w:val="auto"/>
          <w:highlight w:val="none"/>
        </w:rPr>
        <w:t>（1）《中华人民共和国水土保持法》（1991年6月29日通过，2010年12月25日修订，自2011年3月1日起施行）；</w:t>
      </w:r>
    </w:p>
    <w:p>
      <w:pPr>
        <w:rPr>
          <w:rFonts w:cs="Times New Roman"/>
          <w:color w:val="auto"/>
          <w:highlight w:val="none"/>
        </w:rPr>
      </w:pPr>
      <w:r>
        <w:rPr>
          <w:rFonts w:cs="Times New Roman"/>
          <w:color w:val="auto"/>
          <w:highlight w:val="none"/>
        </w:rPr>
        <w:t>（2）《中华人民共和国环境保护法》（1989年12月26日通过， 2014年4月24日修订，自2015年1月1日起施行）；</w:t>
      </w:r>
    </w:p>
    <w:p>
      <w:pPr>
        <w:rPr>
          <w:rFonts w:cs="Times New Roman"/>
          <w:color w:val="auto"/>
          <w:highlight w:val="none"/>
        </w:rPr>
      </w:pPr>
      <w:r>
        <w:rPr>
          <w:rFonts w:cs="Times New Roman"/>
          <w:color w:val="auto"/>
          <w:highlight w:val="none"/>
        </w:rPr>
        <w:t>（3）《中华人民共和国水法》（2002年8月29日通过，2016年修正，自2016年7月2日起施行）；</w:t>
      </w:r>
    </w:p>
    <w:p>
      <w:pPr>
        <w:rPr>
          <w:rFonts w:cs="Times New Roman"/>
          <w:color w:val="auto"/>
          <w:highlight w:val="none"/>
        </w:rPr>
      </w:pPr>
      <w:r>
        <w:rPr>
          <w:rFonts w:cs="Times New Roman"/>
          <w:color w:val="auto"/>
          <w:highlight w:val="none"/>
        </w:rPr>
        <w:t>（4）《中华人民共和国水污染防治法》（2017年6月27日修正通过，自2018年1月1日起施行）；</w:t>
      </w:r>
    </w:p>
    <w:p>
      <w:pPr>
        <w:rPr>
          <w:rFonts w:cs="Times New Roman"/>
          <w:color w:val="auto"/>
          <w:highlight w:val="none"/>
        </w:rPr>
      </w:pPr>
      <w:r>
        <w:rPr>
          <w:rFonts w:cs="Times New Roman"/>
          <w:color w:val="auto"/>
          <w:highlight w:val="none"/>
        </w:rPr>
        <w:t>（5）《中华人民共和国农业法》（1993年7月2日通过，2012年12月28日修订，自2013年1月1日起施行）；</w:t>
      </w:r>
    </w:p>
    <w:p>
      <w:pPr>
        <w:rPr>
          <w:rFonts w:cs="Times New Roman"/>
          <w:color w:val="auto"/>
          <w:highlight w:val="none"/>
        </w:rPr>
      </w:pPr>
      <w:r>
        <w:rPr>
          <w:rFonts w:cs="Times New Roman"/>
          <w:color w:val="auto"/>
          <w:highlight w:val="none"/>
        </w:rPr>
        <w:t>（6）《中华人民共和国森林法》（1984年9月20日通过，2019年12月28日修订，自2020年7月1日起施行）；</w:t>
      </w:r>
    </w:p>
    <w:p>
      <w:pPr>
        <w:rPr>
          <w:rFonts w:cs="Times New Roman"/>
          <w:color w:val="auto"/>
          <w:highlight w:val="none"/>
        </w:rPr>
      </w:pPr>
      <w:r>
        <w:rPr>
          <w:rFonts w:cs="Times New Roman"/>
          <w:color w:val="auto"/>
          <w:highlight w:val="none"/>
        </w:rPr>
        <w:t>（7）《中华人民共和国土地管理法》（1986年6月25日通过，2019年8月26日修订，自2020年1月1日起施行）；</w:t>
      </w:r>
    </w:p>
    <w:p>
      <w:pPr>
        <w:rPr>
          <w:rFonts w:cs="Times New Roman"/>
          <w:color w:val="auto"/>
          <w:highlight w:val="none"/>
        </w:rPr>
      </w:pPr>
      <w:r>
        <w:rPr>
          <w:rFonts w:cs="Times New Roman"/>
          <w:color w:val="auto"/>
          <w:highlight w:val="none"/>
        </w:rPr>
        <w:t>（8）《中华人民共和国矿产资源法》（1986年3月19日通过，2009年8月27日修订，自2009年8月27日起施行）；</w:t>
      </w:r>
    </w:p>
    <w:p>
      <w:pPr>
        <w:rPr>
          <w:rFonts w:cs="Times New Roman"/>
          <w:color w:val="auto"/>
          <w:highlight w:val="none"/>
        </w:rPr>
      </w:pPr>
      <w:r>
        <w:rPr>
          <w:rFonts w:cs="Times New Roman"/>
          <w:color w:val="auto"/>
          <w:highlight w:val="none"/>
        </w:rPr>
        <w:t>（9）《广西壮族自治区实施〈中华人民共和国水土保持法〉办法》（2014年7月24日修订通过，自2014年10月1日起施行）；</w:t>
      </w:r>
    </w:p>
    <w:p>
      <w:pPr>
        <w:rPr>
          <w:rFonts w:cs="Times New Roman"/>
          <w:color w:val="auto"/>
          <w:highlight w:val="none"/>
        </w:rPr>
      </w:pPr>
      <w:r>
        <w:rPr>
          <w:rFonts w:cs="Times New Roman"/>
          <w:color w:val="auto"/>
          <w:highlight w:val="none"/>
        </w:rPr>
        <w:t>（10）《水利部办公厅关于印发</w:t>
      </w:r>
      <w:r>
        <w:rPr>
          <w:rFonts w:hint="eastAsia" w:cs="Times New Roman"/>
          <w:color w:val="auto"/>
          <w:highlight w:val="none"/>
          <w:lang w:eastAsia="zh-CN"/>
        </w:rPr>
        <w:t>〈</w:t>
      </w:r>
      <w:r>
        <w:rPr>
          <w:rFonts w:cs="Times New Roman"/>
          <w:color w:val="auto"/>
          <w:highlight w:val="none"/>
        </w:rPr>
        <w:t>全国水土保持规划国家级水土流失重点防治区和重点治理区复核划分成果</w:t>
      </w:r>
      <w:r>
        <w:rPr>
          <w:rFonts w:hint="eastAsia" w:cs="Times New Roman"/>
          <w:color w:val="auto"/>
          <w:highlight w:val="none"/>
          <w:lang w:eastAsia="zh-CN"/>
        </w:rPr>
        <w:t>〉</w:t>
      </w:r>
      <w:r>
        <w:rPr>
          <w:rFonts w:cs="Times New Roman"/>
          <w:color w:val="auto"/>
          <w:highlight w:val="none"/>
        </w:rPr>
        <w:t>的通知》（水办保〔2013〕第188号）；</w:t>
      </w:r>
    </w:p>
    <w:p>
      <w:pPr>
        <w:rPr>
          <w:rFonts w:cs="Times New Roman"/>
          <w:color w:val="auto"/>
          <w:highlight w:val="none"/>
        </w:rPr>
      </w:pPr>
      <w:r>
        <w:rPr>
          <w:rFonts w:cs="Times New Roman"/>
          <w:color w:val="auto"/>
          <w:highlight w:val="none"/>
        </w:rPr>
        <w:t>（11）《广西壮族自治区人民政府关于划分我区水土流失重点预防区和重点治理区的通告》（桂政发〔2017〕5号）；</w:t>
      </w:r>
    </w:p>
    <w:p>
      <w:pPr>
        <w:rPr>
          <w:rFonts w:cs="Times New Roman"/>
          <w:color w:val="auto"/>
          <w:highlight w:val="none"/>
        </w:rPr>
      </w:pPr>
      <w:r>
        <w:rPr>
          <w:rFonts w:cs="Times New Roman"/>
          <w:color w:val="auto"/>
          <w:highlight w:val="none"/>
        </w:rPr>
        <w:t>（12）《水利部办公厅关于印发国家水土保持重点工程信息化监管技术规定（试行）的通知》（办水保〔2018〕107号）；</w:t>
      </w:r>
    </w:p>
    <w:p>
      <w:pPr>
        <w:rPr>
          <w:rFonts w:cs="Times New Roman"/>
          <w:color w:val="auto"/>
          <w:highlight w:val="none"/>
        </w:rPr>
      </w:pPr>
      <w:r>
        <w:rPr>
          <w:rFonts w:cs="Times New Roman"/>
          <w:color w:val="auto"/>
          <w:highlight w:val="none"/>
        </w:rPr>
        <w:t>（13）《自治区水利厅关于印发</w:t>
      </w:r>
      <w:r>
        <w:rPr>
          <w:rFonts w:hint="eastAsia" w:cs="Times New Roman"/>
          <w:color w:val="auto"/>
          <w:highlight w:val="none"/>
          <w:lang w:eastAsia="zh-CN"/>
        </w:rPr>
        <w:t>〈</w:t>
      </w:r>
      <w:r>
        <w:rPr>
          <w:rFonts w:cs="Times New Roman"/>
          <w:color w:val="auto"/>
          <w:highlight w:val="none"/>
        </w:rPr>
        <w:t>广西壮族自治区生产建设项目水土保持方案编报审批管理办法</w:t>
      </w:r>
      <w:r>
        <w:rPr>
          <w:rFonts w:hint="eastAsia" w:cs="Times New Roman"/>
          <w:color w:val="auto"/>
          <w:highlight w:val="none"/>
          <w:lang w:eastAsia="zh-CN"/>
        </w:rPr>
        <w:t>〉</w:t>
      </w:r>
      <w:r>
        <w:rPr>
          <w:rFonts w:cs="Times New Roman"/>
          <w:color w:val="auto"/>
          <w:highlight w:val="none"/>
        </w:rPr>
        <w:t>等3个管理办法的通知》（桂水规范〔2020〕4号）。</w:t>
      </w:r>
    </w:p>
    <w:p>
      <w:pPr>
        <w:rPr>
          <w:rFonts w:hint="eastAsia" w:eastAsia="仿宋" w:cs="Times New Roman"/>
          <w:color w:val="auto"/>
          <w:highlight w:val="none"/>
          <w:lang w:eastAsia="zh-CN"/>
        </w:rPr>
      </w:pPr>
      <w:r>
        <w:rPr>
          <w:rFonts w:cs="Times New Roman"/>
          <w:color w:val="auto"/>
          <w:highlight w:val="none"/>
        </w:rPr>
        <w:t>（14）《自治区水利厅关于印发</w:t>
      </w:r>
      <w:r>
        <w:rPr>
          <w:rFonts w:hint="eastAsia" w:cs="Times New Roman"/>
          <w:color w:val="auto"/>
          <w:highlight w:val="none"/>
          <w:lang w:eastAsia="zh-CN"/>
        </w:rPr>
        <w:t>〈</w:t>
      </w:r>
      <w:r>
        <w:rPr>
          <w:rFonts w:cs="Times New Roman"/>
          <w:color w:val="auto"/>
          <w:highlight w:val="none"/>
        </w:rPr>
        <w:t>广西壮族自治区水利发展资金水土保持工程建设管理办法</w:t>
      </w:r>
      <w:r>
        <w:rPr>
          <w:rFonts w:hint="eastAsia" w:cs="Times New Roman"/>
          <w:color w:val="auto"/>
          <w:highlight w:val="none"/>
          <w:lang w:eastAsia="zh-CN"/>
        </w:rPr>
        <w:t>〉</w:t>
      </w:r>
      <w:r>
        <w:rPr>
          <w:rFonts w:cs="Times New Roman"/>
          <w:color w:val="auto"/>
          <w:highlight w:val="none"/>
        </w:rPr>
        <w:t>的通知》（桂水规范〔2020〕5号）</w:t>
      </w:r>
      <w:r>
        <w:rPr>
          <w:rFonts w:hint="eastAsia" w:cs="Times New Roman"/>
          <w:color w:val="auto"/>
          <w:highlight w:val="none"/>
          <w:lang w:eastAsia="zh-CN"/>
        </w:rPr>
        <w:t>；</w:t>
      </w:r>
    </w:p>
    <w:p>
      <w:pPr>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15</w:t>
      </w:r>
      <w:r>
        <w:rPr>
          <w:rFonts w:hint="eastAsia" w:cs="Times New Roman"/>
          <w:color w:val="auto"/>
          <w:highlight w:val="none"/>
          <w:lang w:eastAsia="zh-CN"/>
        </w:rPr>
        <w:t>）</w:t>
      </w:r>
      <w:r>
        <w:rPr>
          <w:rFonts w:hint="eastAsia" w:cs="Times New Roman"/>
          <w:color w:val="auto"/>
          <w:highlight w:val="none"/>
          <w:lang w:val="en-US" w:eastAsia="zh-CN"/>
        </w:rPr>
        <w:t>《中共中央办公厅 国务院办公厅印发关于加强新时代水土保持工作的意见》；</w:t>
      </w:r>
    </w:p>
    <w:p>
      <w:pPr>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16</w:t>
      </w:r>
      <w:r>
        <w:rPr>
          <w:rFonts w:hint="eastAsia" w:cs="Times New Roman"/>
          <w:color w:val="auto"/>
          <w:highlight w:val="none"/>
          <w:lang w:eastAsia="zh-CN"/>
        </w:rPr>
        <w:t>）《水利部贯彻落实</w:t>
      </w:r>
      <w:r>
        <w:rPr>
          <w:rFonts w:hint="eastAsia" w:cs="Times New Roman"/>
          <w:color w:val="auto"/>
          <w:highlight w:val="none"/>
          <w:lang w:val="en-US" w:eastAsia="zh-CN"/>
        </w:rPr>
        <w:t>〈</w:t>
      </w:r>
      <w:r>
        <w:rPr>
          <w:rFonts w:hint="eastAsia" w:cs="Times New Roman"/>
          <w:color w:val="auto"/>
          <w:highlight w:val="none"/>
          <w:lang w:eastAsia="zh-CN"/>
        </w:rPr>
        <w:t>关于加强新时代水土保持工作的意见</w:t>
      </w:r>
      <w:r>
        <w:rPr>
          <w:rFonts w:hint="eastAsia" w:cs="Times New Roman"/>
          <w:color w:val="auto"/>
          <w:highlight w:val="none"/>
          <w:lang w:val="en-US" w:eastAsia="zh-CN"/>
        </w:rPr>
        <w:t>〉</w:t>
      </w:r>
      <w:r>
        <w:rPr>
          <w:rFonts w:hint="eastAsia" w:cs="Times New Roman"/>
          <w:color w:val="auto"/>
          <w:highlight w:val="none"/>
          <w:lang w:eastAsia="zh-CN"/>
        </w:rPr>
        <w:t>实施方案》（水保〔2023〕25号）；</w:t>
      </w:r>
    </w:p>
    <w:p>
      <w:pPr>
        <w:rPr>
          <w:rFonts w:hint="eastAsia"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17</w:t>
      </w:r>
      <w:r>
        <w:rPr>
          <w:rFonts w:hint="eastAsia" w:cs="Times New Roman"/>
          <w:color w:val="auto"/>
          <w:highlight w:val="none"/>
          <w:lang w:eastAsia="zh-CN"/>
        </w:rPr>
        <w:t>）</w:t>
      </w:r>
      <w:r>
        <w:rPr>
          <w:rFonts w:hint="eastAsia" w:cs="Times New Roman"/>
          <w:color w:val="auto"/>
          <w:highlight w:val="none"/>
          <w:lang w:val="en-US" w:eastAsia="zh-CN"/>
        </w:rPr>
        <w:t>《广西加强新时代水土保持工作实施方案的通知》（桂政办发〔2023〕28号）；</w:t>
      </w:r>
    </w:p>
    <w:p>
      <w:pPr>
        <w:rPr>
          <w:rFonts w:hint="eastAsia" w:eastAsia="仿宋" w:cs="Times New Roman"/>
          <w:color w:val="auto"/>
          <w:highlight w:val="none"/>
          <w:lang w:val="en-US" w:eastAsia="zh-CN"/>
        </w:rPr>
      </w:pPr>
      <w:r>
        <w:rPr>
          <w:rFonts w:hint="eastAsia" w:cs="Times New Roman"/>
          <w:color w:val="auto"/>
          <w:highlight w:val="none"/>
          <w:lang w:val="en-US" w:eastAsia="zh-CN"/>
        </w:rPr>
        <w:t>（18）</w:t>
      </w:r>
      <w:r>
        <w:rPr>
          <w:rFonts w:hint="eastAsia" w:cs="Times New Roman"/>
          <w:color w:val="auto"/>
          <w:highlight w:val="none"/>
        </w:rPr>
        <w:t>《</w:t>
      </w:r>
      <w:r>
        <w:rPr>
          <w:rFonts w:hint="eastAsia" w:cs="Times New Roman"/>
          <w:color w:val="auto"/>
          <w:highlight w:val="none"/>
          <w:lang w:val="en-US" w:eastAsia="zh-CN"/>
        </w:rPr>
        <w:t>柳州市柳江区国民经济和社会发展第十四个五年规划刚要</w:t>
      </w:r>
      <w:r>
        <w:rPr>
          <w:rFonts w:hint="eastAsia" w:cs="Times New Roman"/>
          <w:color w:val="auto"/>
          <w:highlight w:val="none"/>
        </w:rPr>
        <w:t>》</w:t>
      </w:r>
      <w:r>
        <w:rPr>
          <w:rFonts w:hint="eastAsia" w:cs="Times New Roman"/>
          <w:color w:val="auto"/>
          <w:highlight w:val="none"/>
          <w:lang w:eastAsia="zh-CN"/>
        </w:rPr>
        <w:t>。</w:t>
      </w:r>
    </w:p>
    <w:p>
      <w:pPr>
        <w:pStyle w:val="4"/>
        <w:spacing w:before="156"/>
        <w:ind w:firstLine="562"/>
        <w:rPr>
          <w:color w:val="auto"/>
          <w:highlight w:val="none"/>
          <w:lang w:val="en-GB"/>
        </w:rPr>
      </w:pPr>
      <w:bookmarkStart w:id="257" w:name="_Toc25161"/>
      <w:r>
        <w:rPr>
          <w:color w:val="auto"/>
          <w:highlight w:val="none"/>
          <w:lang w:val="en-US"/>
        </w:rPr>
        <w:t>4.2.2</w:t>
      </w:r>
      <w:r>
        <w:rPr>
          <w:color w:val="auto"/>
          <w:highlight w:val="none"/>
          <w:lang w:val="en-GB"/>
        </w:rPr>
        <w:t>主要技术标准、规程、规范</w:t>
      </w:r>
      <w:bookmarkEnd w:id="255"/>
      <w:bookmarkEnd w:id="256"/>
      <w:bookmarkEnd w:id="257"/>
    </w:p>
    <w:p>
      <w:pPr>
        <w:rPr>
          <w:rFonts w:cs="Times New Roman"/>
          <w:color w:val="auto"/>
          <w:highlight w:val="none"/>
        </w:rPr>
      </w:pPr>
      <w:r>
        <w:rPr>
          <w:rFonts w:cs="Times New Roman"/>
          <w:color w:val="auto"/>
          <w:highlight w:val="none"/>
        </w:rPr>
        <w:t>（1）《水土保持规划编制规范》（SL335－2014）；</w:t>
      </w:r>
    </w:p>
    <w:p>
      <w:pPr>
        <w:rPr>
          <w:rFonts w:cs="Times New Roman"/>
          <w:color w:val="auto"/>
          <w:highlight w:val="none"/>
        </w:rPr>
      </w:pPr>
      <w:r>
        <w:rPr>
          <w:rFonts w:cs="Times New Roman"/>
          <w:color w:val="auto"/>
          <w:highlight w:val="none"/>
        </w:rPr>
        <w:t>（2）《水土保持综合治理规划通则》（GB/T 15772－2008）；</w:t>
      </w:r>
    </w:p>
    <w:p>
      <w:pPr>
        <w:rPr>
          <w:rFonts w:cs="Times New Roman"/>
          <w:color w:val="auto"/>
          <w:highlight w:val="none"/>
        </w:rPr>
      </w:pPr>
      <w:r>
        <w:rPr>
          <w:rFonts w:cs="Times New Roman"/>
          <w:color w:val="auto"/>
          <w:highlight w:val="none"/>
        </w:rPr>
        <w:t>（3）《水土保持综合治理技术规范》（GB/T16453.1～16453.6－2008）；</w:t>
      </w:r>
    </w:p>
    <w:p>
      <w:pPr>
        <w:rPr>
          <w:rFonts w:cs="Times New Roman"/>
          <w:color w:val="auto"/>
          <w:highlight w:val="none"/>
        </w:rPr>
      </w:pPr>
      <w:r>
        <w:rPr>
          <w:rFonts w:cs="Times New Roman"/>
          <w:color w:val="auto"/>
          <w:highlight w:val="none"/>
        </w:rPr>
        <w:t>（4）《水土保持综合治理效益计算方法》（GB/T 15774－2008）；</w:t>
      </w:r>
    </w:p>
    <w:p>
      <w:pPr>
        <w:rPr>
          <w:rFonts w:cs="Times New Roman"/>
          <w:color w:val="auto"/>
          <w:highlight w:val="none"/>
        </w:rPr>
      </w:pPr>
      <w:r>
        <w:rPr>
          <w:rFonts w:cs="Times New Roman"/>
          <w:color w:val="auto"/>
          <w:highlight w:val="none"/>
        </w:rPr>
        <w:t>（5）《土壤侵蚀分类分级标准》（SL190－2007）；</w:t>
      </w:r>
    </w:p>
    <w:p>
      <w:pPr>
        <w:rPr>
          <w:rFonts w:cs="Times New Roman"/>
          <w:color w:val="auto"/>
          <w:highlight w:val="none"/>
        </w:rPr>
      </w:pPr>
      <w:r>
        <w:rPr>
          <w:rFonts w:cs="Times New Roman"/>
          <w:color w:val="auto"/>
          <w:highlight w:val="none"/>
        </w:rPr>
        <w:t>（6）《全国水土保持区划导则（试行）》；</w:t>
      </w:r>
    </w:p>
    <w:p>
      <w:pPr>
        <w:rPr>
          <w:rFonts w:cs="Times New Roman"/>
          <w:color w:val="auto"/>
          <w:highlight w:val="none"/>
        </w:rPr>
      </w:pPr>
      <w:r>
        <w:rPr>
          <w:rFonts w:cs="Times New Roman"/>
          <w:color w:val="auto"/>
          <w:highlight w:val="none"/>
        </w:rPr>
        <w:t>（7）《水土流失重点防治区划分导则》（SL717－2015）；</w:t>
      </w:r>
    </w:p>
    <w:p>
      <w:pPr>
        <w:rPr>
          <w:rFonts w:cs="Times New Roman"/>
          <w:color w:val="auto"/>
          <w:highlight w:val="none"/>
        </w:rPr>
      </w:pPr>
      <w:r>
        <w:rPr>
          <w:rFonts w:cs="Times New Roman"/>
          <w:color w:val="auto"/>
          <w:highlight w:val="none"/>
        </w:rPr>
        <w:t>（8）《水土保持监测技术规程》（SL277－2002）；</w:t>
      </w:r>
    </w:p>
    <w:p>
      <w:pPr>
        <w:rPr>
          <w:rFonts w:cs="Times New Roman"/>
          <w:color w:val="auto"/>
          <w:highlight w:val="none"/>
        </w:rPr>
      </w:pPr>
      <w:r>
        <w:rPr>
          <w:rFonts w:cs="Times New Roman"/>
          <w:color w:val="auto"/>
          <w:highlight w:val="none"/>
        </w:rPr>
        <w:t>（9）</w:t>
      </w:r>
      <w:r>
        <w:rPr>
          <w:rFonts w:hint="eastAsia" w:cs="Times New Roman"/>
          <w:color w:val="auto"/>
          <w:highlight w:val="none"/>
          <w:lang w:eastAsia="zh-CN"/>
        </w:rPr>
        <w:t>其他</w:t>
      </w:r>
      <w:r>
        <w:rPr>
          <w:rFonts w:cs="Times New Roman"/>
          <w:color w:val="auto"/>
          <w:highlight w:val="none"/>
        </w:rPr>
        <w:t>有关标准、规程、规范等。</w:t>
      </w:r>
    </w:p>
    <w:p>
      <w:pPr>
        <w:pStyle w:val="4"/>
        <w:spacing w:before="156"/>
        <w:ind w:firstLine="562"/>
        <w:rPr>
          <w:color w:val="auto"/>
          <w:highlight w:val="none"/>
          <w:lang w:val="en-GB"/>
        </w:rPr>
      </w:pPr>
      <w:bookmarkStart w:id="258" w:name="_Toc24494"/>
      <w:bookmarkStart w:id="259" w:name="_Toc19387"/>
      <w:bookmarkStart w:id="260" w:name="_Toc101681462"/>
      <w:r>
        <w:rPr>
          <w:color w:val="auto"/>
          <w:highlight w:val="none"/>
          <w:lang w:val="en-US"/>
        </w:rPr>
        <w:t>4.2.3</w:t>
      </w:r>
      <w:r>
        <w:rPr>
          <w:color w:val="auto"/>
          <w:highlight w:val="none"/>
          <w:lang w:val="en-GB"/>
        </w:rPr>
        <w:t>主要相关规划及资料</w:t>
      </w:r>
      <w:bookmarkEnd w:id="258"/>
      <w:bookmarkEnd w:id="259"/>
      <w:bookmarkEnd w:id="260"/>
    </w:p>
    <w:p>
      <w:pPr>
        <w:rPr>
          <w:rFonts w:cs="Times New Roman"/>
          <w:color w:val="auto"/>
          <w:highlight w:val="none"/>
        </w:rPr>
      </w:pPr>
      <w:r>
        <w:rPr>
          <w:rFonts w:cs="Times New Roman"/>
          <w:color w:val="auto"/>
          <w:highlight w:val="none"/>
        </w:rPr>
        <w:t>（1）《全国水土保持区划（试行</w:t>
      </w:r>
      <w:r>
        <w:rPr>
          <w:rFonts w:hint="eastAsia" w:cs="Times New Roman"/>
          <w:color w:val="auto"/>
          <w:highlight w:val="none"/>
          <w:lang w:eastAsia="zh-CN"/>
        </w:rPr>
        <w:t>）</w:t>
      </w:r>
      <w:r>
        <w:rPr>
          <w:rFonts w:cs="Times New Roman"/>
          <w:color w:val="auto"/>
          <w:highlight w:val="none"/>
        </w:rPr>
        <w:t>》；</w:t>
      </w:r>
    </w:p>
    <w:p>
      <w:pPr>
        <w:rPr>
          <w:rFonts w:cs="Times New Roman"/>
          <w:color w:val="auto"/>
          <w:highlight w:val="none"/>
        </w:rPr>
      </w:pPr>
      <w:r>
        <w:rPr>
          <w:rFonts w:cs="Times New Roman"/>
          <w:color w:val="auto"/>
          <w:highlight w:val="none"/>
        </w:rPr>
        <w:t>（2）《全国水土保持生态环境建设规划（1998-2050 年）》；</w:t>
      </w:r>
    </w:p>
    <w:p>
      <w:pPr>
        <w:rPr>
          <w:rFonts w:cs="Times New Roman"/>
          <w:color w:val="auto"/>
          <w:highlight w:val="none"/>
        </w:rPr>
      </w:pPr>
      <w:r>
        <w:rPr>
          <w:rFonts w:cs="Times New Roman"/>
          <w:color w:val="auto"/>
          <w:highlight w:val="none"/>
        </w:rPr>
        <w:t>（3）《全国重要江河湖泊水功能区划（2011-2030 年）》；</w:t>
      </w:r>
    </w:p>
    <w:p>
      <w:pPr>
        <w:rPr>
          <w:rFonts w:cs="Times New Roman"/>
          <w:color w:val="auto"/>
          <w:highlight w:val="none"/>
        </w:rPr>
      </w:pPr>
      <w:r>
        <w:rPr>
          <w:rFonts w:cs="Times New Roman"/>
          <w:color w:val="auto"/>
          <w:highlight w:val="none"/>
        </w:rPr>
        <w:t>（4）《全国水土保持规划（2015</w:t>
      </w:r>
      <w:r>
        <w:rPr>
          <w:rFonts w:hint="eastAsia" w:cs="Times New Roman"/>
          <w:color w:val="auto"/>
          <w:highlight w:val="none"/>
          <w:lang w:eastAsia="zh-CN"/>
        </w:rPr>
        <w:t>—</w:t>
      </w:r>
      <w:r>
        <w:rPr>
          <w:rFonts w:cs="Times New Roman"/>
          <w:color w:val="auto"/>
          <w:highlight w:val="none"/>
        </w:rPr>
        <w:t>2030年）》；</w:t>
      </w:r>
    </w:p>
    <w:p>
      <w:pPr>
        <w:rPr>
          <w:rFonts w:cs="Times New Roman"/>
          <w:color w:val="auto"/>
          <w:highlight w:val="none"/>
        </w:rPr>
      </w:pPr>
      <w:r>
        <w:rPr>
          <w:rFonts w:cs="Times New Roman"/>
          <w:color w:val="auto"/>
          <w:highlight w:val="none"/>
        </w:rPr>
        <w:t>（5）《广西“十四五”水土保持实施方案》；</w:t>
      </w:r>
    </w:p>
    <w:p>
      <w:pPr>
        <w:rPr>
          <w:rFonts w:cs="Times New Roman"/>
          <w:color w:val="auto"/>
          <w:highlight w:val="none"/>
        </w:rPr>
      </w:pPr>
      <w:r>
        <w:rPr>
          <w:rFonts w:cs="Times New Roman"/>
          <w:color w:val="auto"/>
          <w:highlight w:val="none"/>
        </w:rPr>
        <w:t>（6）《广西统计年鉴202</w:t>
      </w:r>
      <w:r>
        <w:rPr>
          <w:rFonts w:hint="eastAsia" w:cs="Times New Roman"/>
          <w:color w:val="auto"/>
          <w:highlight w:val="none"/>
          <w:lang w:val="en-US" w:eastAsia="zh-CN"/>
        </w:rPr>
        <w:t>1</w:t>
      </w:r>
      <w:r>
        <w:rPr>
          <w:rFonts w:cs="Times New Roman"/>
          <w:color w:val="auto"/>
          <w:highlight w:val="none"/>
        </w:rPr>
        <w:t>》；</w:t>
      </w:r>
    </w:p>
    <w:p>
      <w:pPr>
        <w:rPr>
          <w:rFonts w:cs="Times New Roman"/>
          <w:color w:val="auto"/>
          <w:highlight w:val="none"/>
        </w:rPr>
      </w:pPr>
      <w:r>
        <w:rPr>
          <w:rFonts w:cs="Times New Roman"/>
          <w:color w:val="auto"/>
          <w:highlight w:val="none"/>
        </w:rPr>
        <w:t>（7）《广西水土保持规划（2016-2030 年）》；</w:t>
      </w:r>
    </w:p>
    <w:p>
      <w:pPr>
        <w:rPr>
          <w:rFonts w:cs="Times New Roman"/>
          <w:color w:val="auto"/>
          <w:highlight w:val="none"/>
        </w:rPr>
      </w:pPr>
      <w:r>
        <w:rPr>
          <w:rFonts w:cs="Times New Roman"/>
          <w:color w:val="auto"/>
          <w:highlight w:val="none"/>
        </w:rPr>
        <w:t>（8）《广西壮族自治区水土保持监测规划（2015</w:t>
      </w:r>
      <w:r>
        <w:rPr>
          <w:rFonts w:hint="eastAsia" w:cs="Times New Roman"/>
          <w:color w:val="auto"/>
          <w:highlight w:val="none"/>
          <w:lang w:eastAsia="zh-CN"/>
        </w:rPr>
        <w:t>—</w:t>
      </w:r>
      <w:r>
        <w:rPr>
          <w:rFonts w:cs="Times New Roman"/>
          <w:color w:val="auto"/>
          <w:highlight w:val="none"/>
        </w:rPr>
        <w:t>2030年）》；</w:t>
      </w:r>
    </w:p>
    <w:p>
      <w:pPr>
        <w:rPr>
          <w:rFonts w:cs="Times New Roman"/>
          <w:color w:val="auto"/>
          <w:highlight w:val="none"/>
        </w:rPr>
      </w:pPr>
      <w:r>
        <w:rPr>
          <w:rFonts w:cs="Times New Roman"/>
          <w:color w:val="auto"/>
          <w:highlight w:val="none"/>
        </w:rPr>
        <w:t>（9）《广西壮族自治区“十四五”水安全保障规划》；</w:t>
      </w:r>
    </w:p>
    <w:p>
      <w:pPr>
        <w:rPr>
          <w:rFonts w:cs="Times New Roman"/>
          <w:color w:val="auto"/>
          <w:highlight w:val="none"/>
        </w:rPr>
      </w:pPr>
      <w:r>
        <w:rPr>
          <w:rFonts w:cs="Times New Roman"/>
          <w:color w:val="auto"/>
          <w:highlight w:val="none"/>
        </w:rPr>
        <w:t>（10）《广西壮族自治区生态保护红线划定工作方案》；</w:t>
      </w:r>
    </w:p>
    <w:p>
      <w:pPr>
        <w:rPr>
          <w:rFonts w:cs="Times New Roman"/>
          <w:color w:val="auto"/>
          <w:highlight w:val="none"/>
        </w:rPr>
      </w:pPr>
      <w:r>
        <w:rPr>
          <w:rFonts w:cs="Times New Roman"/>
          <w:color w:val="auto"/>
          <w:highlight w:val="none"/>
        </w:rPr>
        <w:t>（11）《广西壮族自治区主体功能区规划》；</w:t>
      </w:r>
    </w:p>
    <w:p>
      <w:pPr>
        <w:rPr>
          <w:rFonts w:cs="Times New Roman"/>
          <w:color w:val="auto"/>
          <w:highlight w:val="none"/>
        </w:rPr>
      </w:pPr>
      <w:r>
        <w:rPr>
          <w:rFonts w:cs="Times New Roman"/>
          <w:color w:val="auto"/>
          <w:highlight w:val="none"/>
        </w:rPr>
        <w:t>（12）《广西水环境功能区划》（2016年修订）；</w:t>
      </w:r>
    </w:p>
    <w:p>
      <w:pPr>
        <w:rPr>
          <w:rFonts w:cs="Times New Roman"/>
          <w:color w:val="auto"/>
          <w:highlight w:val="none"/>
        </w:rPr>
      </w:pPr>
      <w:r>
        <w:rPr>
          <w:rFonts w:cs="Times New Roman"/>
          <w:color w:val="auto"/>
          <w:highlight w:val="none"/>
        </w:rPr>
        <w:t>（13）《柳州市水土保持公报（202</w:t>
      </w:r>
      <w:r>
        <w:rPr>
          <w:rFonts w:hint="eastAsia" w:cs="Times New Roman"/>
          <w:color w:val="auto"/>
          <w:highlight w:val="none"/>
          <w:lang w:val="en-US" w:eastAsia="zh-CN"/>
        </w:rPr>
        <w:t>1</w:t>
      </w:r>
      <w:r>
        <w:rPr>
          <w:rFonts w:cs="Times New Roman"/>
          <w:color w:val="auto"/>
          <w:highlight w:val="none"/>
        </w:rPr>
        <w:t>年）》；</w:t>
      </w:r>
    </w:p>
    <w:p>
      <w:pPr>
        <w:rPr>
          <w:rFonts w:cs="Times New Roman"/>
          <w:color w:val="auto"/>
          <w:highlight w:val="none"/>
        </w:rPr>
      </w:pPr>
      <w:r>
        <w:rPr>
          <w:rFonts w:cs="Times New Roman"/>
          <w:color w:val="auto"/>
          <w:highlight w:val="none"/>
        </w:rPr>
        <w:t>（14）《柳州市水资源公报（202</w:t>
      </w:r>
      <w:r>
        <w:rPr>
          <w:rFonts w:hint="eastAsia" w:cs="Times New Roman"/>
          <w:color w:val="auto"/>
          <w:highlight w:val="none"/>
          <w:lang w:val="en-US" w:eastAsia="zh-CN"/>
        </w:rPr>
        <w:t>1</w:t>
      </w:r>
      <w:r>
        <w:rPr>
          <w:rFonts w:cs="Times New Roman"/>
          <w:color w:val="auto"/>
          <w:highlight w:val="none"/>
        </w:rPr>
        <w:t>年）》；</w:t>
      </w:r>
    </w:p>
    <w:p>
      <w:pPr>
        <w:rPr>
          <w:rFonts w:cs="Times New Roman"/>
          <w:color w:val="auto"/>
          <w:highlight w:val="none"/>
        </w:rPr>
      </w:pPr>
      <w:r>
        <w:rPr>
          <w:rFonts w:cs="Times New Roman"/>
          <w:color w:val="auto"/>
          <w:highlight w:val="none"/>
        </w:rPr>
        <w:t>（15）《柳州市柳江区水资源综合规划》（2019-2035）；</w:t>
      </w:r>
    </w:p>
    <w:p>
      <w:pPr>
        <w:rPr>
          <w:rFonts w:cs="Times New Roman"/>
          <w:color w:val="auto"/>
          <w:highlight w:val="none"/>
        </w:rPr>
      </w:pPr>
      <w:r>
        <w:rPr>
          <w:rFonts w:cs="Times New Roman"/>
          <w:color w:val="auto"/>
          <w:highlight w:val="none"/>
        </w:rPr>
        <w:t>（16）《柳州市水土保持规划（2019</w:t>
      </w:r>
      <w:r>
        <w:rPr>
          <w:rFonts w:hint="eastAsia" w:cs="Times New Roman"/>
          <w:color w:val="auto"/>
          <w:highlight w:val="none"/>
          <w:lang w:eastAsia="zh-CN"/>
        </w:rPr>
        <w:t>—</w:t>
      </w:r>
      <w:r>
        <w:rPr>
          <w:rFonts w:cs="Times New Roman"/>
          <w:color w:val="auto"/>
          <w:highlight w:val="none"/>
        </w:rPr>
        <w:t>2030年</w:t>
      </w:r>
      <w:r>
        <w:rPr>
          <w:rFonts w:hint="eastAsia" w:cs="Times New Roman"/>
          <w:color w:val="auto"/>
          <w:highlight w:val="none"/>
          <w:lang w:eastAsia="zh-CN"/>
        </w:rPr>
        <w:t>）</w:t>
      </w:r>
      <w:r>
        <w:rPr>
          <w:rFonts w:cs="Times New Roman"/>
          <w:color w:val="auto"/>
          <w:highlight w:val="none"/>
        </w:rPr>
        <w:t>》；</w:t>
      </w:r>
    </w:p>
    <w:p>
      <w:pPr>
        <w:rPr>
          <w:rFonts w:cs="Times New Roman"/>
          <w:color w:val="auto"/>
          <w:highlight w:val="none"/>
        </w:rPr>
      </w:pPr>
      <w:r>
        <w:rPr>
          <w:rFonts w:cs="Times New Roman"/>
          <w:color w:val="auto"/>
          <w:highlight w:val="none"/>
        </w:rPr>
        <w:t>（17）《202</w:t>
      </w:r>
      <w:r>
        <w:rPr>
          <w:rFonts w:hint="eastAsia" w:cs="Times New Roman"/>
          <w:color w:val="auto"/>
          <w:highlight w:val="none"/>
          <w:lang w:val="en-US" w:eastAsia="zh-CN"/>
        </w:rPr>
        <w:t>1</w:t>
      </w:r>
      <w:r>
        <w:rPr>
          <w:rFonts w:cs="Times New Roman"/>
          <w:color w:val="auto"/>
          <w:highlight w:val="none"/>
        </w:rPr>
        <w:t>年柳江区国民经济发展统计公报》；</w:t>
      </w:r>
    </w:p>
    <w:p>
      <w:pPr>
        <w:rPr>
          <w:rFonts w:cs="Times New Roman"/>
          <w:color w:val="auto"/>
          <w:highlight w:val="none"/>
        </w:rPr>
      </w:pPr>
      <w:r>
        <w:rPr>
          <w:rFonts w:cs="Times New Roman"/>
          <w:color w:val="auto"/>
          <w:highlight w:val="none"/>
        </w:rPr>
        <w:t>（18）《柳州市乡镇集中式饮用水水源保护区划定方案》；</w:t>
      </w:r>
    </w:p>
    <w:p>
      <w:pPr>
        <w:rPr>
          <w:rFonts w:hint="eastAsia" w:cs="Times New Roman"/>
          <w:color w:val="auto"/>
          <w:highlight w:val="none"/>
          <w:lang w:eastAsia="zh-CN"/>
        </w:rPr>
      </w:pPr>
      <w:r>
        <w:rPr>
          <w:rFonts w:cs="Times New Roman"/>
          <w:color w:val="auto"/>
          <w:highlight w:val="none"/>
        </w:rPr>
        <w:t>（19）</w:t>
      </w:r>
      <w:r>
        <w:rPr>
          <w:rFonts w:hint="eastAsia" w:cs="Times New Roman"/>
          <w:color w:val="auto"/>
          <w:highlight w:val="none"/>
          <w:lang w:eastAsia="zh-CN"/>
        </w:rPr>
        <w:t>《</w:t>
      </w:r>
      <w:r>
        <w:rPr>
          <w:rFonts w:hint="eastAsia" w:cs="Times New Roman"/>
          <w:color w:val="auto"/>
          <w:highlight w:val="none"/>
          <w:lang w:val="en-US" w:eastAsia="zh-CN"/>
        </w:rPr>
        <w:t>柳州市柳江区国民经济和社会发展第十四个五年规划纲要</w:t>
      </w:r>
      <w:r>
        <w:rPr>
          <w:rFonts w:hint="eastAsia" w:cs="Times New Roman"/>
          <w:color w:val="auto"/>
          <w:highlight w:val="none"/>
          <w:lang w:eastAsia="zh-CN"/>
        </w:rPr>
        <w:t>》；</w:t>
      </w:r>
    </w:p>
    <w:p>
      <w:pPr>
        <w:rPr>
          <w:rFonts w:hint="eastAsia"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20</w:t>
      </w:r>
      <w:r>
        <w:rPr>
          <w:rFonts w:hint="eastAsia" w:cs="Times New Roman"/>
          <w:color w:val="auto"/>
          <w:highlight w:val="none"/>
          <w:lang w:eastAsia="zh-CN"/>
        </w:rPr>
        <w:t>）</w:t>
      </w:r>
      <w:r>
        <w:rPr>
          <w:rFonts w:hint="eastAsia" w:cs="Times New Roman"/>
          <w:color w:val="auto"/>
          <w:highlight w:val="none"/>
          <w:lang w:val="en-US" w:eastAsia="zh-CN"/>
        </w:rPr>
        <w:t>《柳州市柳江区农业产业发展“十四五”规划》。</w:t>
      </w:r>
    </w:p>
    <w:p>
      <w:pPr>
        <w:pStyle w:val="3"/>
        <w:spacing w:before="156"/>
        <w:ind w:firstLine="602"/>
        <w:rPr>
          <w:color w:val="auto"/>
          <w:highlight w:val="none"/>
          <w:lang w:val="en-US"/>
        </w:rPr>
      </w:pPr>
      <w:bookmarkStart w:id="261" w:name="_Toc101681463"/>
      <w:bookmarkStart w:id="262" w:name="_Toc439661524"/>
      <w:bookmarkStart w:id="263" w:name="_Toc3077"/>
      <w:bookmarkStart w:id="264" w:name="_Toc3625"/>
      <w:bookmarkStart w:id="265" w:name="_Toc90399096"/>
      <w:r>
        <w:rPr>
          <w:color w:val="auto"/>
          <w:highlight w:val="none"/>
          <w:lang w:val="en-US"/>
        </w:rPr>
        <w:t>4.3规划水平年</w:t>
      </w:r>
      <w:bookmarkEnd w:id="261"/>
      <w:bookmarkEnd w:id="262"/>
      <w:bookmarkEnd w:id="263"/>
      <w:bookmarkEnd w:id="264"/>
      <w:bookmarkEnd w:id="265"/>
    </w:p>
    <w:p>
      <w:pPr>
        <w:rPr>
          <w:rFonts w:cs="Times New Roman"/>
          <w:color w:val="auto"/>
          <w:highlight w:val="none"/>
        </w:rPr>
      </w:pPr>
      <w:r>
        <w:rPr>
          <w:rFonts w:cs="Times New Roman"/>
          <w:color w:val="auto"/>
          <w:highlight w:val="none"/>
        </w:rPr>
        <w:t>（1）本规划现状水平年为2021年，文中均采用数据主要为2021年土地利用数据</w:t>
      </w:r>
      <w:r>
        <w:rPr>
          <w:rFonts w:hint="eastAsia" w:cs="Times New Roman"/>
          <w:color w:val="auto"/>
          <w:highlight w:val="none"/>
          <w:lang w:eastAsia="zh-CN"/>
        </w:rPr>
        <w:t>、</w:t>
      </w:r>
      <w:r>
        <w:rPr>
          <w:rFonts w:cs="Times New Roman"/>
          <w:color w:val="auto"/>
          <w:highlight w:val="none"/>
        </w:rPr>
        <w:t>水土流失数据和社会经济数据。</w:t>
      </w:r>
    </w:p>
    <w:p>
      <w:pPr>
        <w:rPr>
          <w:rFonts w:cs="Times New Roman"/>
          <w:color w:val="auto"/>
          <w:highlight w:val="none"/>
        </w:rPr>
      </w:pPr>
      <w:r>
        <w:rPr>
          <w:rFonts w:cs="Times New Roman"/>
          <w:color w:val="auto"/>
          <w:highlight w:val="none"/>
        </w:rPr>
        <w:t>（2）规划水平年：近期规划水平年为2025年，远期规划水平年为2030年。</w:t>
      </w:r>
    </w:p>
    <w:p>
      <w:pPr>
        <w:pStyle w:val="3"/>
        <w:spacing w:before="156"/>
        <w:ind w:firstLine="602"/>
        <w:rPr>
          <w:color w:val="auto"/>
          <w:highlight w:val="none"/>
          <w:lang w:val="en-US"/>
        </w:rPr>
      </w:pPr>
      <w:bookmarkStart w:id="266" w:name="_Toc90399097"/>
      <w:bookmarkStart w:id="267" w:name="_Toc101681464"/>
      <w:bookmarkStart w:id="268" w:name="_Toc1306"/>
      <w:r>
        <w:rPr>
          <w:color w:val="auto"/>
          <w:highlight w:val="none"/>
          <w:lang w:val="en-US"/>
        </w:rPr>
        <w:t>4.4规划目标任务</w:t>
      </w:r>
      <w:bookmarkEnd w:id="266"/>
      <w:bookmarkEnd w:id="267"/>
      <w:bookmarkEnd w:id="268"/>
    </w:p>
    <w:p>
      <w:pPr>
        <w:rPr>
          <w:rFonts w:cs="Times New Roman"/>
          <w:color w:val="auto"/>
          <w:highlight w:val="none"/>
        </w:rPr>
      </w:pPr>
      <w:r>
        <w:rPr>
          <w:rFonts w:cs="Times New Roman"/>
          <w:color w:val="auto"/>
          <w:highlight w:val="none"/>
        </w:rPr>
        <w:t>总体目标和任务：全面形成与柳江区经济社会发展相适应的水土流失综合防治体系，防治水土流失，保护和建设林草植被，保护耕地资源，改善农村生产生活条件，提高水源涵养能力，改善生态环境和人居环境，降低水土流失面积和强度，减少入河湖库泥沙量，维护饮用水安全，促进经济社会可持续发展；建成完善的水土保持监测体系；创新体制机制，提升监管能力，建成完善的水土保持监管体系，全面落实生产建设项目“三同时”制度，实现水土保持管理信息化、制度化、规范化，人为水土流失得到全面防治。</w:t>
      </w:r>
    </w:p>
    <w:p>
      <w:pPr>
        <w:numPr>
          <w:ilvl w:val="255"/>
          <w:numId w:val="0"/>
        </w:numPr>
        <w:ind w:firstLine="560" w:firstLineChars="200"/>
        <w:rPr>
          <w:rFonts w:cs="Times New Roman"/>
          <w:color w:val="auto"/>
          <w:highlight w:val="none"/>
        </w:rPr>
      </w:pPr>
      <w:r>
        <w:rPr>
          <w:rFonts w:cs="Times New Roman"/>
          <w:color w:val="auto"/>
          <w:highlight w:val="none"/>
        </w:rPr>
        <w:t>近期目标：到2025年，</w:t>
      </w:r>
      <w:r>
        <w:rPr>
          <w:rFonts w:hint="default" w:ascii="Arial" w:hAnsi="Arial" w:cs="Arial"/>
          <w:color w:val="auto"/>
          <w:highlight w:val="none"/>
        </w:rPr>
        <w:t>水土保持制度机制和工作体系更加完善，管理效能进一步提升，人为水土流失得到有效管控，重点地区水土流失得到有效治理，水土流失状况持续改善</w:t>
      </w:r>
      <w:r>
        <w:rPr>
          <w:rFonts w:hint="eastAsia" w:ascii="Arial" w:hAnsi="Arial" w:cs="Arial"/>
          <w:color w:val="auto"/>
          <w:highlight w:val="none"/>
          <w:lang w:eastAsia="zh-CN"/>
        </w:rPr>
        <w:t>。</w:t>
      </w:r>
      <w:r>
        <w:rPr>
          <w:rFonts w:cs="Times New Roman"/>
          <w:color w:val="auto"/>
          <w:highlight w:val="none"/>
        </w:rPr>
        <w:t>到2025年，水土保持率达到</w:t>
      </w:r>
      <w:r>
        <w:rPr>
          <w:rFonts w:hint="eastAsia" w:cs="Times New Roman"/>
          <w:color w:val="auto"/>
          <w:highlight w:val="none"/>
          <w:lang w:eastAsia="zh-CN"/>
        </w:rPr>
        <w:t>79.26%</w:t>
      </w:r>
      <w:r>
        <w:rPr>
          <w:rFonts w:cs="Times New Roman"/>
          <w:color w:val="auto"/>
          <w:highlight w:val="none"/>
        </w:rPr>
        <w:t>，新增水土流失预防保护面积</w:t>
      </w:r>
      <w:r>
        <w:rPr>
          <w:rFonts w:hint="eastAsia" w:cs="Times New Roman"/>
          <w:color w:val="auto"/>
          <w:highlight w:val="none"/>
          <w:lang w:val="en-US" w:eastAsia="zh-CN"/>
        </w:rPr>
        <w:t>24.65</w:t>
      </w:r>
      <w:r>
        <w:rPr>
          <w:rFonts w:cs="Times New Roman"/>
          <w:color w:val="auto"/>
          <w:highlight w:val="none"/>
          <w:lang w:val="zh-CN"/>
        </w:rPr>
        <w:t xml:space="preserve"> km</w:t>
      </w:r>
      <w:r>
        <w:rPr>
          <w:rFonts w:cs="Times New Roman"/>
          <w:color w:val="auto"/>
          <w:highlight w:val="none"/>
          <w:vertAlign w:val="superscript"/>
          <w:lang w:val="zh-CN"/>
        </w:rPr>
        <w:t>2</w:t>
      </w:r>
      <w:r>
        <w:rPr>
          <w:rFonts w:cs="Times New Roman"/>
          <w:color w:val="auto"/>
          <w:highlight w:val="none"/>
          <w:lang w:val="zh-CN"/>
        </w:rPr>
        <w:t>，新增水土流失治理面积72.38km</w:t>
      </w:r>
      <w:r>
        <w:rPr>
          <w:rFonts w:cs="Times New Roman"/>
          <w:color w:val="auto"/>
          <w:highlight w:val="none"/>
          <w:vertAlign w:val="superscript"/>
          <w:lang w:val="zh-CN"/>
        </w:rPr>
        <w:t>2</w:t>
      </w:r>
      <w:r>
        <w:rPr>
          <w:rFonts w:cs="Times New Roman"/>
          <w:color w:val="auto"/>
          <w:highlight w:val="none"/>
          <w:lang w:val="zh-CN"/>
        </w:rPr>
        <w:t>，其中水利部门综合治理水土流失面积</w:t>
      </w:r>
      <w:r>
        <w:rPr>
          <w:rFonts w:hint="eastAsia" w:cs="Times New Roman"/>
          <w:color w:val="auto"/>
          <w:highlight w:val="none"/>
          <w:lang w:val="en-US" w:eastAsia="zh-CN"/>
        </w:rPr>
        <w:t>20</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，其他部门及生态建设项目综合治理水土流失面积</w:t>
      </w:r>
      <w:r>
        <w:rPr>
          <w:rFonts w:hint="eastAsia" w:cs="Times New Roman"/>
          <w:color w:val="auto"/>
          <w:highlight w:val="none"/>
          <w:lang w:val="en-US" w:eastAsia="zh-CN"/>
        </w:rPr>
        <w:t>52.38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w:t>
      </w:r>
    </w:p>
    <w:p>
      <w:pPr>
        <w:numPr>
          <w:ilvl w:val="255"/>
          <w:numId w:val="0"/>
        </w:numPr>
        <w:ind w:firstLine="560" w:firstLineChars="200"/>
        <w:rPr>
          <w:rFonts w:cs="Times New Roman"/>
          <w:color w:val="auto"/>
          <w:highlight w:val="none"/>
        </w:rPr>
      </w:pPr>
      <w:r>
        <w:rPr>
          <w:rFonts w:cs="Times New Roman"/>
          <w:color w:val="auto"/>
          <w:highlight w:val="none"/>
        </w:rPr>
        <w:t>远期目标：到2030年，</w:t>
      </w:r>
      <w:r>
        <w:rPr>
          <w:rFonts w:hint="default" w:ascii="Arial" w:hAnsi="Arial" w:cs="Arial"/>
          <w:color w:val="auto"/>
          <w:highlight w:val="none"/>
        </w:rPr>
        <w:t>系统完备、协同高效的水土保持制度机制全面形成，人为水土流失得到全面控制，重点地区水土流失得到全面治理</w:t>
      </w:r>
      <w:r>
        <w:rPr>
          <w:rFonts w:hint="eastAsia" w:ascii="Arial" w:hAnsi="Arial" w:cs="Arial"/>
          <w:color w:val="auto"/>
          <w:highlight w:val="none"/>
          <w:lang w:eastAsia="zh-CN"/>
        </w:rPr>
        <w:t>。</w:t>
      </w:r>
      <w:r>
        <w:rPr>
          <w:rFonts w:cs="Times New Roman"/>
          <w:color w:val="auto"/>
          <w:highlight w:val="none"/>
          <w:lang w:val="zh-CN"/>
        </w:rPr>
        <w:t>到2030年，</w:t>
      </w:r>
      <w:r>
        <w:rPr>
          <w:rFonts w:cs="Times New Roman"/>
          <w:color w:val="auto"/>
          <w:highlight w:val="none"/>
        </w:rPr>
        <w:t>水土保持率达到</w:t>
      </w:r>
      <w:r>
        <w:rPr>
          <w:rFonts w:hint="eastAsia" w:cs="Times New Roman"/>
          <w:color w:val="auto"/>
          <w:highlight w:val="none"/>
          <w:lang w:eastAsia="zh-CN"/>
        </w:rPr>
        <w:t>80.71%</w:t>
      </w:r>
      <w:r>
        <w:rPr>
          <w:rFonts w:cs="Times New Roman"/>
          <w:color w:val="auto"/>
          <w:highlight w:val="none"/>
          <w:lang w:val="zh-CN"/>
        </w:rPr>
        <w:t>，</w:t>
      </w:r>
      <w:r>
        <w:rPr>
          <w:rFonts w:cs="Times New Roman"/>
          <w:color w:val="auto"/>
          <w:highlight w:val="none"/>
        </w:rPr>
        <w:t>新增水土流失预防保护面积</w:t>
      </w:r>
      <w:r>
        <w:rPr>
          <w:rFonts w:hint="eastAsia" w:cs="Times New Roman"/>
          <w:color w:val="auto"/>
          <w:highlight w:val="none"/>
          <w:lang w:val="en-US" w:eastAsia="zh-CN"/>
        </w:rPr>
        <w:t>56.50</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lang w:val="zh-CN"/>
        </w:rPr>
        <w:t>，新增水土流失治理面积162.85km</w:t>
      </w:r>
      <w:r>
        <w:rPr>
          <w:rFonts w:cs="Times New Roman"/>
          <w:color w:val="auto"/>
          <w:highlight w:val="none"/>
          <w:vertAlign w:val="superscript"/>
          <w:lang w:val="zh-CN"/>
        </w:rPr>
        <w:t>2</w:t>
      </w:r>
      <w:r>
        <w:rPr>
          <w:rFonts w:cs="Times New Roman"/>
          <w:color w:val="auto"/>
          <w:highlight w:val="none"/>
          <w:lang w:val="zh-CN"/>
        </w:rPr>
        <w:t>，其中水利部门综合治理水土流失面积</w:t>
      </w:r>
      <w:r>
        <w:rPr>
          <w:rFonts w:hint="eastAsia" w:cs="Times New Roman"/>
          <w:color w:val="auto"/>
          <w:highlight w:val="none"/>
          <w:lang w:val="en-US" w:eastAsia="zh-CN"/>
        </w:rPr>
        <w:t>32.57</w:t>
      </w:r>
      <w:r>
        <w:rPr>
          <w:rFonts w:cs="Times New Roman"/>
          <w:color w:val="auto"/>
          <w:highlight w:val="none"/>
          <w:lang w:val="zh-CN"/>
        </w:rPr>
        <w:t xml:space="preserve"> km</w:t>
      </w:r>
      <w:r>
        <w:rPr>
          <w:rFonts w:cs="Times New Roman"/>
          <w:color w:val="auto"/>
          <w:highlight w:val="none"/>
          <w:vertAlign w:val="superscript"/>
          <w:lang w:val="zh-CN"/>
        </w:rPr>
        <w:t>2</w:t>
      </w:r>
      <w:r>
        <w:rPr>
          <w:rFonts w:cs="Times New Roman"/>
          <w:color w:val="auto"/>
          <w:highlight w:val="none"/>
          <w:lang w:val="zh-CN"/>
        </w:rPr>
        <w:t>，其他部门及生态建设项目综合治理水土流失面积</w:t>
      </w:r>
      <w:r>
        <w:rPr>
          <w:rFonts w:hint="eastAsia" w:cs="Times New Roman"/>
          <w:color w:val="auto"/>
          <w:highlight w:val="none"/>
          <w:lang w:val="en-US" w:eastAsia="zh-CN"/>
        </w:rPr>
        <w:t>130.28</w:t>
      </w:r>
      <w:r>
        <w:rPr>
          <w:rFonts w:cs="Times New Roman"/>
          <w:color w:val="auto"/>
          <w:highlight w:val="none"/>
          <w:lang w:val="zh-CN"/>
        </w:rPr>
        <w:t>km</w:t>
      </w:r>
      <w:r>
        <w:rPr>
          <w:rFonts w:cs="Times New Roman"/>
          <w:color w:val="auto"/>
          <w:highlight w:val="none"/>
          <w:vertAlign w:val="superscript"/>
          <w:lang w:val="zh-CN"/>
        </w:rPr>
        <w:t>2</w:t>
      </w:r>
      <w:r>
        <w:rPr>
          <w:rFonts w:cs="Times New Roman"/>
          <w:color w:val="auto"/>
          <w:highlight w:val="none"/>
        </w:rPr>
        <w:t>。基本建立系统完整、职责明确、严格高效、规范有序的监管体系，实行最严格的水土保持监管，充分应用信息化手段，实现人为水土流失常态化监管，人为水土流失得到有效控制。基本建成科学有效的水土保持监测体系，发挥监测对管理的支撑作用。依托全国水土保持信息平台，全面推进信息化技术手段在水土保持工作中的应用，实现国家水土保持重点工程“图斑精细化”管理全覆盖和生产建设项目“天地一体化”监管全覆盖。</w:t>
      </w:r>
    </w:p>
    <w:p>
      <w:pPr>
        <w:widowControl/>
        <w:adjustRightInd/>
        <w:spacing w:line="240" w:lineRule="auto"/>
        <w:ind w:firstLine="0" w:firstLineChars="0"/>
        <w:jc w:val="left"/>
        <w:rPr>
          <w:rFonts w:cs="Times New Roman"/>
          <w:b/>
          <w:bCs/>
          <w:color w:val="auto"/>
          <w:highlight w:val="none"/>
        </w:rPr>
      </w:pPr>
      <w:r>
        <w:rPr>
          <w:rFonts w:cs="Times New Roman"/>
          <w:b/>
          <w:bCs/>
          <w:color w:val="auto"/>
          <w:highlight w:val="none"/>
        </w:rPr>
        <w:br w:type="page"/>
      </w:r>
    </w:p>
    <w:p>
      <w:pPr>
        <w:ind w:firstLine="562"/>
        <w:rPr>
          <w:rFonts w:cs="Times New Roman"/>
          <w:b/>
          <w:bCs/>
          <w:color w:val="auto"/>
          <w:highlight w:val="none"/>
        </w:rPr>
      </w:pPr>
      <w:r>
        <w:rPr>
          <w:rFonts w:cs="Times New Roman"/>
          <w:b/>
          <w:bCs/>
          <w:color w:val="auto"/>
          <w:highlight w:val="none"/>
        </w:rPr>
        <w:t>表4.4-1             规划目标任务指标</w:t>
      </w:r>
    </w:p>
    <w:p>
      <w:pPr>
        <w:ind w:firstLine="562"/>
        <w:jc w:val="center"/>
        <w:rPr>
          <w:rFonts w:cs="Times New Roman"/>
          <w:b/>
          <w:bCs/>
          <w:color w:val="auto"/>
          <w:highlight w:val="none"/>
        </w:rPr>
      </w:pPr>
      <w:r>
        <w:rPr>
          <w:rFonts w:hint="eastAsia" w:cs="Times New Roman"/>
          <w:color w:val="auto"/>
          <w:sz w:val="21"/>
          <w:szCs w:val="21"/>
          <w:highlight w:val="none"/>
          <w:lang w:val="en-US" w:eastAsia="zh-CN"/>
        </w:rPr>
        <w:t xml:space="preserve">                                                           </w:t>
      </w:r>
      <w:r>
        <w:rPr>
          <w:rFonts w:cs="Times New Roman"/>
          <w:color w:val="auto"/>
          <w:sz w:val="21"/>
          <w:szCs w:val="21"/>
          <w:highlight w:val="none"/>
        </w:rPr>
        <w:t>单位：km</w:t>
      </w:r>
      <w:r>
        <w:rPr>
          <w:rFonts w:cs="Times New Roman"/>
          <w:color w:val="auto"/>
          <w:sz w:val="21"/>
          <w:szCs w:val="21"/>
          <w:highlight w:val="none"/>
          <w:vertAlign w:val="superscript"/>
        </w:rPr>
        <w:t>2</w:t>
      </w:r>
    </w:p>
    <w:tbl>
      <w:tblPr>
        <w:tblStyle w:val="3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2025"/>
        <w:gridCol w:w="1843"/>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22"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序号</w:t>
            </w:r>
          </w:p>
        </w:tc>
        <w:tc>
          <w:tcPr>
            <w:tcW w:w="2025" w:type="dxa"/>
            <w:vAlign w:val="center"/>
          </w:tcPr>
          <w:p>
            <w:pPr>
              <w:snapToGrid w:val="0"/>
              <w:spacing w:before="156" w:beforeLines="50" w:after="156" w:afterLines="50"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任务指标</w:t>
            </w:r>
          </w:p>
        </w:tc>
        <w:tc>
          <w:tcPr>
            <w:tcW w:w="1843"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近期目标</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（2022</w:t>
            </w:r>
            <w:r>
              <w:rPr>
                <w:rFonts w:hint="eastAsia" w:eastAsia="黑体" w:cs="Times New Roman"/>
                <w:color w:val="auto"/>
                <w:kern w:val="0"/>
                <w:sz w:val="21"/>
                <w:szCs w:val="21"/>
                <w:highlight w:val="none"/>
                <w:lang w:eastAsia="zh-CN"/>
              </w:rPr>
              <w:t>—</w:t>
            </w:r>
            <w:r>
              <w:rPr>
                <w:rFonts w:eastAsia="黑体" w:cs="Times New Roman"/>
                <w:color w:val="auto"/>
                <w:kern w:val="0"/>
                <w:sz w:val="21"/>
                <w:szCs w:val="21"/>
                <w:highlight w:val="none"/>
              </w:rPr>
              <w:t>2025年）</w:t>
            </w:r>
          </w:p>
        </w:tc>
        <w:tc>
          <w:tcPr>
            <w:tcW w:w="1842"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远期目标</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（2026</w:t>
            </w:r>
            <w:r>
              <w:rPr>
                <w:rFonts w:hint="eastAsia" w:eastAsia="黑体" w:cs="Times New Roman"/>
                <w:color w:val="auto"/>
                <w:kern w:val="0"/>
                <w:sz w:val="21"/>
                <w:szCs w:val="21"/>
                <w:highlight w:val="none"/>
                <w:lang w:eastAsia="zh-CN"/>
              </w:rPr>
              <w:t>—</w:t>
            </w:r>
            <w:r>
              <w:rPr>
                <w:rFonts w:eastAsia="黑体" w:cs="Times New Roman"/>
                <w:color w:val="auto"/>
                <w:kern w:val="0"/>
                <w:sz w:val="21"/>
                <w:szCs w:val="21"/>
                <w:highlight w:val="none"/>
              </w:rPr>
              <w:t>2030年）</w:t>
            </w:r>
          </w:p>
        </w:tc>
        <w:tc>
          <w:tcPr>
            <w:tcW w:w="1985"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总体目标</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（2022</w:t>
            </w:r>
            <w:r>
              <w:rPr>
                <w:rFonts w:hint="eastAsia" w:eastAsia="黑体" w:cs="Times New Roman"/>
                <w:color w:val="auto"/>
                <w:kern w:val="0"/>
                <w:sz w:val="21"/>
                <w:szCs w:val="21"/>
                <w:highlight w:val="none"/>
                <w:lang w:eastAsia="zh-CN"/>
              </w:rPr>
              <w:t>—</w:t>
            </w:r>
            <w:r>
              <w:rPr>
                <w:rFonts w:eastAsia="黑体" w:cs="Times New Roman"/>
                <w:color w:val="auto"/>
                <w:kern w:val="0"/>
                <w:sz w:val="21"/>
                <w:szCs w:val="21"/>
                <w:highlight w:val="none"/>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522"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1</w:t>
            </w:r>
          </w:p>
        </w:tc>
        <w:tc>
          <w:tcPr>
            <w:tcW w:w="2025"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水土流失预防保护</w:t>
            </w:r>
          </w:p>
        </w:tc>
        <w:tc>
          <w:tcPr>
            <w:tcW w:w="1843"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hint="eastAsia" w:cs="Times New Roman"/>
                <w:color w:val="auto"/>
                <w:kern w:val="0"/>
                <w:sz w:val="21"/>
                <w:szCs w:val="21"/>
                <w:highlight w:val="none"/>
              </w:rPr>
              <w:t>24.65</w:t>
            </w:r>
          </w:p>
        </w:tc>
        <w:tc>
          <w:tcPr>
            <w:tcW w:w="1842" w:type="dxa"/>
            <w:vAlign w:val="center"/>
          </w:tcPr>
          <w:p>
            <w:pPr>
              <w:snapToGrid w:val="0"/>
              <w:spacing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31.85</w:t>
            </w:r>
          </w:p>
        </w:tc>
        <w:tc>
          <w:tcPr>
            <w:tcW w:w="1985" w:type="dxa"/>
            <w:vAlign w:val="center"/>
          </w:tcPr>
          <w:p>
            <w:pPr>
              <w:snapToGrid w:val="0"/>
              <w:spacing w:line="240" w:lineRule="auto"/>
              <w:ind w:firstLine="0" w:firstLineChars="0"/>
              <w:jc w:val="center"/>
              <w:rPr>
                <w:rFonts w:cs="Times New Roman"/>
                <w:color w:val="auto"/>
                <w:kern w:val="0"/>
                <w:sz w:val="21"/>
                <w:szCs w:val="21"/>
                <w:highlight w:val="none"/>
              </w:rPr>
            </w:pPr>
            <w:r>
              <w:rPr>
                <w:rFonts w:hint="eastAsia" w:cs="Times New Roman"/>
                <w:color w:val="auto"/>
                <w:kern w:val="0"/>
                <w:sz w:val="21"/>
                <w:szCs w:val="21"/>
                <w:highlight w:val="none"/>
              </w:rPr>
              <w:t>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2"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2</w:t>
            </w:r>
          </w:p>
        </w:tc>
        <w:tc>
          <w:tcPr>
            <w:tcW w:w="2025"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水土流失治理</w:t>
            </w:r>
          </w:p>
        </w:tc>
        <w:tc>
          <w:tcPr>
            <w:tcW w:w="1843"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72.38</w:t>
            </w:r>
          </w:p>
        </w:tc>
        <w:tc>
          <w:tcPr>
            <w:tcW w:w="1842"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90.47</w:t>
            </w:r>
          </w:p>
        </w:tc>
        <w:tc>
          <w:tcPr>
            <w:tcW w:w="1985" w:type="dxa"/>
            <w:vAlign w:val="center"/>
          </w:tcPr>
          <w:p>
            <w:pPr>
              <w:snapToGrid w:val="0"/>
              <w:spacing w:before="156" w:beforeLines="50" w:after="156" w:afterLines="50"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162.85</w:t>
            </w:r>
          </w:p>
        </w:tc>
      </w:tr>
    </w:tbl>
    <w:p>
      <w:pPr>
        <w:rPr>
          <w:rFonts w:cs="Times New Roman"/>
          <w:color w:val="auto"/>
          <w:highlight w:val="none"/>
        </w:rPr>
      </w:pPr>
    </w:p>
    <w:p>
      <w:pPr>
        <w:widowControl/>
        <w:adjustRightInd/>
        <w:spacing w:line="240" w:lineRule="auto"/>
        <w:ind w:firstLine="0" w:firstLineChars="0"/>
        <w:jc w:val="left"/>
        <w:rPr>
          <w:rFonts w:cs="Times New Roman"/>
          <w:color w:val="auto"/>
          <w:highlight w:val="none"/>
        </w:rPr>
      </w:pPr>
      <w:r>
        <w:rPr>
          <w:rFonts w:cs="Times New Roman"/>
          <w:color w:val="auto"/>
          <w:highlight w:val="none"/>
        </w:rPr>
        <w:br w:type="page"/>
      </w:r>
    </w:p>
    <w:p>
      <w:pPr>
        <w:pStyle w:val="2"/>
        <w:rPr>
          <w:color w:val="auto"/>
          <w:sz w:val="32"/>
          <w:highlight w:val="none"/>
          <w:lang w:val="en-GB"/>
        </w:rPr>
      </w:pPr>
      <w:bookmarkStart w:id="269" w:name="_Toc90399098"/>
      <w:bookmarkStart w:id="270" w:name="_Toc7293"/>
      <w:bookmarkStart w:id="271" w:name="_Toc21164"/>
      <w:bookmarkStart w:id="272" w:name="_Toc101681465"/>
      <w:r>
        <w:rPr>
          <w:color w:val="auto"/>
          <w:sz w:val="32"/>
          <w:highlight w:val="none"/>
          <w:lang w:val="en-US"/>
        </w:rPr>
        <w:t>5</w:t>
      </w:r>
      <w:r>
        <w:rPr>
          <w:color w:val="auto"/>
          <w:sz w:val="32"/>
          <w:highlight w:val="none"/>
          <w:lang w:val="en-GB"/>
        </w:rPr>
        <w:t>总体布局</w:t>
      </w:r>
      <w:bookmarkEnd w:id="269"/>
      <w:bookmarkEnd w:id="270"/>
      <w:bookmarkEnd w:id="271"/>
      <w:bookmarkEnd w:id="272"/>
    </w:p>
    <w:p>
      <w:pPr>
        <w:pStyle w:val="3"/>
        <w:spacing w:before="156"/>
        <w:ind w:firstLine="602"/>
        <w:rPr>
          <w:color w:val="auto"/>
          <w:highlight w:val="none"/>
          <w:lang w:val="en-US"/>
        </w:rPr>
      </w:pPr>
      <w:bookmarkStart w:id="273" w:name="_Toc101681466"/>
      <w:bookmarkStart w:id="274" w:name="_Toc6048"/>
      <w:bookmarkStart w:id="275" w:name="_Toc90399099"/>
      <w:bookmarkStart w:id="276" w:name="_Toc13906"/>
      <w:r>
        <w:rPr>
          <w:color w:val="auto"/>
          <w:highlight w:val="none"/>
          <w:lang w:val="en-US"/>
        </w:rPr>
        <w:t>5.1区域布局</w:t>
      </w:r>
      <w:bookmarkEnd w:id="273"/>
      <w:bookmarkEnd w:id="274"/>
      <w:bookmarkEnd w:id="275"/>
      <w:bookmarkEnd w:id="276"/>
    </w:p>
    <w:p>
      <w:pPr>
        <w:pStyle w:val="4"/>
        <w:spacing w:before="156"/>
        <w:ind w:firstLine="562"/>
        <w:rPr>
          <w:color w:val="auto"/>
          <w:highlight w:val="none"/>
        </w:rPr>
      </w:pPr>
      <w:bookmarkStart w:id="277" w:name="_Toc482812771"/>
      <w:bookmarkStart w:id="278" w:name="_Toc528945996"/>
      <w:bookmarkStart w:id="279" w:name="_Toc101681467"/>
      <w:bookmarkStart w:id="280" w:name="_Toc6891"/>
      <w:bookmarkStart w:id="281" w:name="_Toc18109"/>
      <w:r>
        <w:rPr>
          <w:color w:val="auto"/>
          <w:highlight w:val="none"/>
          <w:lang w:val="en-US"/>
        </w:rPr>
        <w:t>5.1.1</w:t>
      </w:r>
      <w:r>
        <w:rPr>
          <w:color w:val="auto"/>
          <w:highlight w:val="none"/>
        </w:rPr>
        <w:t>上</w:t>
      </w:r>
      <w:r>
        <w:rPr>
          <w:color w:val="auto"/>
          <w:highlight w:val="none"/>
          <w:lang w:val="en-US"/>
        </w:rPr>
        <w:t>级</w:t>
      </w:r>
      <w:r>
        <w:rPr>
          <w:color w:val="auto"/>
          <w:highlight w:val="none"/>
        </w:rPr>
        <w:t>水土保持</w:t>
      </w:r>
      <w:bookmarkEnd w:id="277"/>
      <w:bookmarkEnd w:id="278"/>
      <w:r>
        <w:rPr>
          <w:color w:val="auto"/>
          <w:highlight w:val="none"/>
        </w:rPr>
        <w:t>区划情况</w:t>
      </w:r>
      <w:bookmarkEnd w:id="279"/>
      <w:bookmarkEnd w:id="280"/>
      <w:bookmarkEnd w:id="281"/>
    </w:p>
    <w:p>
      <w:pPr>
        <w:pStyle w:val="5"/>
        <w:spacing w:before="156"/>
        <w:ind w:firstLine="562"/>
        <w:rPr>
          <w:color w:val="auto"/>
          <w:highlight w:val="none"/>
          <w:lang w:val="en-US"/>
        </w:rPr>
      </w:pPr>
      <w:r>
        <w:rPr>
          <w:color w:val="auto"/>
          <w:highlight w:val="none"/>
          <w:lang w:val="en-US"/>
        </w:rPr>
        <w:t>5.1.1.1国家级水土保持区划情况</w:t>
      </w:r>
    </w:p>
    <w:p>
      <w:pPr>
        <w:widowControl/>
        <w:rPr>
          <w:rFonts w:cs="Times New Roman"/>
          <w:color w:val="auto"/>
          <w:highlight w:val="none"/>
        </w:rPr>
      </w:pPr>
      <w:r>
        <w:rPr>
          <w:rFonts w:cs="Times New Roman"/>
          <w:color w:val="auto"/>
          <w:highlight w:val="none"/>
        </w:rPr>
        <w:t>根据《水利部办公厅关于印发全国水土保持区划（试行）的通知》（办水保〔2012〕512号），全国水土保持区划共划分为8个一级区，41个二级区，117个三级区。其中，柳江区属于Ⅴ南方红壤区、Ⅴ-6南岭山地丘陵区、Ⅴ-6</w:t>
      </w:r>
      <w:r>
        <w:rPr>
          <w:rFonts w:hint="eastAsia" w:cs="Times New Roman"/>
          <w:color w:val="auto"/>
          <w:highlight w:val="none"/>
          <w:lang w:eastAsia="zh-CN"/>
        </w:rPr>
        <w:t>—</w:t>
      </w:r>
      <w:r>
        <w:rPr>
          <w:rFonts w:cs="Times New Roman"/>
          <w:color w:val="auto"/>
          <w:highlight w:val="none"/>
        </w:rPr>
        <w:t>3t桂中低山丘陵土壤保持区。</w:t>
      </w:r>
    </w:p>
    <w:p>
      <w:pPr>
        <w:pStyle w:val="5"/>
        <w:spacing w:before="156"/>
        <w:ind w:firstLine="562"/>
        <w:rPr>
          <w:color w:val="auto"/>
          <w:highlight w:val="none"/>
        </w:rPr>
      </w:pPr>
      <w:r>
        <w:rPr>
          <w:color w:val="auto"/>
          <w:highlight w:val="none"/>
          <w:lang w:val="en-US"/>
        </w:rPr>
        <w:t>5.1.1.2</w:t>
      </w:r>
      <w:r>
        <w:rPr>
          <w:color w:val="auto"/>
          <w:highlight w:val="none"/>
        </w:rPr>
        <w:t>自治区级水土保持区划情况</w:t>
      </w:r>
    </w:p>
    <w:p>
      <w:pPr>
        <w:rPr>
          <w:rFonts w:cs="Times New Roman"/>
          <w:color w:val="auto"/>
          <w:highlight w:val="none"/>
        </w:rPr>
      </w:pPr>
      <w:r>
        <w:rPr>
          <w:rFonts w:cs="Times New Roman"/>
          <w:color w:val="auto"/>
          <w:highlight w:val="none"/>
        </w:rPr>
        <w:t>根据《广西壮族自治区水土保持规划（2016</w:t>
      </w:r>
      <w:r>
        <w:rPr>
          <w:rFonts w:hint="eastAsia" w:cs="Times New Roman"/>
          <w:color w:val="auto"/>
          <w:highlight w:val="none"/>
          <w:lang w:val="en-US" w:eastAsia="zh-CN"/>
        </w:rPr>
        <w:t>~</w:t>
      </w:r>
      <w:r>
        <w:rPr>
          <w:rFonts w:cs="Times New Roman"/>
          <w:color w:val="auto"/>
          <w:highlight w:val="none"/>
        </w:rPr>
        <w:t>2030）》，广西水土保持规划依据全国三级区划成果，结合广西地域特征对全区涉及的6个全国三级区进行重新命名。其中，柳江区属于桂中低山丘陵土壤保持区。</w:t>
      </w:r>
    </w:p>
    <w:p>
      <w:pPr>
        <w:pStyle w:val="5"/>
        <w:spacing w:before="156"/>
        <w:ind w:firstLine="562"/>
        <w:rPr>
          <w:color w:val="auto"/>
          <w:highlight w:val="none"/>
          <w:lang w:val="en-US"/>
        </w:rPr>
      </w:pPr>
      <w:r>
        <w:rPr>
          <w:color w:val="auto"/>
          <w:highlight w:val="none"/>
          <w:lang w:val="en-US"/>
        </w:rPr>
        <w:t>5.1.1.3市级水土保持区划情况</w:t>
      </w:r>
    </w:p>
    <w:p>
      <w:pPr>
        <w:rPr>
          <w:rFonts w:cs="Times New Roman"/>
          <w:color w:val="auto"/>
          <w:highlight w:val="none"/>
        </w:rPr>
      </w:pPr>
      <w:r>
        <w:rPr>
          <w:rFonts w:cs="Times New Roman"/>
          <w:color w:val="auto"/>
          <w:highlight w:val="none"/>
        </w:rPr>
        <w:t xml:space="preserve">根据《柳州市水土保持规划（2019~2030 </w:t>
      </w:r>
      <w:r>
        <w:rPr>
          <w:rFonts w:hint="eastAsia" w:cs="Times New Roman"/>
          <w:color w:val="auto"/>
          <w:highlight w:val="none"/>
          <w:lang w:eastAsia="zh-CN"/>
        </w:rPr>
        <w:t>）</w:t>
      </w:r>
      <w:r>
        <w:rPr>
          <w:rFonts w:cs="Times New Roman"/>
          <w:color w:val="auto"/>
          <w:highlight w:val="none"/>
        </w:rPr>
        <w:t>》，柳州市水土保持规划依据全国和自治区水土保持区划结果，对局部进行调整，并对区划名称进行市级区划命名。其中，柳江区穿山镇、进德镇、拉堡镇、成团镇属于中部平原人居环境维护区，土博镇、里高镇、三都镇、百朋镇属于南部低山丘陵保土区。</w:t>
      </w:r>
    </w:p>
    <w:p>
      <w:pPr>
        <w:pStyle w:val="4"/>
        <w:spacing w:before="156"/>
        <w:ind w:firstLine="562"/>
        <w:rPr>
          <w:color w:val="auto"/>
          <w:highlight w:val="none"/>
          <w:lang w:val="en-US"/>
        </w:rPr>
      </w:pPr>
      <w:bookmarkStart w:id="282" w:name="_Toc27271"/>
      <w:bookmarkStart w:id="283" w:name="_Toc28575"/>
      <w:bookmarkStart w:id="284" w:name="_Toc101681468"/>
      <w:r>
        <w:rPr>
          <w:color w:val="auto"/>
          <w:highlight w:val="none"/>
          <w:lang w:val="en-US"/>
        </w:rPr>
        <w:t>5.1.2水土保持区划方法</w:t>
      </w:r>
      <w:bookmarkEnd w:id="282"/>
      <w:bookmarkEnd w:id="283"/>
      <w:bookmarkEnd w:id="284"/>
    </w:p>
    <w:p>
      <w:pPr>
        <w:pStyle w:val="5"/>
        <w:spacing w:before="156"/>
        <w:ind w:firstLine="562"/>
        <w:rPr>
          <w:color w:val="auto"/>
          <w:highlight w:val="none"/>
        </w:rPr>
      </w:pPr>
      <w:r>
        <w:rPr>
          <w:color w:val="auto"/>
          <w:highlight w:val="none"/>
          <w:lang w:val="en-US"/>
        </w:rPr>
        <w:t>5.1.2.1区划</w:t>
      </w:r>
      <w:r>
        <w:rPr>
          <w:color w:val="auto"/>
          <w:highlight w:val="none"/>
        </w:rPr>
        <w:t>原则</w:t>
      </w:r>
    </w:p>
    <w:p>
      <w:pPr>
        <w:rPr>
          <w:rFonts w:cs="Times New Roman"/>
          <w:color w:val="auto"/>
          <w:highlight w:val="none"/>
        </w:rPr>
      </w:pPr>
      <w:r>
        <w:rPr>
          <w:rFonts w:cs="Times New Roman"/>
          <w:color w:val="auto"/>
          <w:highlight w:val="none"/>
        </w:rPr>
        <w:t>（1）自然规律和社会经济规律相结合原则。根据土地资源的优势，水土流失现状及发展趋势，结合社会经济发展对土地利用的要求，确定与生产发展相适应的土地利用方案和开发保护利用水土资源的根本措施。</w:t>
      </w:r>
    </w:p>
    <w:p>
      <w:pPr>
        <w:rPr>
          <w:rFonts w:cs="Times New Roman"/>
          <w:color w:val="auto"/>
          <w:highlight w:val="none"/>
        </w:rPr>
      </w:pPr>
      <w:r>
        <w:rPr>
          <w:rFonts w:cs="Times New Roman"/>
          <w:color w:val="auto"/>
          <w:highlight w:val="none"/>
        </w:rPr>
        <w:t>（2）主导因素和综合因素相结合原则。综合考虑自然和社会等因素，并分析其相互关系和作用，抓住起主导作用的因素。</w:t>
      </w:r>
    </w:p>
    <w:p>
      <w:pPr>
        <w:rPr>
          <w:rFonts w:cs="Times New Roman"/>
          <w:color w:val="auto"/>
          <w:highlight w:val="none"/>
        </w:rPr>
      </w:pPr>
      <w:r>
        <w:rPr>
          <w:rFonts w:cs="Times New Roman"/>
          <w:color w:val="auto"/>
          <w:highlight w:val="none"/>
        </w:rPr>
        <w:t>（3）区内相似性与区间差异性原则。同区经济条件、水土流失规律和程度、生产建设方向及治理措施应具有一致性，各区之间应有明显的差异性。</w:t>
      </w:r>
    </w:p>
    <w:p>
      <w:pPr>
        <w:rPr>
          <w:rFonts w:cs="Times New Roman"/>
          <w:color w:val="auto"/>
          <w:highlight w:val="none"/>
        </w:rPr>
      </w:pPr>
      <w:r>
        <w:rPr>
          <w:rFonts w:cs="Times New Roman"/>
          <w:color w:val="auto"/>
          <w:highlight w:val="none"/>
        </w:rPr>
        <w:t>（4）定量分析与定性分析相结合原则。从多个角度分析说明，采取定性分析与定量分析相结合的方法，以可量化评价指标为主，使分区结果精确、合理、符合实际情况。</w:t>
      </w:r>
    </w:p>
    <w:p>
      <w:pPr>
        <w:rPr>
          <w:rFonts w:cs="Times New Roman"/>
          <w:color w:val="auto"/>
          <w:highlight w:val="none"/>
        </w:rPr>
      </w:pPr>
      <w:r>
        <w:rPr>
          <w:rFonts w:cs="Times New Roman"/>
          <w:color w:val="auto"/>
          <w:highlight w:val="none"/>
        </w:rPr>
        <w:t>（5）自然区界与行政区划相结合原则。充分考虑具有相同自然条件的区域集中连片，各区范围不交叉、不重复。同时，基于柳江区水土流失的综合防治与水土资源的开发利用都是在乡镇级行政区范围内决策实施的，应保证乡镇级行政区的完整性，采用乡镇级行政区作为区划基本单元进行划分。</w:t>
      </w:r>
    </w:p>
    <w:p>
      <w:pPr>
        <w:pStyle w:val="5"/>
        <w:spacing w:before="156"/>
        <w:ind w:firstLine="562"/>
        <w:rPr>
          <w:color w:val="auto"/>
          <w:highlight w:val="none"/>
        </w:rPr>
      </w:pPr>
      <w:r>
        <w:rPr>
          <w:color w:val="auto"/>
          <w:highlight w:val="none"/>
          <w:lang w:val="en-US"/>
        </w:rPr>
        <w:t>5.1.2.2区划</w:t>
      </w:r>
      <w:r>
        <w:rPr>
          <w:color w:val="auto"/>
          <w:highlight w:val="none"/>
        </w:rPr>
        <w:t>依据</w:t>
      </w:r>
    </w:p>
    <w:p>
      <w:pPr>
        <w:rPr>
          <w:rFonts w:cs="Times New Roman"/>
          <w:color w:val="auto"/>
          <w:highlight w:val="none"/>
        </w:rPr>
      </w:pPr>
      <w:r>
        <w:rPr>
          <w:rFonts w:cs="Times New Roman"/>
          <w:color w:val="auto"/>
          <w:highlight w:val="none"/>
        </w:rPr>
        <w:t>（1）水土流失类型、特征及其分布是自然地理因素和社会经济因素的综合反映，因此，地理环境的基本规律——区域分异规律，是本区划的基本理论依据。</w:t>
      </w:r>
    </w:p>
    <w:p>
      <w:pPr>
        <w:rPr>
          <w:rFonts w:cs="Times New Roman"/>
          <w:color w:val="auto"/>
          <w:highlight w:val="none"/>
        </w:rPr>
      </w:pPr>
      <w:r>
        <w:rPr>
          <w:rFonts w:cs="Times New Roman"/>
          <w:color w:val="auto"/>
          <w:highlight w:val="none"/>
        </w:rPr>
        <w:t>（2）各区所处的地貌条件决定水热分配以及土壤、植被的分布，因此，以自然地理条件、水土流失类型、防治方向的相似性和差异性作为区划的主要依据。</w:t>
      </w:r>
    </w:p>
    <w:p>
      <w:pPr>
        <w:rPr>
          <w:rFonts w:cs="Times New Roman"/>
          <w:color w:val="auto"/>
          <w:highlight w:val="none"/>
        </w:rPr>
      </w:pPr>
      <w:r>
        <w:rPr>
          <w:rFonts w:cs="Times New Roman"/>
          <w:color w:val="auto"/>
          <w:highlight w:val="none"/>
        </w:rPr>
        <w:t>（3）中小地貌形态、水土流失程度和治理措施是本区划的重要依据。</w:t>
      </w:r>
    </w:p>
    <w:p>
      <w:pPr>
        <w:rPr>
          <w:rFonts w:cs="Times New Roman"/>
          <w:color w:val="auto"/>
          <w:highlight w:val="none"/>
        </w:rPr>
      </w:pPr>
      <w:r>
        <w:rPr>
          <w:rFonts w:cs="Times New Roman"/>
          <w:color w:val="auto"/>
          <w:highlight w:val="none"/>
        </w:rPr>
        <w:t>（4）人口密度及其相应的土地利用状况等社会经济条件，是本区划参考的重要依据。</w:t>
      </w:r>
    </w:p>
    <w:p>
      <w:pPr>
        <w:pStyle w:val="5"/>
        <w:spacing w:before="156"/>
        <w:ind w:firstLine="562"/>
        <w:rPr>
          <w:color w:val="auto"/>
          <w:highlight w:val="none"/>
        </w:rPr>
      </w:pPr>
      <w:r>
        <w:rPr>
          <w:color w:val="auto"/>
          <w:highlight w:val="none"/>
          <w:lang w:val="en-US"/>
        </w:rPr>
        <w:t>5.1.2.3</w:t>
      </w:r>
      <w:r>
        <w:rPr>
          <w:color w:val="auto"/>
          <w:highlight w:val="none"/>
        </w:rPr>
        <w:t>命名方法</w:t>
      </w:r>
    </w:p>
    <w:p>
      <w:pPr>
        <w:rPr>
          <w:rFonts w:cs="Times New Roman"/>
          <w:color w:val="auto"/>
          <w:highlight w:val="none"/>
        </w:rPr>
      </w:pPr>
      <w:r>
        <w:rPr>
          <w:rFonts w:cs="Times New Roman"/>
          <w:color w:val="auto"/>
          <w:highlight w:val="none"/>
        </w:rPr>
        <w:t>柳江区水土保持类型区划分采用三因素命名法，即“地理位置（相对于柳江</w:t>
      </w:r>
      <w:r>
        <w:rPr>
          <w:rFonts w:hint="eastAsia" w:cs="Times New Roman"/>
          <w:color w:val="auto"/>
          <w:highlight w:val="none"/>
          <w:lang w:eastAsia="zh-CN"/>
        </w:rPr>
        <w:t>区</w:t>
      </w:r>
      <w:r>
        <w:rPr>
          <w:rFonts w:cs="Times New Roman"/>
          <w:color w:val="auto"/>
          <w:highlight w:val="none"/>
        </w:rPr>
        <w:t>位）+地貌类型组合+水土保持主导功能”的方式命名。</w:t>
      </w:r>
    </w:p>
    <w:p>
      <w:pPr>
        <w:pStyle w:val="4"/>
        <w:spacing w:before="156"/>
        <w:ind w:firstLine="562"/>
        <w:rPr>
          <w:color w:val="auto"/>
          <w:highlight w:val="none"/>
        </w:rPr>
      </w:pPr>
      <w:bookmarkStart w:id="285" w:name="_Toc101681469"/>
      <w:bookmarkStart w:id="286" w:name="_Toc528945998"/>
      <w:bookmarkStart w:id="287" w:name="_Toc6439"/>
      <w:bookmarkStart w:id="288" w:name="_Toc29621"/>
      <w:bookmarkStart w:id="289" w:name="_Toc482812773"/>
      <w:r>
        <w:rPr>
          <w:color w:val="auto"/>
          <w:highlight w:val="none"/>
          <w:lang w:val="en-US"/>
        </w:rPr>
        <w:t>5.1.3区划成果</w:t>
      </w:r>
      <w:r>
        <w:rPr>
          <w:color w:val="auto"/>
          <w:highlight w:val="none"/>
        </w:rPr>
        <w:t>与布局</w:t>
      </w:r>
      <w:bookmarkEnd w:id="285"/>
      <w:bookmarkEnd w:id="286"/>
      <w:bookmarkEnd w:id="287"/>
      <w:bookmarkEnd w:id="288"/>
    </w:p>
    <w:p>
      <w:pPr>
        <w:rPr>
          <w:rFonts w:cs="Times New Roman"/>
          <w:color w:val="auto"/>
          <w:highlight w:val="none"/>
        </w:rPr>
      </w:pPr>
      <w:r>
        <w:rPr>
          <w:rFonts w:cs="Times New Roman"/>
          <w:color w:val="auto"/>
          <w:highlight w:val="none"/>
        </w:rPr>
        <w:t>根据《柳州市水土保持规划（2019</w:t>
      </w:r>
      <w:r>
        <w:rPr>
          <w:rFonts w:hint="eastAsia" w:cs="Times New Roman"/>
          <w:color w:val="auto"/>
          <w:highlight w:val="none"/>
          <w:lang w:eastAsia="zh-CN"/>
        </w:rPr>
        <w:t>～</w:t>
      </w:r>
      <w:r>
        <w:rPr>
          <w:rFonts w:cs="Times New Roman"/>
          <w:color w:val="auto"/>
          <w:highlight w:val="none"/>
        </w:rPr>
        <w:t>2030</w:t>
      </w:r>
      <w:r>
        <w:rPr>
          <w:rFonts w:hint="eastAsia" w:cs="Times New Roman"/>
          <w:color w:val="auto"/>
          <w:highlight w:val="none"/>
          <w:lang w:val="en-US" w:eastAsia="zh-CN"/>
        </w:rPr>
        <w:t>年</w:t>
      </w:r>
      <w:r>
        <w:rPr>
          <w:rFonts w:hint="eastAsia" w:cs="Times New Roman"/>
          <w:color w:val="auto"/>
          <w:highlight w:val="none"/>
          <w:lang w:eastAsia="zh-CN"/>
        </w:rPr>
        <w:t>）</w:t>
      </w:r>
      <w:r>
        <w:rPr>
          <w:rFonts w:cs="Times New Roman"/>
          <w:color w:val="auto"/>
          <w:highlight w:val="none"/>
        </w:rPr>
        <w:t>》，本次规划将柳江区划分为</w:t>
      </w:r>
      <w:r>
        <w:rPr>
          <w:rFonts w:hint="eastAsia" w:cs="Times New Roman"/>
          <w:color w:val="auto"/>
          <w:highlight w:val="none"/>
          <w:lang w:val="en-US" w:eastAsia="zh-CN"/>
        </w:rPr>
        <w:t>3</w:t>
      </w:r>
      <w:r>
        <w:rPr>
          <w:rFonts w:cs="Times New Roman"/>
          <w:color w:val="auto"/>
          <w:highlight w:val="none"/>
        </w:rPr>
        <w:t>个不同类型的水土保持区，分别为：</w:t>
      </w:r>
      <w:r>
        <w:rPr>
          <w:rFonts w:hint="eastAsia" w:cs="Times New Roman"/>
          <w:color w:val="auto"/>
          <w:highlight w:val="none"/>
          <w:lang w:val="en-US" w:eastAsia="zh-CN"/>
        </w:rPr>
        <w:t>东部低山丘陵保土水源涵养区、</w:t>
      </w:r>
      <w:r>
        <w:rPr>
          <w:rFonts w:cs="Times New Roman"/>
          <w:color w:val="auto"/>
          <w:highlight w:val="none"/>
        </w:rPr>
        <w:t>中部平原人居环境维护区、</w:t>
      </w:r>
      <w:r>
        <w:rPr>
          <w:rFonts w:hint="eastAsia" w:cs="Times New Roman"/>
          <w:color w:val="auto"/>
          <w:highlight w:val="none"/>
          <w:lang w:val="en-US" w:eastAsia="zh-CN"/>
        </w:rPr>
        <w:t>西部低山丘陵生态维护区</w:t>
      </w:r>
      <w:r>
        <w:rPr>
          <w:rFonts w:cs="Times New Roman"/>
          <w:color w:val="auto"/>
          <w:highlight w:val="none"/>
        </w:rPr>
        <w:t>。</w:t>
      </w:r>
    </w:p>
    <w:p>
      <w:pPr>
        <w:rPr>
          <w:rFonts w:cs="Times New Roman"/>
          <w:color w:val="auto"/>
          <w:highlight w:val="none"/>
        </w:rPr>
      </w:pPr>
      <w:r>
        <w:rPr>
          <w:rFonts w:cs="Times New Roman"/>
          <w:color w:val="auto"/>
          <w:highlight w:val="none"/>
        </w:rPr>
        <w:t>柳江区水土保持区划详见表5.1-1。</w:t>
      </w: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p>
    <w:p>
      <w:pPr>
        <w:pStyle w:val="49"/>
        <w:spacing w:before="156"/>
        <w:ind w:firstLine="561"/>
        <w:jc w:val="both"/>
        <w:rPr>
          <w:rFonts w:eastAsia="华文仿宋"/>
          <w:bCs/>
          <w:color w:val="auto"/>
          <w:kern w:val="0"/>
          <w:szCs w:val="21"/>
          <w:highlight w:val="none"/>
        </w:rPr>
      </w:pPr>
      <w:r>
        <w:rPr>
          <w:rFonts w:eastAsia="华文仿宋"/>
          <w:bCs/>
          <w:color w:val="auto"/>
          <w:kern w:val="0"/>
          <w:szCs w:val="21"/>
          <w:highlight w:val="none"/>
        </w:rPr>
        <w:t>表5.1-1         柳江区水土保持区划表</w:t>
      </w:r>
    </w:p>
    <w:tbl>
      <w:tblPr>
        <w:tblStyle w:val="31"/>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36"/>
        <w:gridCol w:w="848"/>
        <w:gridCol w:w="862"/>
        <w:gridCol w:w="970"/>
        <w:gridCol w:w="171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20" w:type="dxa"/>
            <w:gridSpan w:val="3"/>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全国区划名称</w:t>
            </w:r>
          </w:p>
        </w:tc>
        <w:tc>
          <w:tcPr>
            <w:tcW w:w="862"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广西区划名称</w:t>
            </w:r>
          </w:p>
        </w:tc>
        <w:tc>
          <w:tcPr>
            <w:tcW w:w="970"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柳州三级区划名称</w:t>
            </w:r>
          </w:p>
        </w:tc>
        <w:tc>
          <w:tcPr>
            <w:tcW w:w="1710"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县级区划</w:t>
            </w:r>
          </w:p>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名称</w:t>
            </w:r>
          </w:p>
        </w:tc>
        <w:tc>
          <w:tcPr>
            <w:tcW w:w="2642"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一级区划</w:t>
            </w:r>
          </w:p>
        </w:tc>
        <w:tc>
          <w:tcPr>
            <w:tcW w:w="836"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二级区划</w:t>
            </w:r>
          </w:p>
        </w:tc>
        <w:tc>
          <w:tcPr>
            <w:tcW w:w="848"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三级区划</w:t>
            </w:r>
          </w:p>
        </w:tc>
        <w:tc>
          <w:tcPr>
            <w:tcW w:w="862"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970"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1710"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2642"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836"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南方红壤区（南方山地丘陵区）</w:t>
            </w:r>
          </w:p>
        </w:tc>
        <w:tc>
          <w:tcPr>
            <w:tcW w:w="836"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南岭山地丘陵区</w:t>
            </w:r>
          </w:p>
        </w:tc>
        <w:tc>
          <w:tcPr>
            <w:tcW w:w="848"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桂中低山丘陵土壤保持区</w:t>
            </w:r>
          </w:p>
        </w:tc>
        <w:tc>
          <w:tcPr>
            <w:tcW w:w="862"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桂中低山丘陵土壤保持区</w:t>
            </w:r>
          </w:p>
        </w:tc>
        <w:tc>
          <w:tcPr>
            <w:tcW w:w="970" w:type="dxa"/>
            <w:vAlign w:val="center"/>
          </w:tcPr>
          <w:p>
            <w:pPr>
              <w:snapToGrid w:val="0"/>
              <w:spacing w:line="240" w:lineRule="auto"/>
              <w:ind w:firstLine="0" w:firstLineChars="0"/>
              <w:jc w:val="center"/>
              <w:rPr>
                <w:rFonts w:hint="eastAsia" w:eastAsia="宋体" w:cs="Times New Roman"/>
                <w:color w:val="auto"/>
                <w:kern w:val="0"/>
                <w:sz w:val="21"/>
                <w:szCs w:val="21"/>
                <w:highlight w:val="none"/>
                <w:lang w:eastAsia="zh-CN"/>
              </w:rPr>
            </w:pPr>
            <w:r>
              <w:rPr>
                <w:rFonts w:eastAsia="宋体" w:cs="Times New Roman"/>
                <w:color w:val="auto"/>
                <w:kern w:val="0"/>
                <w:sz w:val="21"/>
                <w:szCs w:val="21"/>
                <w:highlight w:val="none"/>
              </w:rPr>
              <w:t>中部平原人居环境维护区</w:t>
            </w:r>
            <w:r>
              <w:rPr>
                <w:rFonts w:hint="eastAsia" w:eastAsia="宋体" w:cs="Times New Roman"/>
                <w:color w:val="auto"/>
                <w:kern w:val="0"/>
                <w:sz w:val="21"/>
                <w:szCs w:val="21"/>
                <w:highlight w:val="none"/>
                <w:lang w:eastAsia="zh-CN"/>
              </w:rPr>
              <w:t>、</w:t>
            </w:r>
            <w:r>
              <w:rPr>
                <w:rFonts w:eastAsia="宋体" w:cs="Times New Roman"/>
                <w:color w:val="auto"/>
                <w:kern w:val="0"/>
                <w:sz w:val="21"/>
                <w:szCs w:val="21"/>
                <w:highlight w:val="none"/>
              </w:rPr>
              <w:t>南部低山丘陵保土区</w:t>
            </w:r>
          </w:p>
        </w:tc>
        <w:tc>
          <w:tcPr>
            <w:tcW w:w="1710"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东部低山丘陵植被维护保土区</w:t>
            </w:r>
          </w:p>
        </w:tc>
        <w:tc>
          <w:tcPr>
            <w:tcW w:w="2642"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穿山镇、百朋镇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3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83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848"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86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970"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中部平原人居环境维护区</w:t>
            </w:r>
          </w:p>
        </w:tc>
        <w:tc>
          <w:tcPr>
            <w:tcW w:w="1710"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中部平原人居环境维护区</w:t>
            </w:r>
          </w:p>
        </w:tc>
        <w:tc>
          <w:tcPr>
            <w:tcW w:w="2642" w:type="dxa"/>
            <w:vAlign w:val="center"/>
          </w:tcPr>
          <w:p>
            <w:pPr>
              <w:snapToGrid w:val="0"/>
              <w:spacing w:line="240" w:lineRule="auto"/>
              <w:ind w:firstLine="0" w:firstLineChars="0"/>
              <w:jc w:val="left"/>
              <w:rPr>
                <w:rFonts w:eastAsia="宋体" w:cs="Times New Roman"/>
                <w:color w:val="auto"/>
                <w:kern w:val="0"/>
                <w:sz w:val="21"/>
                <w:szCs w:val="21"/>
                <w:highlight w:val="none"/>
              </w:rPr>
            </w:pPr>
            <w:bookmarkStart w:id="290" w:name="_Hlk122419932"/>
            <w:r>
              <w:rPr>
                <w:rFonts w:eastAsia="宋体" w:cs="Times New Roman"/>
                <w:color w:val="auto"/>
                <w:kern w:val="0"/>
                <w:sz w:val="21"/>
                <w:szCs w:val="21"/>
                <w:highlight w:val="none"/>
              </w:rPr>
              <w:t>拉堡镇</w:t>
            </w:r>
            <w:r>
              <w:rPr>
                <w:rFonts w:hint="eastAsia" w:eastAsia="宋体" w:cs="Times New Roman"/>
                <w:color w:val="auto"/>
                <w:kern w:val="0"/>
                <w:sz w:val="21"/>
                <w:szCs w:val="21"/>
                <w:highlight w:val="none"/>
                <w:lang w:eastAsia="zh-CN"/>
              </w:rPr>
              <w:t>、</w:t>
            </w:r>
            <w:r>
              <w:rPr>
                <w:rFonts w:eastAsia="宋体" w:cs="Times New Roman"/>
                <w:color w:val="auto"/>
                <w:kern w:val="0"/>
                <w:sz w:val="21"/>
                <w:szCs w:val="21"/>
                <w:highlight w:val="none"/>
              </w:rPr>
              <w:t>进德镇、成团镇</w:t>
            </w:r>
            <w:bookmarkEnd w:id="2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3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bookmarkStart w:id="291" w:name="_Hlk496694777"/>
          </w:p>
        </w:tc>
        <w:tc>
          <w:tcPr>
            <w:tcW w:w="83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848"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86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970" w:type="dxa"/>
            <w:vAlign w:val="center"/>
          </w:tcPr>
          <w:p>
            <w:pPr>
              <w:snapToGrid w:val="0"/>
              <w:spacing w:line="240" w:lineRule="auto"/>
              <w:ind w:firstLine="0" w:firstLineChars="0"/>
              <w:jc w:val="center"/>
              <w:rPr>
                <w:rFonts w:hint="eastAsia" w:eastAsia="宋体" w:cs="Times New Roman"/>
                <w:color w:val="auto"/>
                <w:kern w:val="0"/>
                <w:sz w:val="21"/>
                <w:szCs w:val="21"/>
                <w:highlight w:val="none"/>
                <w:lang w:eastAsia="zh-CN"/>
              </w:rPr>
            </w:pPr>
            <w:r>
              <w:rPr>
                <w:rFonts w:eastAsia="宋体" w:cs="Times New Roman"/>
                <w:color w:val="auto"/>
                <w:kern w:val="0"/>
                <w:sz w:val="21"/>
                <w:szCs w:val="21"/>
                <w:highlight w:val="none"/>
              </w:rPr>
              <w:t>南部低山丘陵保土区</w:t>
            </w:r>
          </w:p>
        </w:tc>
        <w:tc>
          <w:tcPr>
            <w:tcW w:w="1710"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西部低山丘陵生态维护区</w:t>
            </w:r>
          </w:p>
        </w:tc>
        <w:tc>
          <w:tcPr>
            <w:tcW w:w="2642" w:type="dxa"/>
            <w:vAlign w:val="center"/>
          </w:tcPr>
          <w:p>
            <w:pPr>
              <w:snapToGrid w:val="0"/>
              <w:spacing w:line="240" w:lineRule="auto"/>
              <w:ind w:firstLine="0" w:firstLineChars="0"/>
              <w:jc w:val="left"/>
              <w:rPr>
                <w:rFonts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 xml:space="preserve"> </w:t>
            </w:r>
            <w:r>
              <w:rPr>
                <w:rFonts w:eastAsia="宋体" w:cs="Times New Roman"/>
                <w:color w:val="auto"/>
                <w:kern w:val="0"/>
                <w:sz w:val="21"/>
                <w:szCs w:val="21"/>
                <w:highlight w:val="none"/>
              </w:rPr>
              <w:t>土博镇、里高镇、三都镇、</w:t>
            </w:r>
          </w:p>
        </w:tc>
      </w:tr>
      <w:bookmarkEnd w:id="289"/>
    </w:tbl>
    <w:p>
      <w:pPr>
        <w:pStyle w:val="5"/>
        <w:spacing w:before="156"/>
        <w:ind w:firstLine="562"/>
        <w:rPr>
          <w:rFonts w:hint="default" w:eastAsia="黑体"/>
          <w:color w:val="auto"/>
          <w:highlight w:val="none"/>
          <w:lang w:val="en-US" w:eastAsia="zh-CN"/>
        </w:rPr>
      </w:pPr>
      <w:r>
        <w:rPr>
          <w:color w:val="auto"/>
          <w:highlight w:val="none"/>
          <w:lang w:val="en-US"/>
        </w:rPr>
        <w:t>5.1.3.</w:t>
      </w:r>
      <w:r>
        <w:rPr>
          <w:rFonts w:hint="eastAsia"/>
          <w:color w:val="auto"/>
          <w:highlight w:val="none"/>
          <w:lang w:val="en-US" w:eastAsia="zh-CN"/>
        </w:rPr>
        <w:t>1东部低山丘陵植被维护保土区</w:t>
      </w:r>
    </w:p>
    <w:p>
      <w:pPr>
        <w:numPr>
          <w:ilvl w:val="0"/>
          <w:numId w:val="0"/>
        </w:numPr>
        <w:ind w:firstLine="560" w:firstLineChars="200"/>
        <w:rPr>
          <w:rFonts w:cs="Times New Roman"/>
          <w:color w:val="auto"/>
          <w:highlight w:val="none"/>
        </w:rPr>
      </w:pPr>
      <w:r>
        <w:rPr>
          <w:rFonts w:ascii="Times New Roman" w:hAnsi="Times New Roman" w:eastAsia="仿宋" w:cs="Times New Roman"/>
          <w:color w:val="auto"/>
          <w:kern w:val="2"/>
          <w:sz w:val="28"/>
          <w:szCs w:val="28"/>
          <w:highlight w:val="none"/>
          <w:lang w:val="en-US" w:eastAsia="zh-CN" w:bidi="ar-SA"/>
        </w:rPr>
        <w:t>（1）</w:t>
      </w:r>
      <w:r>
        <w:rPr>
          <w:rFonts w:cs="Times New Roman"/>
          <w:color w:val="auto"/>
          <w:highlight w:val="none"/>
        </w:rPr>
        <w:t>分区范围</w:t>
      </w:r>
    </w:p>
    <w:p>
      <w:pPr>
        <w:rPr>
          <w:rFonts w:cs="Times New Roman"/>
          <w:color w:val="auto"/>
          <w:highlight w:val="none"/>
          <w:lang w:val="zh-CN"/>
        </w:rPr>
      </w:pPr>
      <w:r>
        <w:rPr>
          <w:rFonts w:cs="Times New Roman"/>
          <w:color w:val="auto"/>
          <w:highlight w:val="none"/>
        </w:rPr>
        <w:t>本区包括</w:t>
      </w:r>
      <w:r>
        <w:rPr>
          <w:rFonts w:hint="eastAsia" w:cs="Times New Roman"/>
          <w:color w:val="auto"/>
          <w:highlight w:val="none"/>
          <w:lang w:val="en-US" w:eastAsia="zh-CN"/>
        </w:rPr>
        <w:t>穿山</w:t>
      </w:r>
      <w:r>
        <w:rPr>
          <w:rFonts w:cs="Times New Roman"/>
          <w:color w:val="auto"/>
          <w:highlight w:val="none"/>
        </w:rPr>
        <w:t>镇、</w:t>
      </w:r>
      <w:r>
        <w:rPr>
          <w:rFonts w:hint="eastAsia" w:cs="Times New Roman"/>
          <w:color w:val="auto"/>
          <w:highlight w:val="none"/>
          <w:lang w:val="en-US" w:eastAsia="zh-CN"/>
        </w:rPr>
        <w:t>百朋</w:t>
      </w:r>
      <w:r>
        <w:rPr>
          <w:rFonts w:cs="Times New Roman"/>
          <w:color w:val="auto"/>
          <w:highlight w:val="none"/>
        </w:rPr>
        <w:t>镇等</w:t>
      </w:r>
      <w:r>
        <w:rPr>
          <w:rFonts w:hint="eastAsia" w:cs="Times New Roman"/>
          <w:color w:val="auto"/>
          <w:highlight w:val="none"/>
          <w:lang w:val="en-US" w:eastAsia="zh-CN"/>
        </w:rPr>
        <w:t>2</w:t>
      </w:r>
      <w:r>
        <w:rPr>
          <w:rFonts w:cs="Times New Roman"/>
          <w:color w:val="auto"/>
          <w:highlight w:val="none"/>
        </w:rPr>
        <w:t>个乡镇，合计土地面积</w:t>
      </w:r>
      <w:r>
        <w:rPr>
          <w:rFonts w:hint="eastAsia" w:cs="Times New Roman"/>
          <w:color w:val="auto"/>
          <w:highlight w:val="none"/>
          <w:lang w:val="en-US" w:eastAsia="zh-CN"/>
        </w:rPr>
        <w:t>794.80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44.83</w:t>
      </w:r>
      <w:r>
        <w:rPr>
          <w:rFonts w:cs="Times New Roman"/>
          <w:color w:val="auto"/>
          <w:highlight w:val="none"/>
        </w:rPr>
        <w:t>%</w:t>
      </w:r>
      <w:r>
        <w:rPr>
          <w:rFonts w:cs="Times New Roman"/>
          <w:color w:val="auto"/>
          <w:highlight w:val="none"/>
          <w:lang w:val="zh-CN"/>
        </w:rPr>
        <w:t>。</w:t>
      </w:r>
    </w:p>
    <w:p>
      <w:pPr>
        <w:rPr>
          <w:rFonts w:cs="Times New Roman"/>
          <w:color w:val="auto"/>
          <w:highlight w:val="none"/>
        </w:rPr>
      </w:pPr>
      <w:r>
        <w:rPr>
          <w:rFonts w:cs="Times New Roman"/>
          <w:color w:val="auto"/>
          <w:highlight w:val="none"/>
        </w:rPr>
        <w:t>（2）区域概况</w:t>
      </w:r>
    </w:p>
    <w:p>
      <w:pPr>
        <w:pStyle w:val="12"/>
        <w:ind w:firstLine="560"/>
        <w:rPr>
          <w:color w:val="auto"/>
          <w:highlight w:val="none"/>
        </w:rPr>
      </w:pPr>
      <w:r>
        <w:rPr>
          <w:rFonts w:hint="eastAsia"/>
          <w:color w:val="auto"/>
          <w:highlight w:val="none"/>
          <w:lang w:val="en-US" w:eastAsia="zh-CN"/>
        </w:rPr>
        <w:t>本区大部分范围属于《柳州市柳江区国民经济和社会发展第十四个五年规划纲要》空间布局中的农业空间。</w:t>
      </w:r>
      <w:r>
        <w:rPr>
          <w:color w:val="auto"/>
          <w:highlight w:val="none"/>
        </w:rPr>
        <w:t>本区地貌类型以</w:t>
      </w:r>
      <w:r>
        <w:rPr>
          <w:rFonts w:hint="eastAsia"/>
          <w:color w:val="auto"/>
          <w:highlight w:val="none"/>
          <w:lang w:val="en-US" w:eastAsia="zh-CN"/>
        </w:rPr>
        <w:t>低山丘陵</w:t>
      </w:r>
      <w:r>
        <w:rPr>
          <w:color w:val="auto"/>
          <w:highlight w:val="none"/>
        </w:rPr>
        <w:t>为主，</w:t>
      </w:r>
      <w:r>
        <w:rPr>
          <w:rFonts w:eastAsia="仿宋"/>
          <w:color w:val="auto"/>
          <w:szCs w:val="28"/>
          <w:highlight w:val="none"/>
          <w:lang w:val="en-US"/>
        </w:rPr>
        <w:t>海拔一般在</w:t>
      </w:r>
      <w:r>
        <w:rPr>
          <w:rFonts w:hint="eastAsia" w:eastAsia="仿宋"/>
          <w:color w:val="auto"/>
          <w:szCs w:val="28"/>
          <w:highlight w:val="none"/>
          <w:lang w:val="en-US" w:eastAsia="zh-CN"/>
        </w:rPr>
        <w:t>70</w:t>
      </w:r>
      <w:r>
        <w:rPr>
          <w:rFonts w:eastAsia="仿宋"/>
          <w:color w:val="auto"/>
          <w:szCs w:val="28"/>
          <w:highlight w:val="none"/>
          <w:lang w:val="en-US"/>
        </w:rPr>
        <w:t>～</w:t>
      </w:r>
      <w:r>
        <w:rPr>
          <w:rFonts w:hint="eastAsia" w:eastAsia="仿宋"/>
          <w:color w:val="auto"/>
          <w:szCs w:val="28"/>
          <w:highlight w:val="none"/>
          <w:lang w:val="en-US" w:eastAsia="zh-CN"/>
        </w:rPr>
        <w:t>550</w:t>
      </w:r>
      <w:r>
        <w:rPr>
          <w:rFonts w:eastAsia="仿宋"/>
          <w:color w:val="auto"/>
          <w:szCs w:val="28"/>
          <w:highlight w:val="none"/>
          <w:lang w:val="en-US"/>
        </w:rPr>
        <w:t>m之间，总体地形起伏较大</w:t>
      </w:r>
      <w:r>
        <w:rPr>
          <w:color w:val="auto"/>
          <w:highlight w:val="none"/>
        </w:rPr>
        <w:t>。土壤以水稻土、石灰土为主，</w:t>
      </w:r>
      <w:r>
        <w:rPr>
          <w:rFonts w:eastAsia="仿宋"/>
          <w:color w:val="auto"/>
          <w:szCs w:val="28"/>
          <w:highlight w:val="none"/>
          <w:lang w:val="en-US"/>
        </w:rPr>
        <w:t>林草覆盖率</w:t>
      </w:r>
      <w:r>
        <w:rPr>
          <w:rFonts w:hint="eastAsia" w:eastAsia="仿宋"/>
          <w:color w:val="auto"/>
          <w:szCs w:val="28"/>
          <w:highlight w:val="none"/>
          <w:lang w:val="en-US" w:eastAsia="zh-CN"/>
        </w:rPr>
        <w:t>43.81</w:t>
      </w:r>
      <w:r>
        <w:rPr>
          <w:rFonts w:eastAsia="仿宋"/>
          <w:color w:val="auto"/>
          <w:szCs w:val="28"/>
          <w:highlight w:val="none"/>
          <w:lang w:val="en-US"/>
        </w:rPr>
        <w:t>%</w:t>
      </w:r>
      <w:r>
        <w:rPr>
          <w:color w:val="auto"/>
          <w:highlight w:val="none"/>
        </w:rPr>
        <w:t>。本区</w:t>
      </w:r>
      <w:r>
        <w:rPr>
          <w:rFonts w:hint="eastAsia"/>
          <w:color w:val="auto"/>
          <w:highlight w:val="none"/>
          <w:lang w:val="en-US" w:eastAsia="zh-CN"/>
        </w:rPr>
        <w:t>面积</w:t>
      </w:r>
      <w:r>
        <w:rPr>
          <w:color w:val="auto"/>
          <w:highlight w:val="none"/>
        </w:rPr>
        <w:t>较</w:t>
      </w:r>
      <w:r>
        <w:rPr>
          <w:rFonts w:hint="eastAsia"/>
          <w:color w:val="auto"/>
          <w:highlight w:val="none"/>
          <w:lang w:val="en-US" w:eastAsia="zh-CN"/>
        </w:rPr>
        <w:t>大</w:t>
      </w:r>
      <w:r>
        <w:rPr>
          <w:color w:val="auto"/>
          <w:highlight w:val="none"/>
        </w:rPr>
        <w:t>，区内土地利用类型多为耕地</w:t>
      </w:r>
      <w:r>
        <w:rPr>
          <w:rFonts w:hint="eastAsia"/>
          <w:color w:val="auto"/>
          <w:highlight w:val="none"/>
          <w:lang w:val="en-US" w:eastAsia="zh-CN"/>
        </w:rPr>
        <w:t>和林地</w:t>
      </w:r>
      <w:r>
        <w:rPr>
          <w:color w:val="auto"/>
          <w:highlight w:val="none"/>
        </w:rPr>
        <w:t>。</w:t>
      </w:r>
      <w:r>
        <w:rPr>
          <w:rFonts w:hint="eastAsia"/>
          <w:color w:val="auto"/>
          <w:highlight w:val="none"/>
          <w:lang w:val="en-US" w:eastAsia="zh-CN"/>
        </w:rPr>
        <w:t>本区耕地面积占柳江区耕地总面积的57.68%，林地面积占柳江区林地总面积的37.09%。</w:t>
      </w:r>
    </w:p>
    <w:p>
      <w:pPr>
        <w:rPr>
          <w:rFonts w:cs="Times New Roman"/>
          <w:color w:val="auto"/>
          <w:highlight w:val="none"/>
        </w:rPr>
      </w:pPr>
      <w:r>
        <w:rPr>
          <w:rFonts w:cs="Times New Roman"/>
          <w:color w:val="auto"/>
          <w:highlight w:val="none"/>
        </w:rPr>
        <w:t>根据2021年广西水土流失动态遥感调查成果显示，本区现有水土流失面积</w:t>
      </w:r>
      <w:r>
        <w:rPr>
          <w:rFonts w:hint="eastAsia" w:cs="Times New Roman"/>
          <w:color w:val="auto"/>
          <w:highlight w:val="none"/>
          <w:lang w:val="en-US" w:eastAsia="zh-CN"/>
        </w:rPr>
        <w:t>241.28</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，占本区土地面积的</w:t>
      </w:r>
      <w:r>
        <w:rPr>
          <w:rFonts w:hint="eastAsia" w:cs="Times New Roman"/>
          <w:color w:val="auto"/>
          <w:highlight w:val="none"/>
          <w:lang w:val="en-US" w:eastAsia="zh-CN"/>
        </w:rPr>
        <w:t>30.36</w:t>
      </w:r>
      <w:r>
        <w:rPr>
          <w:rFonts w:cs="Times New Roman"/>
          <w:color w:val="auto"/>
          <w:highlight w:val="none"/>
        </w:rPr>
        <w:t>%，占柳江区水土流失总面积的</w:t>
      </w:r>
      <w:r>
        <w:rPr>
          <w:rFonts w:hint="eastAsia" w:cs="Times New Roman"/>
          <w:color w:val="auto"/>
          <w:highlight w:val="none"/>
          <w:lang w:val="en-US" w:eastAsia="zh-CN"/>
        </w:rPr>
        <w:t>61.74</w:t>
      </w:r>
      <w:r>
        <w:rPr>
          <w:rFonts w:cs="Times New Roman"/>
          <w:color w:val="auto"/>
          <w:highlight w:val="none"/>
        </w:rPr>
        <w:t>%，侵蚀强度以轻度为主。其中轻度侵蚀面积</w:t>
      </w:r>
      <w:r>
        <w:rPr>
          <w:rFonts w:hint="eastAsia" w:cs="Times New Roman"/>
          <w:color w:val="auto"/>
          <w:highlight w:val="none"/>
          <w:lang w:val="en-US" w:eastAsia="zh-CN"/>
        </w:rPr>
        <w:t>127.55</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52.86</w:t>
      </w:r>
      <w:r>
        <w:rPr>
          <w:rFonts w:cs="Times New Roman"/>
          <w:color w:val="auto"/>
          <w:highlight w:val="none"/>
        </w:rPr>
        <w:t>%；中度侵蚀面积</w:t>
      </w:r>
      <w:r>
        <w:rPr>
          <w:rFonts w:hint="eastAsia" w:cs="Times New Roman"/>
          <w:color w:val="auto"/>
          <w:highlight w:val="none"/>
          <w:lang w:val="en-US" w:eastAsia="zh-CN"/>
        </w:rPr>
        <w:t>50.68</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21</w:t>
      </w:r>
      <w:r>
        <w:rPr>
          <w:rFonts w:cs="Times New Roman"/>
          <w:color w:val="auto"/>
          <w:highlight w:val="none"/>
        </w:rPr>
        <w:t>%；强烈侵蚀面积</w:t>
      </w:r>
      <w:r>
        <w:rPr>
          <w:rFonts w:hint="eastAsia" w:cs="Times New Roman"/>
          <w:color w:val="auto"/>
          <w:highlight w:val="none"/>
          <w:lang w:val="en-US" w:eastAsia="zh-CN"/>
        </w:rPr>
        <w:t>20.20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8.37</w:t>
      </w:r>
      <w:r>
        <w:rPr>
          <w:rFonts w:cs="Times New Roman"/>
          <w:color w:val="auto"/>
          <w:highlight w:val="none"/>
        </w:rPr>
        <w:t>%；极强烈侵蚀面积</w:t>
      </w:r>
      <w:r>
        <w:rPr>
          <w:rFonts w:hint="eastAsia" w:cs="Times New Roman"/>
          <w:color w:val="auto"/>
          <w:highlight w:val="none"/>
          <w:lang w:val="en-US" w:eastAsia="zh-CN"/>
        </w:rPr>
        <w:t>21.85</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9.05</w:t>
      </w:r>
      <w:r>
        <w:rPr>
          <w:rFonts w:cs="Times New Roman"/>
          <w:color w:val="auto"/>
          <w:highlight w:val="none"/>
        </w:rPr>
        <w:t>%；剧烈侵蚀面积</w:t>
      </w:r>
      <w:r>
        <w:rPr>
          <w:rFonts w:hint="eastAsia" w:cs="Times New Roman"/>
          <w:color w:val="auto"/>
          <w:highlight w:val="none"/>
          <w:lang w:val="en-US" w:eastAsia="zh-CN"/>
        </w:rPr>
        <w:t>21.01</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8.71</w:t>
      </w:r>
      <w:r>
        <w:rPr>
          <w:rFonts w:cs="Times New Roman"/>
          <w:color w:val="auto"/>
          <w:highlight w:val="none"/>
        </w:rPr>
        <w:t>%。</w:t>
      </w:r>
    </w:p>
    <w:p>
      <w:pPr>
        <w:rPr>
          <w:rStyle w:val="52"/>
          <w:rFonts w:ascii="Times New Roman" w:hAnsi="Times New Roman" w:cs="Times New Roman"/>
          <w:color w:val="auto"/>
          <w:highlight w:val="none"/>
        </w:rPr>
      </w:pPr>
      <w:r>
        <w:rPr>
          <w:rFonts w:cs="Times New Roman"/>
          <w:color w:val="auto"/>
          <w:highlight w:val="none"/>
        </w:rPr>
        <w:t>（3）水土保持区域布局</w:t>
      </w:r>
    </w:p>
    <w:p>
      <w:pPr>
        <w:rPr>
          <w:rFonts w:cs="Times New Roman"/>
          <w:color w:val="auto"/>
          <w:highlight w:val="none"/>
        </w:rPr>
      </w:pPr>
      <w:r>
        <w:rPr>
          <w:rFonts w:cs="Times New Roman"/>
          <w:color w:val="auto"/>
          <w:highlight w:val="none"/>
        </w:rPr>
        <w:t>本区水土保持基础功能以</w:t>
      </w:r>
      <w:r>
        <w:rPr>
          <w:rFonts w:hint="eastAsia" w:cs="Times New Roman"/>
          <w:color w:val="auto"/>
          <w:highlight w:val="none"/>
          <w:lang w:val="en-US" w:eastAsia="zh-CN"/>
        </w:rPr>
        <w:t>提高农田生产力，保护森林植被</w:t>
      </w:r>
      <w:r>
        <w:rPr>
          <w:rFonts w:cs="Times New Roman"/>
          <w:color w:val="auto"/>
          <w:highlight w:val="none"/>
        </w:rPr>
        <w:t>为主。具体防治措施有以下几个方面：</w:t>
      </w:r>
    </w:p>
    <w:p>
      <w:pPr>
        <w:rPr>
          <w:rFonts w:cs="Times New Roman"/>
          <w:color w:val="auto"/>
          <w:highlight w:val="none"/>
        </w:rPr>
      </w:pPr>
      <w:r>
        <w:rPr>
          <w:rFonts w:hint="eastAsia" w:cs="Times New Roman"/>
          <w:color w:val="auto"/>
          <w:highlight w:val="none"/>
          <w:lang w:val="en-US" w:eastAsia="zh-CN"/>
        </w:rPr>
        <w:t>1</w:t>
      </w:r>
      <w:r>
        <w:rPr>
          <w:rFonts w:cs="Times New Roman"/>
          <w:color w:val="auto"/>
          <w:highlight w:val="none"/>
        </w:rPr>
        <w:t>）</w:t>
      </w:r>
      <w:r>
        <w:rPr>
          <w:rFonts w:hint="eastAsia" w:cs="Times New Roman"/>
          <w:color w:val="auto"/>
          <w:highlight w:val="none"/>
        </w:rPr>
        <w:t>保护农田生态系统，落实耕地休耕轮作制度，推进高标准农田建设，完善农田灌溉排水体系，提升土壤保持能力。</w:t>
      </w:r>
    </w:p>
    <w:p>
      <w:pPr>
        <w:rPr>
          <w:rFonts w:hint="default" w:cs="Times New Roman"/>
          <w:color w:val="auto"/>
          <w:highlight w:val="none"/>
          <w:lang w:val="en-US" w:eastAsia="zh-CN"/>
        </w:rPr>
      </w:pPr>
      <w:r>
        <w:rPr>
          <w:rFonts w:hint="eastAsia" w:cs="Times New Roman"/>
          <w:color w:val="auto"/>
          <w:highlight w:val="none"/>
          <w:lang w:val="en-US" w:eastAsia="zh-CN"/>
        </w:rPr>
        <w:t>2）</w:t>
      </w:r>
      <w:r>
        <w:rPr>
          <w:rFonts w:hint="default" w:ascii="Arial" w:hAnsi="Arial" w:cs="Arial"/>
          <w:color w:val="auto"/>
          <w:highlight w:val="none"/>
        </w:rPr>
        <w:t>定期对森林生态系统水土流失状况进行监测评估，协同推进森林生态系统水土流失预防保护，巩固提升森林生态系统质量和稳定性，充分发挥林草水土保持功能。</w:t>
      </w:r>
    </w:p>
    <w:p>
      <w:pPr>
        <w:rPr>
          <w:rFonts w:cs="Times New Roman"/>
          <w:color w:val="auto"/>
          <w:highlight w:val="none"/>
        </w:rPr>
      </w:pPr>
      <w:r>
        <w:rPr>
          <w:rFonts w:hint="eastAsia" w:cs="Times New Roman"/>
          <w:color w:val="auto"/>
          <w:highlight w:val="none"/>
          <w:lang w:val="en-US" w:eastAsia="zh-CN"/>
        </w:rPr>
        <w:t>3）</w:t>
      </w:r>
      <w:r>
        <w:rPr>
          <w:rFonts w:hint="eastAsia" w:cs="Times New Roman"/>
          <w:color w:val="auto"/>
          <w:highlight w:val="none"/>
        </w:rPr>
        <w:t>注重天然林保护和修复，实施封山育林，保护生物多样性，全面提高本区</w:t>
      </w:r>
      <w:r>
        <w:rPr>
          <w:rFonts w:hint="eastAsia" w:cs="Times New Roman"/>
          <w:color w:val="auto"/>
          <w:highlight w:val="none"/>
          <w:lang w:val="en-US" w:eastAsia="zh-CN"/>
        </w:rPr>
        <w:t>植被</w:t>
      </w:r>
      <w:r>
        <w:rPr>
          <w:rFonts w:hint="eastAsia" w:cs="Times New Roman"/>
          <w:color w:val="auto"/>
          <w:highlight w:val="none"/>
        </w:rPr>
        <w:t>维护功能</w:t>
      </w:r>
      <w:r>
        <w:rPr>
          <w:rFonts w:cs="Times New Roman"/>
          <w:color w:val="auto"/>
          <w:highlight w:val="none"/>
        </w:rPr>
        <w:t>。</w:t>
      </w:r>
    </w:p>
    <w:p>
      <w:pPr>
        <w:pStyle w:val="5"/>
        <w:spacing w:before="156"/>
        <w:ind w:firstLine="562"/>
        <w:rPr>
          <w:color w:val="auto"/>
          <w:highlight w:val="none"/>
          <w:lang w:val="en-US"/>
        </w:rPr>
      </w:pPr>
      <w:r>
        <w:rPr>
          <w:color w:val="auto"/>
          <w:highlight w:val="none"/>
          <w:lang w:val="en-US"/>
        </w:rPr>
        <w:t>5.1.3.</w:t>
      </w:r>
      <w:r>
        <w:rPr>
          <w:rFonts w:hint="eastAsia"/>
          <w:color w:val="auto"/>
          <w:highlight w:val="none"/>
          <w:lang w:val="en-US" w:eastAsia="zh-CN"/>
        </w:rPr>
        <w:t>2</w:t>
      </w:r>
      <w:r>
        <w:rPr>
          <w:color w:val="auto"/>
          <w:highlight w:val="none"/>
          <w:lang w:val="en-US"/>
        </w:rPr>
        <w:t>中部平原人居环境维护区</w:t>
      </w:r>
    </w:p>
    <w:p>
      <w:pPr>
        <w:rPr>
          <w:rFonts w:cs="Times New Roman"/>
          <w:color w:val="auto"/>
          <w:highlight w:val="none"/>
        </w:rPr>
      </w:pPr>
      <w:r>
        <w:rPr>
          <w:rFonts w:cs="Times New Roman"/>
          <w:color w:val="auto"/>
          <w:highlight w:val="none"/>
        </w:rPr>
        <w:t>（1）分区范围</w:t>
      </w:r>
    </w:p>
    <w:p>
      <w:pPr>
        <w:rPr>
          <w:rFonts w:cs="Times New Roman"/>
          <w:color w:val="auto"/>
          <w:highlight w:val="none"/>
        </w:rPr>
      </w:pPr>
      <w:r>
        <w:rPr>
          <w:rFonts w:cs="Times New Roman"/>
          <w:color w:val="auto"/>
          <w:highlight w:val="none"/>
        </w:rPr>
        <w:t>本区包括拉堡镇、进德镇、成团镇等</w:t>
      </w:r>
      <w:r>
        <w:rPr>
          <w:rFonts w:hint="eastAsia" w:cs="Times New Roman"/>
          <w:color w:val="auto"/>
          <w:highlight w:val="none"/>
          <w:lang w:val="en-US" w:eastAsia="zh-CN"/>
        </w:rPr>
        <w:t>3</w:t>
      </w:r>
      <w:r>
        <w:rPr>
          <w:rFonts w:cs="Times New Roman"/>
          <w:color w:val="auto"/>
          <w:highlight w:val="none"/>
        </w:rPr>
        <w:t>个乡镇，合计土地面积</w:t>
      </w:r>
      <w:r>
        <w:rPr>
          <w:rFonts w:hint="eastAsia" w:cs="Times New Roman"/>
          <w:color w:val="auto"/>
          <w:highlight w:val="none"/>
          <w:lang w:val="en-US" w:eastAsia="zh-CN"/>
        </w:rPr>
        <w:t>293.33</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16.54</w:t>
      </w:r>
      <w:r>
        <w:rPr>
          <w:rFonts w:cs="Times New Roman"/>
          <w:color w:val="auto"/>
          <w:highlight w:val="none"/>
        </w:rPr>
        <w:t>%</w:t>
      </w:r>
      <w:r>
        <w:rPr>
          <w:rFonts w:cs="Times New Roman"/>
          <w:color w:val="auto"/>
          <w:highlight w:val="none"/>
          <w:lang w:val="zh-CN"/>
        </w:rPr>
        <w:t>。</w:t>
      </w:r>
    </w:p>
    <w:p>
      <w:pPr>
        <w:rPr>
          <w:rFonts w:cs="Times New Roman"/>
          <w:color w:val="auto"/>
          <w:highlight w:val="none"/>
        </w:rPr>
      </w:pPr>
      <w:r>
        <w:rPr>
          <w:rFonts w:cs="Times New Roman"/>
          <w:color w:val="auto"/>
          <w:highlight w:val="none"/>
        </w:rPr>
        <w:t>（2）区域概况</w:t>
      </w:r>
    </w:p>
    <w:p>
      <w:pPr>
        <w:pStyle w:val="12"/>
        <w:ind w:firstLine="560"/>
        <w:rPr>
          <w:color w:val="auto"/>
          <w:highlight w:val="none"/>
        </w:rPr>
      </w:pPr>
      <w:r>
        <w:rPr>
          <w:rFonts w:hint="eastAsia"/>
          <w:color w:val="auto"/>
          <w:highlight w:val="none"/>
          <w:lang w:val="en-US" w:eastAsia="zh-CN"/>
        </w:rPr>
        <w:t>本区属于《柳州市柳江区国民经济和社会发展第十四个五年规划纲要》空间布局中的城镇空间。</w:t>
      </w:r>
      <w:r>
        <w:rPr>
          <w:color w:val="auto"/>
          <w:highlight w:val="none"/>
        </w:rPr>
        <w:t>本区地貌类型以平原为主，海拔在200m以下。土壤以水稻土、石灰土为主，</w:t>
      </w:r>
      <w:r>
        <w:rPr>
          <w:rFonts w:eastAsia="仿宋"/>
          <w:color w:val="auto"/>
          <w:szCs w:val="28"/>
          <w:highlight w:val="none"/>
          <w:lang w:val="en-US"/>
        </w:rPr>
        <w:t>林草覆盖率</w:t>
      </w:r>
      <w:r>
        <w:rPr>
          <w:rFonts w:hint="eastAsia" w:eastAsia="仿宋"/>
          <w:color w:val="auto"/>
          <w:szCs w:val="28"/>
          <w:highlight w:val="none"/>
          <w:lang w:val="en-US" w:eastAsia="zh-CN"/>
        </w:rPr>
        <w:t>34.06</w:t>
      </w:r>
      <w:r>
        <w:rPr>
          <w:rFonts w:eastAsia="仿宋"/>
          <w:color w:val="auto"/>
          <w:szCs w:val="28"/>
          <w:highlight w:val="none"/>
          <w:lang w:val="en-US"/>
        </w:rPr>
        <w:t>%</w:t>
      </w:r>
      <w:r>
        <w:rPr>
          <w:color w:val="auto"/>
          <w:highlight w:val="none"/>
        </w:rPr>
        <w:t>。本区人口较多，人类活动较为频繁，</w:t>
      </w:r>
      <w:r>
        <w:rPr>
          <w:rFonts w:hint="eastAsia"/>
          <w:color w:val="auto"/>
          <w:highlight w:val="none"/>
          <w:lang w:val="en-US" w:eastAsia="zh-CN"/>
        </w:rPr>
        <w:t>生产建设项目多集中在此区域。</w:t>
      </w:r>
      <w:r>
        <w:rPr>
          <w:color w:val="auto"/>
          <w:highlight w:val="none"/>
        </w:rPr>
        <w:t>区内土地利用类型多为耕地、园地和城市用地，分布有较多的坡耕地。</w:t>
      </w:r>
    </w:p>
    <w:p>
      <w:pPr>
        <w:rPr>
          <w:rFonts w:cs="Times New Roman"/>
          <w:color w:val="auto"/>
          <w:highlight w:val="none"/>
        </w:rPr>
      </w:pPr>
      <w:r>
        <w:rPr>
          <w:rFonts w:cs="Times New Roman"/>
          <w:color w:val="auto"/>
          <w:highlight w:val="none"/>
        </w:rPr>
        <w:t>根据2021年广西水土流失动态遥感调查成果显示，本区现有水土流失面积</w:t>
      </w:r>
      <w:r>
        <w:rPr>
          <w:rFonts w:hint="eastAsia" w:cs="Times New Roman"/>
          <w:color w:val="auto"/>
          <w:highlight w:val="none"/>
          <w:lang w:val="en-US" w:eastAsia="zh-CN"/>
        </w:rPr>
        <w:t>56.03</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，占本区土地面积的</w:t>
      </w:r>
      <w:r>
        <w:rPr>
          <w:rFonts w:hint="eastAsia" w:cs="Times New Roman"/>
          <w:color w:val="auto"/>
          <w:highlight w:val="none"/>
          <w:lang w:val="en-US" w:eastAsia="zh-CN"/>
        </w:rPr>
        <w:t>19.10</w:t>
      </w:r>
      <w:r>
        <w:rPr>
          <w:rFonts w:cs="Times New Roman"/>
          <w:color w:val="auto"/>
          <w:highlight w:val="none"/>
        </w:rPr>
        <w:t>%，占柳江区水土流失总面积的</w:t>
      </w:r>
      <w:r>
        <w:rPr>
          <w:rFonts w:hint="eastAsia" w:cs="Times New Roman"/>
          <w:color w:val="auto"/>
          <w:highlight w:val="none"/>
          <w:lang w:val="en-US" w:eastAsia="zh-CN"/>
        </w:rPr>
        <w:t>14.34</w:t>
      </w:r>
      <w:r>
        <w:rPr>
          <w:rFonts w:cs="Times New Roman"/>
          <w:color w:val="auto"/>
          <w:highlight w:val="none"/>
        </w:rPr>
        <w:t>%，侵蚀强度以轻度为主。其中轻度侵蚀面积</w:t>
      </w:r>
      <w:r>
        <w:rPr>
          <w:rFonts w:hint="eastAsia" w:cs="Times New Roman"/>
          <w:color w:val="auto"/>
          <w:highlight w:val="none"/>
          <w:lang w:val="en-US" w:eastAsia="zh-CN"/>
        </w:rPr>
        <w:t>38.37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68.48</w:t>
      </w:r>
      <w:r>
        <w:rPr>
          <w:rFonts w:cs="Times New Roman"/>
          <w:color w:val="auto"/>
          <w:highlight w:val="none"/>
        </w:rPr>
        <w:t>%；中度侵蚀面积</w:t>
      </w:r>
      <w:r>
        <w:rPr>
          <w:rFonts w:hint="eastAsia" w:cs="Times New Roman"/>
          <w:color w:val="auto"/>
          <w:highlight w:val="none"/>
          <w:lang w:val="en-US" w:eastAsia="zh-CN"/>
        </w:rPr>
        <w:t>9.09</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16.22</w:t>
      </w:r>
      <w:r>
        <w:rPr>
          <w:rFonts w:cs="Times New Roman"/>
          <w:color w:val="auto"/>
          <w:highlight w:val="none"/>
        </w:rPr>
        <w:t>%；强烈侵蚀面积</w:t>
      </w:r>
      <w:r>
        <w:rPr>
          <w:rFonts w:hint="eastAsia" w:cs="Times New Roman"/>
          <w:color w:val="auto"/>
          <w:highlight w:val="none"/>
          <w:lang w:val="en-US" w:eastAsia="zh-CN"/>
        </w:rPr>
        <w:t>3.66</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6.53</w:t>
      </w:r>
      <w:r>
        <w:rPr>
          <w:rFonts w:cs="Times New Roman"/>
          <w:color w:val="auto"/>
          <w:highlight w:val="none"/>
        </w:rPr>
        <w:t>%；极强烈侵蚀面积</w:t>
      </w:r>
      <w:r>
        <w:rPr>
          <w:rFonts w:hint="eastAsia" w:cs="Times New Roman"/>
          <w:color w:val="auto"/>
          <w:highlight w:val="none"/>
          <w:lang w:val="en-US" w:eastAsia="zh-CN"/>
        </w:rPr>
        <w:t>2.54</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4.53</w:t>
      </w:r>
      <w:r>
        <w:rPr>
          <w:rFonts w:cs="Times New Roman"/>
          <w:color w:val="auto"/>
          <w:highlight w:val="none"/>
        </w:rPr>
        <w:t>%；剧烈侵蚀面积</w:t>
      </w:r>
      <w:r>
        <w:rPr>
          <w:rFonts w:hint="eastAsia" w:cs="Times New Roman"/>
          <w:color w:val="auto"/>
          <w:highlight w:val="none"/>
          <w:lang w:val="en-US" w:eastAsia="zh-CN"/>
        </w:rPr>
        <w:t>2.37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，占水土流失面积的</w:t>
      </w:r>
      <w:r>
        <w:rPr>
          <w:rFonts w:hint="eastAsia" w:cs="Times New Roman"/>
          <w:color w:val="auto"/>
          <w:highlight w:val="none"/>
          <w:lang w:val="en-US" w:eastAsia="zh-CN"/>
        </w:rPr>
        <w:t>4.23</w:t>
      </w:r>
      <w:r>
        <w:rPr>
          <w:rFonts w:cs="Times New Roman"/>
          <w:color w:val="auto"/>
          <w:highlight w:val="none"/>
        </w:rPr>
        <w:t>%。</w:t>
      </w:r>
    </w:p>
    <w:p>
      <w:pPr>
        <w:rPr>
          <w:rStyle w:val="52"/>
          <w:rFonts w:ascii="Times New Roman" w:hAnsi="Times New Roman" w:cs="Times New Roman"/>
          <w:color w:val="auto"/>
          <w:highlight w:val="none"/>
        </w:rPr>
      </w:pPr>
      <w:r>
        <w:rPr>
          <w:rFonts w:cs="Times New Roman"/>
          <w:color w:val="auto"/>
          <w:highlight w:val="none"/>
        </w:rPr>
        <w:t>（3）水土保持区域布局</w:t>
      </w:r>
    </w:p>
    <w:p>
      <w:pPr>
        <w:rPr>
          <w:rFonts w:cs="Times New Roman"/>
          <w:color w:val="auto"/>
          <w:highlight w:val="none"/>
        </w:rPr>
      </w:pPr>
      <w:r>
        <w:rPr>
          <w:rFonts w:cs="Times New Roman"/>
          <w:color w:val="auto"/>
          <w:highlight w:val="none"/>
        </w:rPr>
        <w:t>本区水土保持基础功能以人居环境改善和</w:t>
      </w:r>
      <w:r>
        <w:rPr>
          <w:rFonts w:hint="eastAsia" w:cs="Times New Roman"/>
          <w:color w:val="auto"/>
          <w:highlight w:val="none"/>
          <w:lang w:val="en-US" w:eastAsia="zh-CN"/>
        </w:rPr>
        <w:t>保护耕地</w:t>
      </w:r>
      <w:r>
        <w:rPr>
          <w:rFonts w:cs="Times New Roman"/>
          <w:color w:val="auto"/>
          <w:highlight w:val="none"/>
        </w:rPr>
        <w:t>，开展小流域综合治理。具体防治措施有以下几个方面：</w:t>
      </w:r>
    </w:p>
    <w:p>
      <w:pPr>
        <w:rPr>
          <w:rFonts w:cs="Times New Roman"/>
          <w:color w:val="auto"/>
          <w:highlight w:val="none"/>
        </w:rPr>
      </w:pPr>
      <w:r>
        <w:rPr>
          <w:rFonts w:cs="Times New Roman"/>
          <w:color w:val="auto"/>
          <w:highlight w:val="none"/>
        </w:rPr>
        <w:t>1）强化人口和经济开发集中、农林开发规模大的区域人为水土流失监测监管，减少人为活动对水土资源造成的危害，维护城市及周边生态系统功能和人居环境。</w:t>
      </w:r>
    </w:p>
    <w:p>
      <w:pPr>
        <w:rPr>
          <w:rFonts w:cs="Times New Roman"/>
          <w:color w:val="auto"/>
          <w:highlight w:val="none"/>
        </w:rPr>
      </w:pPr>
      <w:r>
        <w:rPr>
          <w:rFonts w:cs="Times New Roman"/>
          <w:color w:val="auto"/>
          <w:highlight w:val="none"/>
        </w:rPr>
        <w:t>2）加强对坡耕地综合治理，合理配套引、排、蓄水等小型水利水保设施；</w:t>
      </w:r>
      <w:r>
        <w:rPr>
          <w:rFonts w:cs="Times New Roman"/>
          <w:color w:val="auto"/>
          <w:highlight w:val="none"/>
          <w:lang w:val="en-US"/>
        </w:rPr>
        <w:t>采取保护性耕作措施，保护耕地资源，提高耕地资源的综合利用效率</w:t>
      </w:r>
      <w:r>
        <w:rPr>
          <w:rFonts w:cs="Times New Roman"/>
          <w:color w:val="auto"/>
          <w:highlight w:val="none"/>
        </w:rPr>
        <w:t>。</w:t>
      </w:r>
    </w:p>
    <w:p>
      <w:pPr>
        <w:rPr>
          <w:rFonts w:cs="Times New Roman"/>
          <w:color w:val="auto"/>
          <w:highlight w:val="none"/>
        </w:rPr>
      </w:pPr>
      <w:r>
        <w:rPr>
          <w:rFonts w:cs="Times New Roman"/>
          <w:color w:val="auto"/>
          <w:highlight w:val="none"/>
        </w:rPr>
        <w:t>3）大力推进生态清洁型小流域水土保持工程建设，注重村屯美化，加强农村垃圾收集和生活污水处理，突出生态休闲功能，促进农村逐步向生态景观型转变，加强农村人居环境整治，改善人居环境。</w:t>
      </w:r>
    </w:p>
    <w:p>
      <w:pPr>
        <w:pStyle w:val="5"/>
        <w:spacing w:before="156"/>
        <w:ind w:firstLine="562"/>
        <w:rPr>
          <w:rFonts w:hint="eastAsia"/>
          <w:color w:val="auto"/>
          <w:highlight w:val="none"/>
          <w:lang w:val="en-US"/>
        </w:rPr>
      </w:pPr>
      <w:r>
        <w:rPr>
          <w:color w:val="auto"/>
          <w:highlight w:val="none"/>
          <w:lang w:val="en-US"/>
        </w:rPr>
        <w:t>5.1.3.2</w:t>
      </w:r>
      <w:r>
        <w:rPr>
          <w:rFonts w:hint="eastAsia"/>
          <w:color w:val="auto"/>
          <w:highlight w:val="none"/>
          <w:lang w:val="en-US"/>
        </w:rPr>
        <w:t>西部低山丘陵生态维护区</w:t>
      </w:r>
    </w:p>
    <w:p>
      <w:pPr>
        <w:rPr>
          <w:rFonts w:cs="Times New Roman"/>
          <w:color w:val="auto"/>
          <w:highlight w:val="none"/>
        </w:rPr>
      </w:pPr>
      <w:r>
        <w:rPr>
          <w:rFonts w:cs="Times New Roman"/>
          <w:color w:val="auto"/>
          <w:highlight w:val="none"/>
        </w:rPr>
        <w:t>（1）分区范围</w:t>
      </w:r>
    </w:p>
    <w:p>
      <w:pPr>
        <w:rPr>
          <w:rFonts w:cs="Times New Roman"/>
          <w:color w:val="auto"/>
          <w:highlight w:val="none"/>
        </w:rPr>
      </w:pPr>
      <w:r>
        <w:rPr>
          <w:rFonts w:cs="Times New Roman"/>
          <w:color w:val="auto"/>
          <w:highlight w:val="none"/>
        </w:rPr>
        <w:t>本区涉及土博镇、里高镇、三都镇等</w:t>
      </w:r>
      <w:r>
        <w:rPr>
          <w:rFonts w:hint="eastAsia" w:cs="Times New Roman"/>
          <w:color w:val="auto"/>
          <w:highlight w:val="none"/>
          <w:lang w:val="en-US" w:eastAsia="zh-CN"/>
        </w:rPr>
        <w:t>3</w:t>
      </w:r>
      <w:r>
        <w:rPr>
          <w:rFonts w:cs="Times New Roman"/>
          <w:color w:val="auto"/>
          <w:highlight w:val="none"/>
        </w:rPr>
        <w:t>个镇，合计土地面积</w:t>
      </w:r>
      <w:r>
        <w:rPr>
          <w:rFonts w:hint="eastAsia" w:cs="Times New Roman"/>
          <w:color w:val="auto"/>
          <w:highlight w:val="none"/>
          <w:lang w:val="en-US" w:eastAsia="zh-CN"/>
        </w:rPr>
        <w:t>684.87</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，占柳江区土地总面积的</w:t>
      </w:r>
      <w:r>
        <w:rPr>
          <w:rFonts w:hint="eastAsia" w:cs="Times New Roman"/>
          <w:color w:val="auto"/>
          <w:highlight w:val="none"/>
          <w:lang w:val="en-US" w:eastAsia="zh-CN"/>
        </w:rPr>
        <w:t>38.63</w:t>
      </w:r>
      <w:r>
        <w:rPr>
          <w:rFonts w:cs="Times New Roman"/>
          <w:color w:val="auto"/>
          <w:highlight w:val="none"/>
        </w:rPr>
        <w:t>%。</w:t>
      </w:r>
    </w:p>
    <w:p>
      <w:pPr>
        <w:rPr>
          <w:rFonts w:cs="Times New Roman"/>
          <w:color w:val="auto"/>
          <w:highlight w:val="none"/>
        </w:rPr>
      </w:pPr>
      <w:r>
        <w:rPr>
          <w:rFonts w:cs="Times New Roman"/>
          <w:color w:val="auto"/>
          <w:highlight w:val="none"/>
        </w:rPr>
        <w:t>（2）区域概况</w:t>
      </w:r>
    </w:p>
    <w:p>
      <w:pPr>
        <w:pStyle w:val="12"/>
        <w:ind w:firstLine="560"/>
        <w:rPr>
          <w:color w:val="auto"/>
          <w:highlight w:val="none"/>
        </w:rPr>
      </w:pPr>
      <w:r>
        <w:rPr>
          <w:rFonts w:hint="eastAsia"/>
          <w:color w:val="auto"/>
          <w:highlight w:val="none"/>
          <w:lang w:val="en-US" w:eastAsia="zh-CN"/>
        </w:rPr>
        <w:t>本区大部分范围属于《柳州市柳江区国民经济和社会发展第十四个五年规划纲要》空间布局中的生态空间。</w:t>
      </w:r>
      <w:r>
        <w:rPr>
          <w:rFonts w:eastAsia="仿宋"/>
          <w:color w:val="auto"/>
          <w:szCs w:val="28"/>
          <w:highlight w:val="none"/>
          <w:lang w:val="en-US"/>
        </w:rPr>
        <w:t>本区地貌类型以中低山为主，海拔一般在76～740m之间，总体地形起伏较大。土壤以水稻土、红壤为主，土质呈酸性，本区分布有较多的林地，植被资源丰富，林草覆盖率</w:t>
      </w:r>
      <w:r>
        <w:rPr>
          <w:rFonts w:hint="eastAsia" w:eastAsia="仿宋"/>
          <w:color w:val="auto"/>
          <w:szCs w:val="28"/>
          <w:highlight w:val="none"/>
          <w:lang w:val="en-US" w:eastAsia="zh-CN"/>
        </w:rPr>
        <w:t>74.96</w:t>
      </w:r>
      <w:r>
        <w:rPr>
          <w:rFonts w:eastAsia="仿宋"/>
          <w:color w:val="auto"/>
          <w:szCs w:val="28"/>
          <w:highlight w:val="none"/>
          <w:lang w:val="en-US"/>
        </w:rPr>
        <w:t>%。</w:t>
      </w:r>
      <w:r>
        <w:rPr>
          <w:rFonts w:hint="eastAsia" w:eastAsia="仿宋"/>
          <w:color w:val="auto"/>
          <w:szCs w:val="28"/>
          <w:highlight w:val="none"/>
          <w:lang w:val="en-US" w:eastAsia="zh-CN"/>
        </w:rPr>
        <w:t>本区</w:t>
      </w:r>
      <w:r>
        <w:rPr>
          <w:rFonts w:cs="Times New Roman"/>
          <w:color w:val="auto"/>
          <w:highlight w:val="none"/>
        </w:rPr>
        <w:t>涉及 1 个自治区级水功能区，即北之江柳江</w:t>
      </w:r>
      <w:r>
        <w:rPr>
          <w:rFonts w:hint="eastAsia" w:cs="Times New Roman"/>
          <w:color w:val="auto"/>
          <w:highlight w:val="none"/>
          <w:lang w:eastAsia="zh-CN"/>
        </w:rPr>
        <w:t>－</w:t>
      </w:r>
      <w:r>
        <w:rPr>
          <w:rFonts w:cs="Times New Roman"/>
          <w:color w:val="auto"/>
          <w:highlight w:val="none"/>
        </w:rPr>
        <w:t>忻城</w:t>
      </w:r>
      <w:r>
        <w:rPr>
          <w:rFonts w:hint="eastAsia" w:cs="Times New Roman"/>
          <w:color w:val="auto"/>
          <w:highlight w:val="none"/>
          <w:lang w:val="en-US" w:eastAsia="zh-CN"/>
        </w:rPr>
        <w:t>源</w:t>
      </w:r>
      <w:r>
        <w:rPr>
          <w:rFonts w:cs="Times New Roman"/>
          <w:color w:val="auto"/>
          <w:highlight w:val="none"/>
        </w:rPr>
        <w:t>头水保护区。</w:t>
      </w:r>
      <w:r>
        <w:rPr>
          <w:rFonts w:hint="eastAsia" w:cs="Times New Roman"/>
          <w:color w:val="auto"/>
          <w:highlight w:val="none"/>
          <w:lang w:val="en-US" w:eastAsia="zh-CN"/>
        </w:rPr>
        <w:t>本区的里高镇含有较多的石灰岩矿，</w:t>
      </w:r>
      <w:r>
        <w:rPr>
          <w:rFonts w:hint="eastAsia" w:eastAsia="仿宋"/>
          <w:color w:val="auto"/>
          <w:szCs w:val="28"/>
          <w:highlight w:val="none"/>
          <w:lang w:val="en-US"/>
        </w:rPr>
        <w:t>本区</w:t>
      </w:r>
      <w:r>
        <w:rPr>
          <w:rFonts w:hint="eastAsia"/>
          <w:color w:val="auto"/>
          <w:sz w:val="29"/>
          <w:szCs w:val="29"/>
          <w:highlight w:val="none"/>
          <w:shd w:val="clear" w:color="auto" w:fill="FFFFFF"/>
        </w:rPr>
        <w:t>生态旅游资源优势明显，含有里高镇鬼子坳抗日战争遗址</w:t>
      </w:r>
      <w:r>
        <w:rPr>
          <w:rFonts w:hint="eastAsia" w:eastAsia="仿宋"/>
          <w:color w:val="auto"/>
          <w:szCs w:val="28"/>
          <w:highlight w:val="none"/>
          <w:lang w:val="en-US"/>
        </w:rPr>
        <w:t>，</w:t>
      </w:r>
      <w:r>
        <w:rPr>
          <w:rFonts w:hint="eastAsia"/>
          <w:color w:val="auto"/>
          <w:sz w:val="29"/>
          <w:szCs w:val="29"/>
          <w:highlight w:val="none"/>
          <w:shd w:val="clear" w:color="auto" w:fill="FFFFFF"/>
        </w:rPr>
        <w:t>土博镇也被称为“柳版九寨沟”。</w:t>
      </w:r>
    </w:p>
    <w:p>
      <w:pPr>
        <w:pStyle w:val="12"/>
        <w:snapToGrid w:val="0"/>
        <w:ind w:firstLine="560"/>
        <w:rPr>
          <w:color w:val="auto"/>
          <w:highlight w:val="none"/>
        </w:rPr>
      </w:pPr>
      <w:r>
        <w:rPr>
          <w:color w:val="auto"/>
          <w:highlight w:val="none"/>
        </w:rPr>
        <w:t>根据2021年广西水土流失动态遥感调查成果显示，本区现有水土流失面积</w:t>
      </w:r>
      <w:r>
        <w:rPr>
          <w:rFonts w:hint="eastAsia"/>
          <w:color w:val="auto"/>
          <w:highlight w:val="none"/>
          <w:lang w:val="en-US" w:eastAsia="zh-CN"/>
        </w:rPr>
        <w:t>93.45</w:t>
      </w:r>
      <w:r>
        <w:rPr>
          <w:color w:val="auto"/>
          <w:highlight w:val="none"/>
        </w:rPr>
        <w:t>km</w:t>
      </w:r>
      <w:r>
        <w:rPr>
          <w:color w:val="auto"/>
          <w:highlight w:val="none"/>
          <w:vertAlign w:val="superscript"/>
        </w:rPr>
        <w:t>2</w:t>
      </w:r>
      <w:r>
        <w:rPr>
          <w:color w:val="auto"/>
          <w:highlight w:val="none"/>
        </w:rPr>
        <w:t>，占本区土地面积的</w:t>
      </w:r>
      <w:r>
        <w:rPr>
          <w:rFonts w:hint="eastAsia"/>
          <w:color w:val="auto"/>
          <w:highlight w:val="none"/>
          <w:lang w:val="en-US" w:eastAsia="zh-CN"/>
        </w:rPr>
        <w:t>13.64</w:t>
      </w:r>
      <w:r>
        <w:rPr>
          <w:color w:val="auto"/>
          <w:highlight w:val="none"/>
        </w:rPr>
        <w:t>%，占柳江区水土流失总面积的</w:t>
      </w:r>
      <w:r>
        <w:rPr>
          <w:rFonts w:hint="eastAsia"/>
          <w:color w:val="auto"/>
          <w:highlight w:val="none"/>
          <w:lang w:val="en-US" w:eastAsia="zh-CN"/>
        </w:rPr>
        <w:t>23.91</w:t>
      </w:r>
      <w:r>
        <w:rPr>
          <w:color w:val="auto"/>
          <w:highlight w:val="none"/>
        </w:rPr>
        <w:t>%，侵蚀强度以轻度为主。其中轻度侵蚀面积</w:t>
      </w:r>
      <w:r>
        <w:rPr>
          <w:rFonts w:hint="eastAsia"/>
          <w:color w:val="auto"/>
          <w:highlight w:val="none"/>
          <w:lang w:val="en-US" w:eastAsia="zh-CN"/>
        </w:rPr>
        <w:t>48.77</w:t>
      </w:r>
      <w:r>
        <w:rPr>
          <w:color w:val="auto"/>
          <w:highlight w:val="none"/>
        </w:rPr>
        <w:t>km</w:t>
      </w:r>
      <w:r>
        <w:rPr>
          <w:color w:val="auto"/>
          <w:highlight w:val="none"/>
          <w:vertAlign w:val="superscript"/>
        </w:rPr>
        <w:t>2</w:t>
      </w:r>
      <w:r>
        <w:rPr>
          <w:color w:val="auto"/>
          <w:highlight w:val="none"/>
        </w:rPr>
        <w:t>，占水土流失面积的</w:t>
      </w:r>
      <w:r>
        <w:rPr>
          <w:rFonts w:hint="eastAsia"/>
          <w:color w:val="auto"/>
          <w:highlight w:val="none"/>
          <w:lang w:val="en-US" w:eastAsia="zh-CN"/>
        </w:rPr>
        <w:t>52.19</w:t>
      </w:r>
      <w:r>
        <w:rPr>
          <w:color w:val="auto"/>
          <w:highlight w:val="none"/>
        </w:rPr>
        <w:t>%；中度侵蚀面积</w:t>
      </w:r>
      <w:r>
        <w:rPr>
          <w:rFonts w:hint="eastAsia"/>
          <w:color w:val="auto"/>
          <w:highlight w:val="none"/>
          <w:lang w:val="en-US" w:eastAsia="zh-CN"/>
        </w:rPr>
        <w:t>15.99</w:t>
      </w:r>
      <w:r>
        <w:rPr>
          <w:color w:val="auto"/>
          <w:highlight w:val="none"/>
        </w:rPr>
        <w:t>km</w:t>
      </w:r>
      <w:r>
        <w:rPr>
          <w:color w:val="auto"/>
          <w:highlight w:val="none"/>
          <w:vertAlign w:val="superscript"/>
        </w:rPr>
        <w:t>2</w:t>
      </w:r>
      <w:r>
        <w:rPr>
          <w:color w:val="auto"/>
          <w:highlight w:val="none"/>
        </w:rPr>
        <w:t>，占水土流失面积的</w:t>
      </w:r>
      <w:r>
        <w:rPr>
          <w:rFonts w:hint="eastAsia"/>
          <w:color w:val="auto"/>
          <w:highlight w:val="none"/>
          <w:lang w:val="en-US" w:eastAsia="zh-CN"/>
        </w:rPr>
        <w:t>17.11</w:t>
      </w:r>
      <w:r>
        <w:rPr>
          <w:color w:val="auto"/>
          <w:highlight w:val="none"/>
        </w:rPr>
        <w:t>%；强烈侵蚀面积</w:t>
      </w:r>
      <w:r>
        <w:rPr>
          <w:rFonts w:hint="eastAsia"/>
          <w:color w:val="auto"/>
          <w:highlight w:val="none"/>
          <w:lang w:val="en-US" w:eastAsia="zh-CN"/>
        </w:rPr>
        <w:t>6.99</w:t>
      </w:r>
      <w:r>
        <w:rPr>
          <w:color w:val="auto"/>
          <w:highlight w:val="none"/>
        </w:rPr>
        <w:t>km</w:t>
      </w:r>
      <w:r>
        <w:rPr>
          <w:color w:val="auto"/>
          <w:highlight w:val="none"/>
          <w:vertAlign w:val="superscript"/>
        </w:rPr>
        <w:t>2</w:t>
      </w:r>
      <w:r>
        <w:rPr>
          <w:color w:val="auto"/>
          <w:highlight w:val="none"/>
        </w:rPr>
        <w:t>，占水土流失面积的</w:t>
      </w:r>
      <w:r>
        <w:rPr>
          <w:rFonts w:hint="eastAsia"/>
          <w:color w:val="auto"/>
          <w:highlight w:val="none"/>
          <w:lang w:val="en-US" w:eastAsia="zh-CN"/>
        </w:rPr>
        <w:t>7.48</w:t>
      </w:r>
      <w:r>
        <w:rPr>
          <w:color w:val="auto"/>
          <w:highlight w:val="none"/>
        </w:rPr>
        <w:t>%；极强烈侵蚀面积</w:t>
      </w:r>
      <w:r>
        <w:rPr>
          <w:rFonts w:hint="eastAsia"/>
          <w:color w:val="auto"/>
          <w:highlight w:val="none"/>
          <w:lang w:val="en-US" w:eastAsia="zh-CN"/>
        </w:rPr>
        <w:t>9.99</w:t>
      </w:r>
      <w:r>
        <w:rPr>
          <w:color w:val="auto"/>
          <w:highlight w:val="none"/>
        </w:rPr>
        <w:t>km</w:t>
      </w:r>
      <w:r>
        <w:rPr>
          <w:color w:val="auto"/>
          <w:highlight w:val="none"/>
          <w:vertAlign w:val="superscript"/>
        </w:rPr>
        <w:t>2</w:t>
      </w:r>
      <w:r>
        <w:rPr>
          <w:color w:val="auto"/>
          <w:highlight w:val="none"/>
        </w:rPr>
        <w:t>，占水土流失面积的</w:t>
      </w:r>
      <w:r>
        <w:rPr>
          <w:rFonts w:hint="eastAsia"/>
          <w:color w:val="auto"/>
          <w:highlight w:val="none"/>
          <w:lang w:val="en-US" w:eastAsia="zh-CN"/>
        </w:rPr>
        <w:t>10.69</w:t>
      </w:r>
      <w:r>
        <w:rPr>
          <w:color w:val="auto"/>
          <w:highlight w:val="none"/>
        </w:rPr>
        <w:t>%；剧烈侵蚀面积</w:t>
      </w:r>
      <w:r>
        <w:rPr>
          <w:rFonts w:hint="eastAsia"/>
          <w:color w:val="auto"/>
          <w:highlight w:val="none"/>
          <w:lang w:val="en-US" w:eastAsia="zh-CN"/>
        </w:rPr>
        <w:t>11.71</w:t>
      </w:r>
      <w:r>
        <w:rPr>
          <w:color w:val="auto"/>
          <w:highlight w:val="none"/>
        </w:rPr>
        <w:t>km</w:t>
      </w:r>
      <w:r>
        <w:rPr>
          <w:color w:val="auto"/>
          <w:highlight w:val="none"/>
          <w:vertAlign w:val="superscript"/>
        </w:rPr>
        <w:t>2</w:t>
      </w:r>
      <w:r>
        <w:rPr>
          <w:color w:val="auto"/>
          <w:highlight w:val="none"/>
        </w:rPr>
        <w:t>，占水土流失面积的</w:t>
      </w:r>
      <w:r>
        <w:rPr>
          <w:rFonts w:hint="eastAsia"/>
          <w:color w:val="auto"/>
          <w:highlight w:val="none"/>
          <w:lang w:val="en-US" w:eastAsia="zh-CN"/>
        </w:rPr>
        <w:t>12.54</w:t>
      </w:r>
      <w:r>
        <w:rPr>
          <w:color w:val="auto"/>
          <w:highlight w:val="none"/>
        </w:rPr>
        <w:t>%。</w:t>
      </w:r>
    </w:p>
    <w:p>
      <w:pPr>
        <w:rPr>
          <w:rFonts w:cs="Times New Roman"/>
          <w:color w:val="auto"/>
          <w:highlight w:val="none"/>
        </w:rPr>
      </w:pPr>
      <w:r>
        <w:rPr>
          <w:rFonts w:cs="Times New Roman"/>
          <w:color w:val="auto"/>
          <w:highlight w:val="none"/>
        </w:rPr>
        <w:t>（3）水土保持区域布局</w:t>
      </w:r>
    </w:p>
    <w:p>
      <w:pPr>
        <w:ind w:firstLineChars="0"/>
        <w:rPr>
          <w:rFonts w:cs="Times New Roman"/>
          <w:color w:val="auto"/>
          <w:highlight w:val="none"/>
        </w:rPr>
      </w:pPr>
      <w:r>
        <w:rPr>
          <w:rFonts w:cs="Times New Roman"/>
          <w:color w:val="auto"/>
          <w:highlight w:val="none"/>
        </w:rPr>
        <w:t>本区水土保持主导基础功能以森林生态维护和</w:t>
      </w:r>
      <w:r>
        <w:rPr>
          <w:rFonts w:hint="eastAsia" w:cs="Times New Roman"/>
          <w:color w:val="auto"/>
          <w:highlight w:val="none"/>
          <w:lang w:val="en-US" w:eastAsia="zh-CN"/>
        </w:rPr>
        <w:t>涵养水源</w:t>
      </w:r>
      <w:r>
        <w:rPr>
          <w:rFonts w:cs="Times New Roman"/>
          <w:color w:val="auto"/>
          <w:highlight w:val="none"/>
        </w:rPr>
        <w:t>为主，科学推进森林抚育和修复</w:t>
      </w:r>
      <w:r>
        <w:rPr>
          <w:rFonts w:hint="eastAsia" w:cs="Times New Roman"/>
          <w:color w:val="auto"/>
          <w:highlight w:val="none"/>
          <w:lang w:eastAsia="zh-CN"/>
        </w:rPr>
        <w:t>，</w:t>
      </w:r>
      <w:r>
        <w:rPr>
          <w:rFonts w:hint="eastAsia" w:cs="Times New Roman"/>
          <w:color w:val="auto"/>
          <w:highlight w:val="none"/>
          <w:lang w:val="en-US" w:eastAsia="zh-CN"/>
        </w:rPr>
        <w:t>开展小流域综合治理。</w:t>
      </w:r>
      <w:r>
        <w:rPr>
          <w:rFonts w:cs="Times New Roman"/>
          <w:color w:val="auto"/>
          <w:highlight w:val="none"/>
        </w:rPr>
        <w:t>具体防治措施有以下几个方面：</w:t>
      </w:r>
    </w:p>
    <w:p>
      <w:pPr>
        <w:ind w:firstLineChars="0"/>
        <w:rPr>
          <w:rFonts w:cs="Times New Roman"/>
          <w:color w:val="auto"/>
          <w:highlight w:val="none"/>
          <w:lang w:val="en-US"/>
        </w:rPr>
      </w:pPr>
      <w:r>
        <w:rPr>
          <w:rFonts w:cs="Times New Roman"/>
          <w:color w:val="auto"/>
          <w:highlight w:val="none"/>
          <w:lang w:val="en-US"/>
        </w:rPr>
        <w:t>1）</w:t>
      </w:r>
      <w:r>
        <w:rPr>
          <w:rFonts w:hint="default" w:cs="Times New Roman"/>
          <w:color w:val="auto"/>
          <w:highlight w:val="none"/>
        </w:rPr>
        <w:t>以</w:t>
      </w:r>
      <w:r>
        <w:rPr>
          <w:rFonts w:cs="Times New Roman"/>
          <w:color w:val="auto"/>
          <w:highlight w:val="none"/>
        </w:rPr>
        <w:t>北之江柳江</w:t>
      </w:r>
      <w:r>
        <w:rPr>
          <w:rFonts w:hint="eastAsia" w:cs="Times New Roman"/>
          <w:color w:val="auto"/>
          <w:highlight w:val="none"/>
          <w:lang w:eastAsia="zh-CN"/>
        </w:rPr>
        <w:t>－</w:t>
      </w:r>
      <w:r>
        <w:rPr>
          <w:rFonts w:cs="Times New Roman"/>
          <w:color w:val="auto"/>
          <w:highlight w:val="none"/>
        </w:rPr>
        <w:t>忻城源头水保护区</w:t>
      </w:r>
      <w:r>
        <w:rPr>
          <w:rFonts w:hint="default" w:cs="Times New Roman"/>
          <w:color w:val="auto"/>
          <w:highlight w:val="none"/>
        </w:rPr>
        <w:t>、重要水源地等区域为重点，加大水土流失预防保护力度，促进生态自我修复和区域水土保持功能提升。</w:t>
      </w:r>
    </w:p>
    <w:p>
      <w:pPr>
        <w:pStyle w:val="12"/>
        <w:ind w:firstLine="560"/>
        <w:rPr>
          <w:rFonts w:eastAsia="仿宋"/>
          <w:color w:val="auto"/>
          <w:szCs w:val="28"/>
          <w:highlight w:val="none"/>
          <w:lang w:val="en-US"/>
        </w:rPr>
      </w:pPr>
      <w:r>
        <w:rPr>
          <w:rFonts w:eastAsia="仿宋"/>
          <w:color w:val="auto"/>
          <w:szCs w:val="28"/>
          <w:highlight w:val="none"/>
          <w:lang w:val="en-US"/>
        </w:rPr>
        <w:t>2）积极开展山区丘陵区小流域综合治理，大力推进生态退化地区的封禁保护力度，保护和恢复森林资源与生物多样性。</w:t>
      </w:r>
    </w:p>
    <w:p>
      <w:pPr>
        <w:rPr>
          <w:rFonts w:cs="Times New Roman"/>
          <w:color w:val="auto"/>
          <w:highlight w:val="none"/>
        </w:rPr>
      </w:pPr>
      <w:r>
        <w:rPr>
          <w:rFonts w:eastAsia="仿宋"/>
          <w:color w:val="auto"/>
          <w:szCs w:val="28"/>
          <w:highlight w:val="none"/>
          <w:lang w:val="en-US"/>
        </w:rPr>
        <w:t>3）</w:t>
      </w:r>
      <w:r>
        <w:rPr>
          <w:rFonts w:cs="Times New Roman"/>
          <w:color w:val="auto"/>
          <w:highlight w:val="none"/>
        </w:rPr>
        <w:t>加大区内矿山治理力度，加快建立矿山环境治理激励机制，把矿山环境治理与恢复工作纳入市场机制中，鼓励社会力量参与矿山环境治理。</w:t>
      </w:r>
    </w:p>
    <w:p>
      <w:pPr>
        <w:pStyle w:val="12"/>
        <w:ind w:firstLine="560"/>
        <w:rPr>
          <w:rFonts w:eastAsia="仿宋"/>
          <w:color w:val="auto"/>
          <w:szCs w:val="28"/>
          <w:highlight w:val="none"/>
          <w:lang w:val="en-US"/>
        </w:rPr>
      </w:pPr>
      <w:r>
        <w:rPr>
          <w:rFonts w:hint="eastAsia" w:eastAsia="仿宋"/>
          <w:color w:val="auto"/>
          <w:szCs w:val="28"/>
          <w:highlight w:val="none"/>
          <w:lang w:val="en-US" w:eastAsia="zh-CN"/>
        </w:rPr>
        <w:t>4</w:t>
      </w:r>
      <w:r>
        <w:rPr>
          <w:rFonts w:eastAsia="仿宋"/>
          <w:color w:val="auto"/>
          <w:szCs w:val="28"/>
          <w:highlight w:val="none"/>
          <w:lang w:val="en-US"/>
        </w:rPr>
        <w:t>）水土保持工程及生产建设项目应考虑风景名胜区和水源保护的相关规划，选择适宜的农、果、休闲旅游复合经营模式，助力乡村振兴。</w:t>
      </w:r>
    </w:p>
    <w:bookmarkEnd w:id="291"/>
    <w:p>
      <w:pPr>
        <w:pStyle w:val="3"/>
        <w:spacing w:before="156"/>
        <w:ind w:firstLine="602"/>
        <w:rPr>
          <w:color w:val="auto"/>
          <w:highlight w:val="none"/>
        </w:rPr>
      </w:pPr>
      <w:bookmarkStart w:id="292" w:name="_Toc26451"/>
      <w:bookmarkStart w:id="293" w:name="_Toc528945999"/>
      <w:bookmarkStart w:id="294" w:name="_Toc482812774"/>
      <w:bookmarkStart w:id="295" w:name="_Toc480204992"/>
      <w:bookmarkStart w:id="296" w:name="_Toc8887"/>
      <w:bookmarkStart w:id="297" w:name="_Toc101681470"/>
      <w:bookmarkStart w:id="298" w:name="_Toc90399100"/>
      <w:r>
        <w:rPr>
          <w:color w:val="auto"/>
          <w:highlight w:val="none"/>
          <w:lang w:val="en-US"/>
        </w:rPr>
        <w:t>5.2</w:t>
      </w:r>
      <w:r>
        <w:rPr>
          <w:color w:val="auto"/>
          <w:highlight w:val="none"/>
        </w:rPr>
        <w:t>重点布局</w:t>
      </w:r>
      <w:bookmarkEnd w:id="292"/>
      <w:bookmarkEnd w:id="293"/>
      <w:bookmarkEnd w:id="294"/>
      <w:bookmarkEnd w:id="295"/>
      <w:bookmarkEnd w:id="296"/>
      <w:bookmarkEnd w:id="297"/>
      <w:bookmarkEnd w:id="298"/>
    </w:p>
    <w:p>
      <w:pPr>
        <w:rPr>
          <w:rFonts w:cs="Times New Roman"/>
          <w:color w:val="auto"/>
          <w:highlight w:val="none"/>
        </w:rPr>
      </w:pPr>
      <w:r>
        <w:rPr>
          <w:rFonts w:cs="Times New Roman"/>
          <w:color w:val="auto"/>
          <w:highlight w:val="none"/>
        </w:rPr>
        <w:t>本规划在国家、自治区和柳州市水土流失重点防治区划分成果的基础上，从保障柳江区生态安全和经济与社会环境安全的需要出发，分析当前社会经济和未来发展趋势对水土资源可持续利用以及生态保护对水土流失治理的要求和迫切程度，统筹考虑辖区内重要饮用水源保护区、重要生态功能区及生态敏感区等重点区域，将未划入上级水土流失重点防治区的地方进行合理划定，明确当前和今后一段时期规划区水土保持工作的重点和方向。</w:t>
      </w:r>
    </w:p>
    <w:p>
      <w:pPr>
        <w:pStyle w:val="4"/>
        <w:spacing w:before="156"/>
        <w:ind w:firstLine="562"/>
        <w:rPr>
          <w:color w:val="auto"/>
          <w:highlight w:val="none"/>
        </w:rPr>
      </w:pPr>
      <w:bookmarkStart w:id="299" w:name="_Toc32127"/>
      <w:bookmarkStart w:id="300" w:name="_Toc101681471"/>
      <w:bookmarkStart w:id="301" w:name="_Toc528946000"/>
      <w:bookmarkStart w:id="302" w:name="_Toc482812775"/>
      <w:bookmarkStart w:id="303" w:name="_Toc528946002"/>
      <w:bookmarkStart w:id="304" w:name="_Toc482812777"/>
      <w:bookmarkStart w:id="305" w:name="_Toc6010"/>
      <w:r>
        <w:rPr>
          <w:color w:val="auto"/>
          <w:highlight w:val="none"/>
          <w:lang w:val="en-US"/>
        </w:rPr>
        <w:t>5.2.1</w:t>
      </w:r>
      <w:r>
        <w:rPr>
          <w:color w:val="auto"/>
          <w:highlight w:val="none"/>
        </w:rPr>
        <w:t>水土流失重点防治区划分</w:t>
      </w:r>
      <w:bookmarkEnd w:id="299"/>
      <w:bookmarkEnd w:id="300"/>
    </w:p>
    <w:p>
      <w:pPr>
        <w:pStyle w:val="5"/>
        <w:spacing w:before="156"/>
        <w:ind w:firstLine="562"/>
        <w:rPr>
          <w:color w:val="auto"/>
          <w:highlight w:val="none"/>
          <w:lang w:val="en-US"/>
        </w:rPr>
      </w:pPr>
      <w:r>
        <w:rPr>
          <w:color w:val="auto"/>
          <w:highlight w:val="none"/>
          <w:lang w:val="en-US"/>
        </w:rPr>
        <w:t>5.2.1.1国家级</w:t>
      </w:r>
      <w:r>
        <w:rPr>
          <w:color w:val="auto"/>
          <w:highlight w:val="none"/>
        </w:rPr>
        <w:t>水土流失重点防治区划分</w:t>
      </w:r>
    </w:p>
    <w:p>
      <w:pPr>
        <w:rPr>
          <w:rFonts w:cs="Times New Roman"/>
          <w:color w:val="auto"/>
          <w:highlight w:val="none"/>
        </w:rPr>
      </w:pPr>
      <w:r>
        <w:rPr>
          <w:rFonts w:cs="Times New Roman"/>
          <w:color w:val="auto"/>
          <w:highlight w:val="none"/>
        </w:rPr>
        <w:t>根据《水利部办公厅关于印发全国水土保持规划国家级水土流失重点预防区和重点治理区复核划分成果的通知》（办水保〔2013〕188号），柳江区范围不涉及国家级水土流失重点防治区。</w:t>
      </w:r>
    </w:p>
    <w:p>
      <w:pPr>
        <w:pStyle w:val="5"/>
        <w:spacing w:before="156"/>
        <w:ind w:firstLine="562"/>
        <w:rPr>
          <w:color w:val="auto"/>
          <w:highlight w:val="none"/>
        </w:rPr>
      </w:pPr>
      <w:r>
        <w:rPr>
          <w:color w:val="auto"/>
          <w:highlight w:val="none"/>
          <w:lang w:val="en-US"/>
        </w:rPr>
        <w:t>5.2.1.2</w:t>
      </w:r>
      <w:r>
        <w:rPr>
          <w:color w:val="auto"/>
          <w:highlight w:val="none"/>
        </w:rPr>
        <w:t>自治区级水土流失重点防治区划分</w:t>
      </w:r>
    </w:p>
    <w:p>
      <w:pPr>
        <w:pStyle w:val="12"/>
        <w:snapToGrid w:val="0"/>
        <w:ind w:firstLine="560"/>
        <w:rPr>
          <w:color w:val="auto"/>
          <w:highlight w:val="none"/>
        </w:rPr>
      </w:pPr>
      <w:r>
        <w:rPr>
          <w:color w:val="auto"/>
          <w:highlight w:val="none"/>
        </w:rPr>
        <w:t xml:space="preserve">根据《广西壮族自治区人民政府关于划分水土流失重点防治区的通知》（桂政发〔2017〕5号），柳江区涉及自治区级水土流失重点治理区，区划名称为桂中低山丘陵自治区级水土流失重点治理区。 </w:t>
      </w:r>
    </w:p>
    <w:p>
      <w:pPr>
        <w:pStyle w:val="5"/>
        <w:spacing w:before="156"/>
        <w:ind w:firstLine="562"/>
        <w:rPr>
          <w:color w:val="auto"/>
          <w:highlight w:val="none"/>
          <w:lang w:val="en-US"/>
        </w:rPr>
      </w:pPr>
      <w:r>
        <w:rPr>
          <w:color w:val="auto"/>
          <w:highlight w:val="none"/>
          <w:lang w:val="en-US"/>
        </w:rPr>
        <w:t>5.2.1.3市级</w:t>
      </w:r>
      <w:r>
        <w:rPr>
          <w:color w:val="auto"/>
          <w:highlight w:val="none"/>
        </w:rPr>
        <w:t>水土流失重点防治区划分</w:t>
      </w:r>
    </w:p>
    <w:p>
      <w:pPr>
        <w:pStyle w:val="12"/>
        <w:snapToGrid w:val="0"/>
        <w:ind w:firstLine="560"/>
        <w:rPr>
          <w:color w:val="auto"/>
          <w:highlight w:val="none"/>
        </w:rPr>
      </w:pPr>
      <w:r>
        <w:rPr>
          <w:rFonts w:eastAsia="仿宋"/>
          <w:color w:val="auto"/>
          <w:szCs w:val="28"/>
          <w:highlight w:val="none"/>
          <w:lang w:val="en-US"/>
        </w:rPr>
        <w:t>根据《柳州市水土保持规划（2019-2030）》，柳江区不涉及柳州市级水土流失重点防治区</w:t>
      </w:r>
      <w:r>
        <w:rPr>
          <w:color w:val="auto"/>
          <w:highlight w:val="none"/>
        </w:rPr>
        <w:t>。</w:t>
      </w:r>
    </w:p>
    <w:p>
      <w:pPr>
        <w:pStyle w:val="5"/>
        <w:spacing w:before="156"/>
        <w:ind w:firstLine="562"/>
        <w:rPr>
          <w:color w:val="auto"/>
          <w:highlight w:val="none"/>
          <w:lang w:val="en-US"/>
        </w:rPr>
      </w:pPr>
      <w:r>
        <w:rPr>
          <w:color w:val="auto"/>
          <w:highlight w:val="none"/>
          <w:lang w:val="en-US"/>
        </w:rPr>
        <w:t>5.2.1.4柳江区水土流失重点防治区划分</w:t>
      </w:r>
    </w:p>
    <w:p>
      <w:pPr>
        <w:rPr>
          <w:color w:val="auto"/>
          <w:highlight w:val="none"/>
        </w:rPr>
      </w:pPr>
      <w:r>
        <w:rPr>
          <w:rFonts w:cs="Times New Roman"/>
          <w:color w:val="auto"/>
          <w:highlight w:val="none"/>
        </w:rPr>
        <w:t>依据《水土流失重点防治区划分导则》（SL717-2015），同级水土流失重点预防区和重点治理区不应交叉，各级水土流失重点防治区在空间上不能重叠，因此，柳江区水土流失重点防治区划分需以国家级、省级、市级水土流失重点防治区划分成果为依托，</w:t>
      </w:r>
      <w:r>
        <w:rPr>
          <w:rFonts w:hint="eastAsia"/>
          <w:color w:val="auto"/>
          <w:highlight w:val="none"/>
        </w:rPr>
        <w:t>对上级已划分区域不再重复划定。根据</w:t>
      </w:r>
      <w:r>
        <w:rPr>
          <w:rFonts w:cs="Times New Roman"/>
          <w:color w:val="auto"/>
          <w:highlight w:val="none"/>
        </w:rPr>
        <w:t>《广西壮族自治区人民政府关于划分水土流失重点防治区的通知》（桂政发〔2017〕5号）</w:t>
      </w:r>
      <w:r>
        <w:rPr>
          <w:color w:val="auto"/>
          <w:highlight w:val="none"/>
        </w:rPr>
        <w:t>，柳江区</w:t>
      </w:r>
      <w:r>
        <w:rPr>
          <w:rFonts w:hint="eastAsia"/>
          <w:color w:val="auto"/>
          <w:highlight w:val="none"/>
        </w:rPr>
        <w:t>属于</w:t>
      </w:r>
      <w:r>
        <w:rPr>
          <w:color w:val="auto"/>
          <w:highlight w:val="none"/>
        </w:rPr>
        <w:t>桂中低山丘陵自治区级水土流失重点治理区。</w:t>
      </w:r>
      <w:r>
        <w:rPr>
          <w:rFonts w:hint="eastAsia"/>
          <w:color w:val="auto"/>
          <w:highlight w:val="none"/>
        </w:rPr>
        <w:t>故本次规划不再对</w:t>
      </w:r>
      <w:r>
        <w:rPr>
          <w:color w:val="auto"/>
          <w:highlight w:val="none"/>
        </w:rPr>
        <w:t>柳江区</w:t>
      </w:r>
      <w:r>
        <w:rPr>
          <w:rFonts w:hint="eastAsia"/>
          <w:color w:val="auto"/>
          <w:highlight w:val="none"/>
        </w:rPr>
        <w:t>进行县级水土流失重点防治区划分。</w:t>
      </w:r>
    </w:p>
    <w:bookmarkEnd w:id="301"/>
    <w:bookmarkEnd w:id="302"/>
    <w:bookmarkEnd w:id="303"/>
    <w:bookmarkEnd w:id="304"/>
    <w:bookmarkEnd w:id="305"/>
    <w:p>
      <w:pPr>
        <w:pStyle w:val="2"/>
        <w:rPr>
          <w:color w:val="auto"/>
          <w:highlight w:val="none"/>
        </w:rPr>
      </w:pPr>
      <w:bookmarkStart w:id="306" w:name="_Toc528946004"/>
      <w:bookmarkStart w:id="307" w:name="_Toc3803"/>
      <w:bookmarkStart w:id="308" w:name="_Toc482812779"/>
      <w:bookmarkStart w:id="309" w:name="_Toc480204997"/>
      <w:bookmarkStart w:id="310" w:name="_Toc119515892"/>
      <w:bookmarkStart w:id="311" w:name="_Toc90399101"/>
      <w:bookmarkStart w:id="312" w:name="_Toc8045"/>
      <w:r>
        <w:rPr>
          <w:color w:val="auto"/>
          <w:highlight w:val="none"/>
          <w:lang w:val="en-US"/>
        </w:rPr>
        <w:t>6</w:t>
      </w:r>
      <w:r>
        <w:rPr>
          <w:color w:val="auto"/>
          <w:highlight w:val="none"/>
        </w:rPr>
        <w:t>预防</w:t>
      </w:r>
      <w:bookmarkEnd w:id="306"/>
      <w:bookmarkEnd w:id="307"/>
      <w:bookmarkEnd w:id="308"/>
      <w:bookmarkEnd w:id="309"/>
      <w:r>
        <w:rPr>
          <w:color w:val="auto"/>
          <w:highlight w:val="none"/>
          <w:lang w:val="en-US"/>
        </w:rPr>
        <w:t>保护</w:t>
      </w:r>
      <w:bookmarkEnd w:id="310"/>
      <w:bookmarkEnd w:id="311"/>
      <w:bookmarkEnd w:id="312"/>
    </w:p>
    <w:p>
      <w:pPr>
        <w:widowControl/>
        <w:jc w:val="left"/>
        <w:rPr>
          <w:rFonts w:cs="Times New Roman"/>
          <w:color w:val="auto"/>
          <w:highlight w:val="none"/>
        </w:rPr>
      </w:pPr>
      <w:bookmarkStart w:id="313" w:name="_Toc439661539"/>
      <w:bookmarkStart w:id="314" w:name="_Toc482812780"/>
      <w:bookmarkStart w:id="315" w:name="_Toc528946005"/>
      <w:r>
        <w:rPr>
          <w:rFonts w:cs="Times New Roman"/>
          <w:color w:val="auto"/>
          <w:highlight w:val="none"/>
        </w:rPr>
        <w:t>坚持“预防为主、保护优先</w:t>
      </w:r>
      <w:r>
        <w:rPr>
          <w:rFonts w:hint="eastAsia" w:cs="Times New Roman"/>
          <w:color w:val="auto"/>
          <w:highlight w:val="none"/>
          <w:lang w:eastAsia="zh-CN"/>
        </w:rPr>
        <w:t>”“</w:t>
      </w:r>
      <w:r>
        <w:rPr>
          <w:rFonts w:cs="Times New Roman"/>
          <w:color w:val="auto"/>
          <w:highlight w:val="none"/>
        </w:rPr>
        <w:t>大预防、小治理”的原则，通过保护管理、封禁抚育、局部治理、生态补偿、能源替代等一系列管理措施和技术措施，对柳江区实施水土流失预防保护，从源头上有效控制水土流失，保护地表植被，扩大林草覆盖，促进水土资源保护和合理利用。</w:t>
      </w:r>
    </w:p>
    <w:p>
      <w:pPr>
        <w:pStyle w:val="3"/>
        <w:spacing w:before="156"/>
        <w:ind w:firstLine="602"/>
        <w:rPr>
          <w:color w:val="auto"/>
          <w:highlight w:val="none"/>
        </w:rPr>
      </w:pPr>
      <w:bookmarkStart w:id="316" w:name="_Toc16143"/>
      <w:bookmarkStart w:id="317" w:name="_Toc119515893"/>
      <w:bookmarkStart w:id="318" w:name="_Toc9671"/>
      <w:bookmarkStart w:id="319" w:name="_Toc90399102"/>
      <w:r>
        <w:rPr>
          <w:color w:val="auto"/>
          <w:highlight w:val="none"/>
          <w:lang w:val="en-US"/>
        </w:rPr>
        <w:t>6.</w:t>
      </w:r>
      <w:r>
        <w:rPr>
          <w:color w:val="auto"/>
          <w:highlight w:val="none"/>
        </w:rPr>
        <w:t>1预防范围、对象</w:t>
      </w:r>
      <w:bookmarkEnd w:id="313"/>
      <w:bookmarkEnd w:id="314"/>
      <w:bookmarkEnd w:id="315"/>
      <w:bookmarkEnd w:id="316"/>
      <w:r>
        <w:rPr>
          <w:color w:val="auto"/>
          <w:highlight w:val="none"/>
        </w:rPr>
        <w:t>及规模</w:t>
      </w:r>
      <w:bookmarkEnd w:id="317"/>
      <w:bookmarkEnd w:id="318"/>
      <w:bookmarkEnd w:id="319"/>
    </w:p>
    <w:p>
      <w:pPr>
        <w:pStyle w:val="4"/>
        <w:spacing w:before="156"/>
        <w:ind w:firstLine="562"/>
        <w:rPr>
          <w:color w:val="auto"/>
          <w:highlight w:val="none"/>
        </w:rPr>
      </w:pPr>
      <w:bookmarkStart w:id="320" w:name="_Toc439661540"/>
      <w:bookmarkStart w:id="321" w:name="_Toc119515894"/>
      <w:bookmarkStart w:id="322" w:name="_Toc13824"/>
      <w:bookmarkStart w:id="323" w:name="_Toc1403"/>
      <w:r>
        <w:rPr>
          <w:color w:val="auto"/>
          <w:highlight w:val="none"/>
          <w:lang w:val="en-US"/>
        </w:rPr>
        <w:t>6.</w:t>
      </w:r>
      <w:r>
        <w:rPr>
          <w:color w:val="auto"/>
          <w:highlight w:val="none"/>
        </w:rPr>
        <w:t>1.1</w:t>
      </w:r>
      <w:bookmarkEnd w:id="320"/>
      <w:r>
        <w:rPr>
          <w:color w:val="auto"/>
          <w:highlight w:val="none"/>
        </w:rPr>
        <w:t>确定原则</w:t>
      </w:r>
      <w:bookmarkEnd w:id="321"/>
      <w:bookmarkEnd w:id="322"/>
      <w:bookmarkEnd w:id="323"/>
    </w:p>
    <w:p>
      <w:pPr>
        <w:rPr>
          <w:rFonts w:cs="Times New Roman"/>
          <w:color w:val="auto"/>
          <w:highlight w:val="none"/>
        </w:rPr>
      </w:pPr>
      <w:r>
        <w:rPr>
          <w:rFonts w:cs="Times New Roman"/>
          <w:color w:val="auto"/>
          <w:highlight w:val="none"/>
        </w:rPr>
        <w:t>划分柳江区预防保护范围应遵循以下原则：</w:t>
      </w:r>
    </w:p>
    <w:p>
      <w:pPr>
        <w:rPr>
          <w:rFonts w:cs="Times New Roman"/>
          <w:color w:val="auto"/>
          <w:highlight w:val="none"/>
        </w:rPr>
      </w:pPr>
      <w:r>
        <w:rPr>
          <w:rFonts w:cs="Times New Roman"/>
          <w:color w:val="auto"/>
          <w:highlight w:val="none"/>
        </w:rPr>
        <w:t>（1）以划定的水土流失重点预防区范围为主；</w:t>
      </w:r>
    </w:p>
    <w:p>
      <w:pPr>
        <w:rPr>
          <w:rFonts w:cs="Times New Roman"/>
          <w:color w:val="auto"/>
          <w:highlight w:val="none"/>
        </w:rPr>
      </w:pPr>
      <w:r>
        <w:rPr>
          <w:rFonts w:cs="Times New Roman"/>
          <w:color w:val="auto"/>
          <w:highlight w:val="none"/>
        </w:rPr>
        <w:t>（2）以水源涵养、水质维护、防灾减灾、生态维护等为水土保持主导基础功能的区域；</w:t>
      </w:r>
    </w:p>
    <w:p>
      <w:pPr>
        <w:rPr>
          <w:rFonts w:cs="Times New Roman"/>
          <w:color w:val="auto"/>
          <w:highlight w:val="none"/>
        </w:rPr>
      </w:pPr>
      <w:r>
        <w:rPr>
          <w:rFonts w:cs="Times New Roman"/>
          <w:color w:val="auto"/>
          <w:highlight w:val="none"/>
        </w:rPr>
        <w:t>（3）潜在水土流失危险较大的重要生态功能区或生态敏感区域；</w:t>
      </w:r>
    </w:p>
    <w:p>
      <w:pPr>
        <w:rPr>
          <w:rFonts w:cs="Times New Roman"/>
          <w:color w:val="auto"/>
          <w:highlight w:val="none"/>
        </w:rPr>
      </w:pPr>
      <w:r>
        <w:rPr>
          <w:rFonts w:cs="Times New Roman"/>
          <w:color w:val="auto"/>
          <w:highlight w:val="none"/>
        </w:rPr>
        <w:t>（4）除山区、丘陵区以外的容易发生水土流失的其他区域。</w:t>
      </w:r>
    </w:p>
    <w:p>
      <w:pPr>
        <w:pStyle w:val="4"/>
        <w:spacing w:before="156"/>
        <w:ind w:firstLine="562"/>
        <w:rPr>
          <w:rFonts w:hint="default" w:eastAsia="黑体"/>
          <w:color w:val="auto"/>
          <w:highlight w:val="none"/>
          <w:lang w:val="en-US" w:eastAsia="zh-CN"/>
        </w:rPr>
      </w:pPr>
      <w:bookmarkStart w:id="324" w:name="_Toc10373"/>
      <w:r>
        <w:rPr>
          <w:color w:val="auto"/>
          <w:highlight w:val="none"/>
          <w:lang w:val="en-US"/>
        </w:rPr>
        <w:t>6.</w:t>
      </w:r>
      <w:r>
        <w:rPr>
          <w:color w:val="auto"/>
          <w:highlight w:val="none"/>
        </w:rPr>
        <w:t>1.2</w:t>
      </w:r>
      <w:r>
        <w:rPr>
          <w:rFonts w:hint="eastAsia"/>
          <w:color w:val="auto"/>
          <w:highlight w:val="none"/>
          <w:lang w:val="en-US" w:eastAsia="zh-CN"/>
        </w:rPr>
        <w:t>柳江区基本情况</w:t>
      </w:r>
      <w:bookmarkEnd w:id="324"/>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1 \* GB3 </w:instrText>
      </w:r>
      <w:r>
        <w:rPr>
          <w:rFonts w:cs="Times New Roman"/>
          <w:color w:val="auto"/>
          <w:highlight w:val="none"/>
        </w:rPr>
        <w:fldChar w:fldCharType="separate"/>
      </w:r>
      <w:r>
        <w:rPr>
          <w:rFonts w:hint="eastAsia" w:ascii="宋体" w:hAnsi="宋体" w:eastAsia="宋体" w:cs="宋体"/>
          <w:color w:val="auto"/>
          <w:highlight w:val="none"/>
        </w:rPr>
        <w:t>①</w:t>
      </w:r>
      <w:r>
        <w:rPr>
          <w:rFonts w:cs="Times New Roman"/>
          <w:color w:val="auto"/>
          <w:highlight w:val="none"/>
        </w:rPr>
        <w:fldChar w:fldCharType="end"/>
      </w:r>
      <w:r>
        <w:rPr>
          <w:rFonts w:cs="Times New Roman"/>
          <w:color w:val="auto"/>
          <w:highlight w:val="none"/>
        </w:rPr>
        <w:t>水土保持功能重要性</w:t>
      </w:r>
    </w:p>
    <w:p>
      <w:pPr>
        <w:rPr>
          <w:rFonts w:cs="Times New Roman"/>
          <w:color w:val="auto"/>
          <w:highlight w:val="none"/>
        </w:rPr>
      </w:pPr>
      <w:r>
        <w:rPr>
          <w:rFonts w:cs="Times New Roman"/>
          <w:color w:val="auto"/>
          <w:highlight w:val="none"/>
        </w:rPr>
        <w:t>柳江区不涉及水土保持功能重要性为重要的区域。</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2 \* GB3 </w:instrText>
      </w:r>
      <w:r>
        <w:rPr>
          <w:rFonts w:cs="Times New Roman"/>
          <w:color w:val="auto"/>
          <w:highlight w:val="none"/>
        </w:rPr>
        <w:fldChar w:fldCharType="separate"/>
      </w:r>
      <w:r>
        <w:rPr>
          <w:rFonts w:hint="eastAsia" w:ascii="宋体" w:hAnsi="宋体" w:eastAsia="宋体" w:cs="宋体"/>
          <w:color w:val="auto"/>
          <w:highlight w:val="none"/>
        </w:rPr>
        <w:t>②</w:t>
      </w:r>
      <w:r>
        <w:rPr>
          <w:rFonts w:cs="Times New Roman"/>
          <w:color w:val="auto"/>
          <w:highlight w:val="none"/>
        </w:rPr>
        <w:fldChar w:fldCharType="end"/>
      </w:r>
      <w:r>
        <w:rPr>
          <w:rFonts w:cs="Times New Roman"/>
          <w:color w:val="auto"/>
          <w:highlight w:val="none"/>
        </w:rPr>
        <w:t>水土流失危险程度</w:t>
      </w:r>
    </w:p>
    <w:p>
      <w:pPr>
        <w:rPr>
          <w:rFonts w:cs="Times New Roman"/>
          <w:color w:val="auto"/>
          <w:highlight w:val="none"/>
        </w:rPr>
      </w:pPr>
      <w:r>
        <w:rPr>
          <w:rFonts w:cs="Times New Roman"/>
          <w:color w:val="auto"/>
          <w:highlight w:val="none"/>
        </w:rPr>
        <w:t>根据《水土流失危险程度分级标准》（SL718-2015），柳江区所辖乡镇不存在水土流失危险程度重度以上面积占划分单元总土地面积30%以上的区域。</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3 \* GB3 </w:instrText>
      </w:r>
      <w:r>
        <w:rPr>
          <w:rFonts w:cs="Times New Roman"/>
          <w:color w:val="auto"/>
          <w:highlight w:val="none"/>
        </w:rPr>
        <w:fldChar w:fldCharType="separate"/>
      </w:r>
      <w:r>
        <w:rPr>
          <w:rFonts w:hint="eastAsia" w:ascii="宋体" w:hAnsi="宋体" w:eastAsia="宋体" w:cs="宋体"/>
          <w:color w:val="auto"/>
          <w:highlight w:val="none"/>
        </w:rPr>
        <w:t>③</w:t>
      </w:r>
      <w:r>
        <w:rPr>
          <w:rFonts w:cs="Times New Roman"/>
          <w:color w:val="auto"/>
          <w:highlight w:val="none"/>
        </w:rPr>
        <w:fldChar w:fldCharType="end"/>
      </w:r>
      <w:r>
        <w:rPr>
          <w:rFonts w:cs="Times New Roman"/>
          <w:color w:val="auto"/>
          <w:highlight w:val="none"/>
        </w:rPr>
        <w:t>禁止开发区、限制开发区</w:t>
      </w:r>
    </w:p>
    <w:p>
      <w:pPr>
        <w:ind w:firstLineChars="0"/>
        <w:rPr>
          <w:rFonts w:cs="Times New Roman"/>
          <w:color w:val="auto"/>
          <w:highlight w:val="none"/>
        </w:rPr>
      </w:pPr>
      <w:r>
        <w:rPr>
          <w:rFonts w:cs="Times New Roman"/>
          <w:color w:val="auto"/>
          <w:highlight w:val="none"/>
        </w:rPr>
        <w:t>根据《广西壮族自治区主体功能区规划》和《柳州市城市总体规划》，柳江区全</w:t>
      </w:r>
      <w:r>
        <w:rPr>
          <w:rFonts w:hint="eastAsia" w:cs="Times New Roman"/>
          <w:color w:val="auto"/>
          <w:highlight w:val="none"/>
          <w:lang w:val="en-US" w:eastAsia="zh-CN"/>
        </w:rPr>
        <w:t>区</w:t>
      </w:r>
      <w:r>
        <w:rPr>
          <w:rFonts w:cs="Times New Roman"/>
          <w:color w:val="auto"/>
          <w:highlight w:val="none"/>
        </w:rPr>
        <w:t>均属于广西壮族自治区重点开发区域，不涉及国家级、自治区级和柳州市级禁止开发区。</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4 \* GB3 </w:instrText>
      </w:r>
      <w:r>
        <w:rPr>
          <w:rFonts w:cs="Times New Roman"/>
          <w:color w:val="auto"/>
          <w:highlight w:val="none"/>
        </w:rPr>
        <w:fldChar w:fldCharType="separate"/>
      </w:r>
      <w:r>
        <w:rPr>
          <w:rFonts w:hint="eastAsia" w:ascii="宋体" w:hAnsi="宋体" w:eastAsia="宋体" w:cs="宋体"/>
          <w:color w:val="auto"/>
          <w:highlight w:val="none"/>
        </w:rPr>
        <w:t>④</w:t>
      </w:r>
      <w:r>
        <w:rPr>
          <w:rFonts w:cs="Times New Roman"/>
          <w:color w:val="auto"/>
          <w:highlight w:val="none"/>
        </w:rPr>
        <w:fldChar w:fldCharType="end"/>
      </w:r>
      <w:r>
        <w:rPr>
          <w:rFonts w:cs="Times New Roman"/>
          <w:color w:val="auto"/>
          <w:highlight w:val="none"/>
        </w:rPr>
        <w:t>重要江河源头区</w:t>
      </w:r>
    </w:p>
    <w:p>
      <w:pPr>
        <w:rPr>
          <w:rFonts w:cs="Times New Roman"/>
          <w:color w:val="auto"/>
          <w:highlight w:val="none"/>
        </w:rPr>
      </w:pPr>
      <w:r>
        <w:rPr>
          <w:rFonts w:cs="Times New Roman"/>
          <w:color w:val="auto"/>
          <w:highlight w:val="none"/>
        </w:rPr>
        <w:t>柳江区不涉及国家级水功能区。根据《广西水功能区划（修订）》，柳江区辖区仅涉及 1 个自治区级水功能区，即北之江柳江</w:t>
      </w:r>
      <w:r>
        <w:rPr>
          <w:rFonts w:hint="eastAsia" w:cs="Times New Roman"/>
          <w:color w:val="auto"/>
          <w:highlight w:val="none"/>
          <w:lang w:eastAsia="zh-CN"/>
        </w:rPr>
        <w:t>－</w:t>
      </w:r>
      <w:r>
        <w:rPr>
          <w:rFonts w:cs="Times New Roman"/>
          <w:color w:val="auto"/>
          <w:highlight w:val="none"/>
        </w:rPr>
        <w:t>忻城源头水保护区。境内长度约为21.0千米，境内保护区面积约有2.10平方公里。</w:t>
      </w:r>
    </w:p>
    <w:p>
      <w:pPr>
        <w:rPr>
          <w:rFonts w:hint="default" w:eastAsia="仿宋" w:cs="Times New Roman"/>
          <w:color w:val="auto"/>
          <w:highlight w:val="none"/>
          <w:lang w:val="en-US" w:eastAsia="zh-CN"/>
        </w:rPr>
      </w:pPr>
      <w:r>
        <w:rPr>
          <w:rFonts w:cs="Times New Roman"/>
          <w:color w:val="auto"/>
          <w:highlight w:val="none"/>
        </w:rPr>
        <w:fldChar w:fldCharType="begin"/>
      </w:r>
      <w:r>
        <w:rPr>
          <w:rFonts w:cs="Times New Roman"/>
          <w:color w:val="auto"/>
          <w:highlight w:val="none"/>
        </w:rPr>
        <w:instrText xml:space="preserve"> = 5 \* GB3 </w:instrText>
      </w:r>
      <w:r>
        <w:rPr>
          <w:rFonts w:cs="Times New Roman"/>
          <w:color w:val="auto"/>
          <w:highlight w:val="none"/>
        </w:rPr>
        <w:fldChar w:fldCharType="separate"/>
      </w:r>
      <w:r>
        <w:rPr>
          <w:rFonts w:hint="eastAsia" w:ascii="宋体" w:hAnsi="宋体" w:eastAsia="宋体" w:cs="宋体"/>
          <w:color w:val="auto"/>
          <w:highlight w:val="none"/>
        </w:rPr>
        <w:t>⑤</w:t>
      </w:r>
      <w:r>
        <w:rPr>
          <w:rFonts w:cs="Times New Roman"/>
          <w:color w:val="auto"/>
          <w:highlight w:val="none"/>
        </w:rPr>
        <w:fldChar w:fldCharType="end"/>
      </w:r>
      <w:r>
        <w:rPr>
          <w:rFonts w:cs="Times New Roman"/>
          <w:color w:val="auto"/>
          <w:highlight w:val="none"/>
        </w:rPr>
        <w:t>风景名胜区、自然保护区、森林公园</w:t>
      </w:r>
      <w:r>
        <w:rPr>
          <w:rFonts w:hint="eastAsia" w:cs="Times New Roman"/>
          <w:color w:val="auto"/>
          <w:highlight w:val="none"/>
          <w:lang w:eastAsia="zh-CN"/>
        </w:rPr>
        <w:t>、</w:t>
      </w:r>
      <w:r>
        <w:rPr>
          <w:rFonts w:hint="eastAsia" w:cs="Times New Roman"/>
          <w:color w:val="auto"/>
          <w:highlight w:val="none"/>
          <w:lang w:val="en-US" w:eastAsia="zh-CN"/>
        </w:rPr>
        <w:t>湿地公园</w:t>
      </w:r>
    </w:p>
    <w:p>
      <w:pPr>
        <w:ind w:firstLineChars="0"/>
        <w:rPr>
          <w:rFonts w:hint="eastAsia" w:cs="Times New Roman"/>
          <w:color w:val="auto"/>
          <w:highlight w:val="none"/>
          <w:lang w:eastAsia="zh-CN"/>
        </w:rPr>
      </w:pPr>
      <w:r>
        <w:rPr>
          <w:rFonts w:cs="Times New Roman"/>
          <w:color w:val="auto"/>
          <w:highlight w:val="none"/>
        </w:rPr>
        <w:t>柳江区涉及</w:t>
      </w:r>
      <w:r>
        <w:rPr>
          <w:rFonts w:hint="eastAsia" w:cs="Times New Roman"/>
          <w:color w:val="auto"/>
          <w:highlight w:val="none"/>
          <w:lang w:val="en-US" w:eastAsia="zh-CN"/>
        </w:rPr>
        <w:t>1个湿地公园，岜公塘湿地公园，位于柳州市柳江区进德镇，占地1.07平方千米</w:t>
      </w:r>
      <w:r>
        <w:rPr>
          <w:rFonts w:cs="Times New Roman"/>
          <w:color w:val="auto"/>
          <w:highlight w:val="none"/>
        </w:rPr>
        <w:t>。</w:t>
      </w:r>
      <w:r>
        <w:rPr>
          <w:rFonts w:hint="eastAsia" w:cs="Times New Roman"/>
          <w:color w:val="auto"/>
          <w:highlight w:val="none"/>
          <w:lang w:val="en-US" w:eastAsia="zh-CN"/>
        </w:rPr>
        <w:t>拥有</w:t>
      </w:r>
      <w:r>
        <w:rPr>
          <w:rFonts w:hint="eastAsia" w:cs="Times New Roman"/>
          <w:color w:val="auto"/>
          <w:highlight w:val="none"/>
        </w:rPr>
        <w:t>4A级景区百朋荷苑景区</w:t>
      </w:r>
      <w:r>
        <w:rPr>
          <w:rFonts w:hint="eastAsia" w:cs="Times New Roman"/>
          <w:color w:val="auto"/>
          <w:highlight w:val="none"/>
          <w:lang w:eastAsia="zh-CN"/>
        </w:rPr>
        <w:t>，位于百朋镇怀洪村，</w:t>
      </w:r>
      <w:r>
        <w:rPr>
          <w:rFonts w:hint="eastAsia" w:cs="Times New Roman"/>
          <w:color w:val="auto"/>
          <w:highlight w:val="none"/>
        </w:rPr>
        <w:t>占地约0.79平方公里。古岭龙景区</w:t>
      </w:r>
      <w:r>
        <w:rPr>
          <w:rFonts w:hint="eastAsia" w:cs="Times New Roman"/>
          <w:color w:val="auto"/>
          <w:highlight w:val="none"/>
          <w:lang w:eastAsia="zh-CN"/>
        </w:rPr>
        <w:t>，位于穿山工业园，</w:t>
      </w:r>
      <w:r>
        <w:rPr>
          <w:rFonts w:hint="eastAsia" w:cs="Times New Roman"/>
          <w:color w:val="auto"/>
          <w:highlight w:val="none"/>
        </w:rPr>
        <w:t>占地0.</w:t>
      </w:r>
      <w:r>
        <w:rPr>
          <w:rFonts w:hint="eastAsia" w:cs="Times New Roman"/>
          <w:color w:val="auto"/>
          <w:highlight w:val="none"/>
          <w:lang w:val="en-US" w:eastAsia="zh-CN"/>
        </w:rPr>
        <w:t>13</w:t>
      </w:r>
      <w:r>
        <w:rPr>
          <w:rFonts w:hint="eastAsia" w:cs="Times New Roman"/>
          <w:color w:val="auto"/>
          <w:highlight w:val="none"/>
        </w:rPr>
        <w:t>平方公里。5星级乡村旅游区：羊占度假庄园（0.05平方公里）、晋航农业生态园（0.70平方公里）。4星级乡村旅游区：紫藤花农庄</w:t>
      </w:r>
      <w:r>
        <w:rPr>
          <w:rFonts w:hint="eastAsia" w:cs="Times New Roman"/>
          <w:color w:val="auto"/>
          <w:highlight w:val="none"/>
          <w:lang w:eastAsia="zh-CN"/>
        </w:rPr>
        <w:t>（</w:t>
      </w:r>
      <w:r>
        <w:rPr>
          <w:rFonts w:hint="eastAsia" w:cs="Times New Roman"/>
          <w:color w:val="auto"/>
          <w:highlight w:val="none"/>
          <w:lang w:val="en-US" w:eastAsia="zh-CN"/>
        </w:rPr>
        <w:t>0.04平方公里</w:t>
      </w:r>
      <w:r>
        <w:rPr>
          <w:rFonts w:hint="eastAsia" w:cs="Times New Roman"/>
          <w:color w:val="auto"/>
          <w:highlight w:val="none"/>
          <w:lang w:eastAsia="zh-CN"/>
        </w:rPr>
        <w:t>）</w:t>
      </w:r>
      <w:r>
        <w:rPr>
          <w:rFonts w:hint="eastAsia" w:cs="Times New Roman"/>
          <w:color w:val="auto"/>
          <w:highlight w:val="none"/>
        </w:rPr>
        <w:t>、和村庄园</w:t>
      </w:r>
      <w:r>
        <w:rPr>
          <w:rFonts w:hint="eastAsia" w:cs="Times New Roman"/>
          <w:color w:val="auto"/>
          <w:highlight w:val="none"/>
          <w:lang w:eastAsia="zh-CN"/>
        </w:rPr>
        <w:t>（</w:t>
      </w:r>
      <w:r>
        <w:rPr>
          <w:rFonts w:hint="eastAsia" w:cs="Times New Roman"/>
          <w:color w:val="auto"/>
          <w:highlight w:val="none"/>
          <w:lang w:val="en-US" w:eastAsia="zh-CN"/>
        </w:rPr>
        <w:t>0.07平方公里</w:t>
      </w:r>
      <w:r>
        <w:rPr>
          <w:rFonts w:hint="eastAsia" w:cs="Times New Roman"/>
          <w:color w:val="auto"/>
          <w:highlight w:val="none"/>
          <w:lang w:eastAsia="zh-CN"/>
        </w:rPr>
        <w:t>）。</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6 \* GB3 </w:instrText>
      </w:r>
      <w:r>
        <w:rPr>
          <w:rFonts w:cs="Times New Roman"/>
          <w:color w:val="auto"/>
          <w:highlight w:val="none"/>
        </w:rPr>
        <w:fldChar w:fldCharType="separate"/>
      </w:r>
      <w:r>
        <w:rPr>
          <w:rFonts w:hint="eastAsia" w:ascii="宋体" w:hAnsi="宋体" w:eastAsia="宋体" w:cs="宋体"/>
          <w:color w:val="auto"/>
          <w:highlight w:val="none"/>
        </w:rPr>
        <w:t>⑥</w:t>
      </w:r>
      <w:r>
        <w:rPr>
          <w:rFonts w:cs="Times New Roman"/>
          <w:color w:val="auto"/>
          <w:highlight w:val="none"/>
        </w:rPr>
        <w:fldChar w:fldCharType="end"/>
      </w:r>
      <w:r>
        <w:rPr>
          <w:rFonts w:cs="Times New Roman"/>
          <w:color w:val="auto"/>
          <w:highlight w:val="none"/>
        </w:rPr>
        <w:t>饮用水源地保护区</w:t>
      </w:r>
    </w:p>
    <w:p>
      <w:pPr>
        <w:ind w:firstLineChars="0"/>
        <w:rPr>
          <w:rFonts w:cs="Times New Roman"/>
          <w:color w:val="auto"/>
          <w:highlight w:val="none"/>
        </w:rPr>
      </w:pPr>
      <w:r>
        <w:rPr>
          <w:rFonts w:cs="Times New Roman"/>
          <w:color w:val="auto"/>
          <w:highlight w:val="none"/>
        </w:rPr>
        <w:t>《广西壮族自治区人民政府关于同意柳州市乡镇集中式饮用水水源保护区划定方案的批复》（桂政函〔20</w:t>
      </w:r>
      <w:r>
        <w:rPr>
          <w:rFonts w:hint="eastAsia" w:cs="Times New Roman"/>
          <w:color w:val="auto"/>
          <w:highlight w:val="none"/>
          <w:lang w:val="en-US" w:eastAsia="zh-CN"/>
        </w:rPr>
        <w:t>16</w:t>
      </w:r>
      <w:r>
        <w:rPr>
          <w:rFonts w:cs="Times New Roman"/>
          <w:color w:val="auto"/>
          <w:highlight w:val="none"/>
        </w:rPr>
        <w:t>〕266号）和《柳州市人民政府关于</w:t>
      </w:r>
      <w:r>
        <w:rPr>
          <w:rFonts w:hint="eastAsia" w:cs="Times New Roman"/>
          <w:color w:val="auto"/>
          <w:highlight w:val="none"/>
          <w:lang w:val="en-US" w:eastAsia="zh-CN"/>
        </w:rPr>
        <w:t>〈柳江区农村千人集中式饮用水水源保护区划定方案的批复〉</w:t>
      </w:r>
      <w:r>
        <w:rPr>
          <w:rFonts w:cs="Times New Roman"/>
          <w:color w:val="auto"/>
          <w:highlight w:val="none"/>
        </w:rPr>
        <w:t>》（柳政</w:t>
      </w:r>
      <w:r>
        <w:rPr>
          <w:rFonts w:hint="eastAsia" w:cs="Times New Roman"/>
          <w:color w:val="auto"/>
          <w:highlight w:val="none"/>
          <w:lang w:val="en-US" w:eastAsia="zh-CN"/>
        </w:rPr>
        <w:t>函</w:t>
      </w:r>
      <w:r>
        <w:rPr>
          <w:rFonts w:cs="Times New Roman"/>
          <w:color w:val="auto"/>
          <w:highlight w:val="none"/>
        </w:rPr>
        <w:t>〔20</w:t>
      </w:r>
      <w:r>
        <w:rPr>
          <w:rFonts w:hint="eastAsia" w:cs="Times New Roman"/>
          <w:color w:val="auto"/>
          <w:highlight w:val="none"/>
          <w:lang w:val="en-US" w:eastAsia="zh-CN"/>
        </w:rPr>
        <w:t>21</w:t>
      </w:r>
      <w:r>
        <w:rPr>
          <w:rFonts w:cs="Times New Roman"/>
          <w:color w:val="auto"/>
          <w:highlight w:val="none"/>
        </w:rPr>
        <w:t>〕</w:t>
      </w:r>
      <w:r>
        <w:rPr>
          <w:rFonts w:hint="eastAsia" w:cs="Times New Roman"/>
          <w:color w:val="auto"/>
          <w:highlight w:val="none"/>
          <w:lang w:val="en-US" w:eastAsia="zh-CN"/>
        </w:rPr>
        <w:t>665</w:t>
      </w:r>
      <w:r>
        <w:rPr>
          <w:rFonts w:cs="Times New Roman"/>
          <w:color w:val="auto"/>
          <w:highlight w:val="none"/>
        </w:rPr>
        <w:t>号）</w:t>
      </w:r>
      <w:r>
        <w:rPr>
          <w:rFonts w:hint="eastAsia" w:cs="Times New Roman"/>
          <w:color w:val="auto"/>
          <w:highlight w:val="none"/>
          <w:lang w:eastAsia="zh-CN"/>
        </w:rPr>
        <w:t>，</w:t>
      </w:r>
      <w:r>
        <w:rPr>
          <w:rFonts w:cs="Times New Roman"/>
          <w:color w:val="auto"/>
          <w:highlight w:val="none"/>
        </w:rPr>
        <w:t>柳江区现有已划定的饮用水水源地9处，总面积为29.746 km</w:t>
      </w:r>
      <w:r>
        <w:rPr>
          <w:rFonts w:cs="Times New Roman"/>
          <w:color w:val="auto"/>
          <w:highlight w:val="none"/>
          <w:vertAlign w:val="superscript"/>
        </w:rPr>
        <w:t>2</w:t>
      </w:r>
      <w:r>
        <w:rPr>
          <w:rFonts w:cs="Times New Roman"/>
          <w:color w:val="auto"/>
          <w:highlight w:val="none"/>
        </w:rPr>
        <w:t>，其中乡镇饮用水水源地6处，总面积为27.776km</w:t>
      </w:r>
      <w:r>
        <w:rPr>
          <w:rFonts w:cs="Times New Roman"/>
          <w:color w:val="auto"/>
          <w:highlight w:val="none"/>
          <w:vertAlign w:val="superscript"/>
        </w:rPr>
        <w:t>2</w:t>
      </w:r>
      <w:r>
        <w:rPr>
          <w:rFonts w:cs="Times New Roman"/>
          <w:color w:val="auto"/>
          <w:highlight w:val="none"/>
        </w:rPr>
        <w:t>；农村集中式饮用水水源保护区3处，总面积为1.97km</w:t>
      </w:r>
      <w:r>
        <w:rPr>
          <w:rFonts w:cs="Times New Roman"/>
          <w:color w:val="auto"/>
          <w:highlight w:val="none"/>
          <w:vertAlign w:val="superscript"/>
        </w:rPr>
        <w:t>2</w:t>
      </w:r>
      <w:r>
        <w:rPr>
          <w:rFonts w:cs="Times New Roman"/>
          <w:color w:val="auto"/>
          <w:highlight w:val="none"/>
        </w:rPr>
        <w:t>；详见表5.2-1。</w:t>
      </w:r>
    </w:p>
    <w:p>
      <w:pPr>
        <w:autoSpaceDE w:val="0"/>
        <w:autoSpaceDN w:val="0"/>
        <w:ind w:firstLine="0" w:firstLineChars="0"/>
        <w:jc w:val="center"/>
        <w:rPr>
          <w:rFonts w:eastAsia="仿宋_GB2312" w:cs="Times New Roman"/>
          <w:b/>
          <w:color w:val="auto"/>
          <w:highlight w:val="none"/>
          <w:vertAlign w:val="superscript"/>
        </w:rPr>
      </w:pPr>
      <w:r>
        <w:rPr>
          <w:rFonts w:eastAsia="仿宋_GB2312" w:cs="Times New Roman"/>
          <w:b/>
          <w:color w:val="auto"/>
          <w:highlight w:val="none"/>
        </w:rPr>
        <w:t>表</w:t>
      </w:r>
      <w:r>
        <w:rPr>
          <w:rFonts w:hint="eastAsia" w:eastAsia="仿宋_GB2312" w:cs="Times New Roman"/>
          <w:b/>
          <w:color w:val="auto"/>
          <w:highlight w:val="none"/>
          <w:lang w:val="en-US" w:eastAsia="zh-CN"/>
        </w:rPr>
        <w:t>6</w:t>
      </w:r>
      <w:r>
        <w:rPr>
          <w:rFonts w:eastAsia="仿宋_GB2312" w:cs="Times New Roman"/>
          <w:b/>
          <w:color w:val="auto"/>
          <w:highlight w:val="none"/>
        </w:rPr>
        <w:t>.</w:t>
      </w:r>
      <w:r>
        <w:rPr>
          <w:rFonts w:hint="eastAsia" w:eastAsia="仿宋_GB2312" w:cs="Times New Roman"/>
          <w:b/>
          <w:color w:val="auto"/>
          <w:highlight w:val="none"/>
          <w:lang w:val="en-US" w:eastAsia="zh-CN"/>
        </w:rPr>
        <w:t>1</w:t>
      </w:r>
      <w:r>
        <w:rPr>
          <w:rFonts w:eastAsia="仿宋_GB2312" w:cs="Times New Roman"/>
          <w:b/>
          <w:color w:val="auto"/>
          <w:highlight w:val="none"/>
        </w:rPr>
        <w:t>-1   柳江区饮用水源保护区情况表单位：km</w:t>
      </w:r>
      <w:r>
        <w:rPr>
          <w:rFonts w:eastAsia="仿宋_GB2312" w:cs="Times New Roman"/>
          <w:b/>
          <w:color w:val="auto"/>
          <w:highlight w:val="none"/>
          <w:vertAlign w:val="superscript"/>
        </w:rPr>
        <w:t>2</w:t>
      </w:r>
    </w:p>
    <w:tbl>
      <w:tblPr>
        <w:tblStyle w:val="30"/>
        <w:tblW w:w="8528" w:type="dxa"/>
        <w:tblInd w:w="0" w:type="dxa"/>
        <w:tblLayout w:type="fixed"/>
        <w:tblCellMar>
          <w:top w:w="0" w:type="dxa"/>
          <w:left w:w="108" w:type="dxa"/>
          <w:bottom w:w="0" w:type="dxa"/>
          <w:right w:w="108" w:type="dxa"/>
        </w:tblCellMar>
      </w:tblPr>
      <w:tblGrid>
        <w:gridCol w:w="1384"/>
        <w:gridCol w:w="3402"/>
        <w:gridCol w:w="1418"/>
        <w:gridCol w:w="992"/>
        <w:gridCol w:w="1332"/>
      </w:tblGrid>
      <w:tr>
        <w:tblPrEx>
          <w:tblLayout w:type="fixed"/>
          <w:tblCellMar>
            <w:top w:w="0" w:type="dxa"/>
            <w:left w:w="108" w:type="dxa"/>
            <w:bottom w:w="0" w:type="dxa"/>
            <w:right w:w="108" w:type="dxa"/>
          </w:tblCellMar>
        </w:tblPrEx>
        <w:trPr>
          <w:trHeight w:val="941" w:hRule="exac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类型</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水源地名称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水源地批复使用状态</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水源地类型</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一级、二级及准保护区面积（km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r>
      <w:tr>
        <w:tblPrEx>
          <w:tblLayout w:type="fixed"/>
          <w:tblCellMar>
            <w:top w:w="0" w:type="dxa"/>
            <w:left w:w="108" w:type="dxa"/>
            <w:bottom w:w="0" w:type="dxa"/>
            <w:right w:w="108" w:type="dxa"/>
          </w:tblCellMar>
        </w:tblPrEx>
        <w:trPr>
          <w:trHeight w:val="567" w:hRule="exact"/>
        </w:trPr>
        <w:tc>
          <w:tcPr>
            <w:tcW w:w="1384" w:type="dxa"/>
            <w:vMerge w:val="restart"/>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乡镇集中式饮用水水源保护区</w:t>
            </w: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百朋镇百朋水厂水源地</w:t>
            </w:r>
          </w:p>
        </w:tc>
        <w:tc>
          <w:tcPr>
            <w:tcW w:w="14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r>
      <w:tr>
        <w:tblPrEx>
          <w:tblLayout w:type="fixed"/>
          <w:tblCellMar>
            <w:top w:w="0" w:type="dxa"/>
            <w:left w:w="108" w:type="dxa"/>
            <w:bottom w:w="0" w:type="dxa"/>
            <w:right w:w="108" w:type="dxa"/>
          </w:tblCellMar>
        </w:tblPrEx>
        <w:trPr>
          <w:trHeight w:val="567" w:hRule="exact"/>
        </w:trPr>
        <w:tc>
          <w:tcPr>
            <w:tcW w:w="138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成团镇北弓水厂水源地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湖库</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r>
      <w:tr>
        <w:tblPrEx>
          <w:tblLayout w:type="fixed"/>
          <w:tblCellMar>
            <w:top w:w="0" w:type="dxa"/>
            <w:left w:w="108" w:type="dxa"/>
            <w:bottom w:w="0" w:type="dxa"/>
            <w:right w:w="108" w:type="dxa"/>
          </w:tblCellMar>
        </w:tblPrEx>
        <w:trPr>
          <w:trHeight w:val="567" w:hRule="exact"/>
        </w:trPr>
        <w:tc>
          <w:tcPr>
            <w:tcW w:w="138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三都镇三都水厂水源地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r>
      <w:tr>
        <w:tblPrEx>
          <w:tblLayout w:type="fixed"/>
          <w:tblCellMar>
            <w:top w:w="0" w:type="dxa"/>
            <w:left w:w="108" w:type="dxa"/>
            <w:bottom w:w="0" w:type="dxa"/>
            <w:right w:w="108" w:type="dxa"/>
          </w:tblCellMar>
        </w:tblPrEx>
        <w:trPr>
          <w:trHeight w:val="567" w:hRule="exact"/>
        </w:trPr>
        <w:tc>
          <w:tcPr>
            <w:tcW w:w="138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里高镇里高水厂水源地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r>
      <w:tr>
        <w:tblPrEx>
          <w:tblLayout w:type="fixed"/>
          <w:tblCellMar>
            <w:top w:w="0" w:type="dxa"/>
            <w:left w:w="108" w:type="dxa"/>
            <w:bottom w:w="0" w:type="dxa"/>
            <w:right w:w="108" w:type="dxa"/>
          </w:tblCellMar>
        </w:tblPrEx>
        <w:trPr>
          <w:trHeight w:val="567" w:hRule="exact"/>
        </w:trPr>
        <w:tc>
          <w:tcPr>
            <w:tcW w:w="138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穿山镇雄良水厂水源地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5.617</w:t>
            </w:r>
          </w:p>
        </w:tc>
      </w:tr>
      <w:tr>
        <w:tblPrEx>
          <w:tblLayout w:type="fixed"/>
          <w:tblCellMar>
            <w:top w:w="0" w:type="dxa"/>
            <w:left w:w="108" w:type="dxa"/>
            <w:bottom w:w="0" w:type="dxa"/>
            <w:right w:w="108" w:type="dxa"/>
          </w:tblCellMar>
        </w:tblPrEx>
        <w:trPr>
          <w:trHeight w:val="567" w:hRule="exact"/>
        </w:trPr>
        <w:tc>
          <w:tcPr>
            <w:tcW w:w="138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土博镇土博水厂水源地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r>
      <w:tr>
        <w:tblPrEx>
          <w:tblLayout w:type="fixed"/>
          <w:tblCellMar>
            <w:top w:w="0" w:type="dxa"/>
            <w:left w:w="108" w:type="dxa"/>
            <w:bottom w:w="0" w:type="dxa"/>
            <w:right w:w="108" w:type="dxa"/>
          </w:tblCellMar>
        </w:tblPrEx>
        <w:trPr>
          <w:trHeight w:val="567" w:hRule="exact"/>
        </w:trPr>
        <w:tc>
          <w:tcPr>
            <w:tcW w:w="1384" w:type="dxa"/>
            <w:vMerge w:val="restart"/>
            <w:tcBorders>
              <w:top w:val="nil"/>
              <w:left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农村集中式饮用水水源保护区</w:t>
            </w: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穿山镇思荣村思炉屯水源地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r>
      <w:tr>
        <w:tblPrEx>
          <w:tblLayout w:type="fixed"/>
          <w:tblCellMar>
            <w:top w:w="0" w:type="dxa"/>
            <w:left w:w="108" w:type="dxa"/>
            <w:bottom w:w="0" w:type="dxa"/>
            <w:right w:w="108" w:type="dxa"/>
          </w:tblCellMar>
        </w:tblPrEx>
        <w:trPr>
          <w:trHeight w:val="567" w:hRule="exact"/>
        </w:trPr>
        <w:tc>
          <w:tcPr>
            <w:tcW w:w="1384" w:type="dxa"/>
            <w:vMerge w:val="continue"/>
            <w:tcBorders>
              <w:left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穿山镇竹山村竹山屯水源地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r>
      <w:tr>
        <w:tblPrEx>
          <w:tblLayout w:type="fixed"/>
          <w:tblCellMar>
            <w:top w:w="0" w:type="dxa"/>
            <w:left w:w="108" w:type="dxa"/>
            <w:bottom w:w="0" w:type="dxa"/>
            <w:right w:w="108" w:type="dxa"/>
          </w:tblCellMar>
        </w:tblPrEx>
        <w:trPr>
          <w:trHeight w:val="567" w:hRule="exact"/>
        </w:trPr>
        <w:tc>
          <w:tcPr>
            <w:tcW w:w="1384" w:type="dxa"/>
            <w:vMerge w:val="continue"/>
            <w:tcBorders>
              <w:left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40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穿山镇龙平村弓村屯水源地</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现用</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地下水</w:t>
            </w:r>
          </w:p>
        </w:tc>
        <w:tc>
          <w:tcPr>
            <w:tcW w:w="133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r>
      <w:tr>
        <w:tblPrEx>
          <w:tblLayout w:type="fixed"/>
          <w:tblCellMar>
            <w:top w:w="0" w:type="dxa"/>
            <w:left w:w="108" w:type="dxa"/>
            <w:bottom w:w="0" w:type="dxa"/>
            <w:right w:w="108" w:type="dxa"/>
          </w:tblCellMar>
        </w:tblPrEx>
        <w:trPr>
          <w:trHeight w:val="397" w:hRule="exact"/>
        </w:trPr>
        <w:tc>
          <w:tcPr>
            <w:tcW w:w="47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332"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29.746</w:t>
            </w:r>
          </w:p>
        </w:tc>
      </w:tr>
    </w:tbl>
    <w:p>
      <w:pPr>
        <w:ind w:firstLineChars="0"/>
        <w:rPr>
          <w:rFonts w:cs="Times New Roman"/>
          <w:color w:val="auto"/>
          <w:highlight w:val="none"/>
        </w:rPr>
      </w:pPr>
      <w:r>
        <w:rPr>
          <w:rFonts w:cs="Times New Roman"/>
          <w:color w:val="auto"/>
          <w:highlight w:val="none"/>
        </w:rPr>
        <w:br w:type="page"/>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7 \* GB3 </w:instrText>
      </w:r>
      <w:r>
        <w:rPr>
          <w:rFonts w:cs="Times New Roman"/>
          <w:color w:val="auto"/>
          <w:highlight w:val="none"/>
        </w:rPr>
        <w:fldChar w:fldCharType="separate"/>
      </w:r>
      <w:r>
        <w:rPr>
          <w:rFonts w:hint="eastAsia" w:ascii="宋体" w:hAnsi="宋体" w:eastAsia="宋体" w:cs="宋体"/>
          <w:color w:val="auto"/>
          <w:highlight w:val="none"/>
        </w:rPr>
        <w:t>⑦</w:t>
      </w:r>
      <w:r>
        <w:rPr>
          <w:rFonts w:cs="Times New Roman"/>
          <w:color w:val="auto"/>
          <w:highlight w:val="none"/>
        </w:rPr>
        <w:fldChar w:fldCharType="end"/>
      </w:r>
      <w:r>
        <w:rPr>
          <w:rFonts w:cs="Times New Roman"/>
          <w:color w:val="auto"/>
          <w:highlight w:val="none"/>
        </w:rPr>
        <w:t>崩塌、滑坡危险区、泥石流易发区</w:t>
      </w:r>
    </w:p>
    <w:p>
      <w:pPr>
        <w:rPr>
          <w:rFonts w:cs="Times New Roman"/>
          <w:color w:val="auto"/>
          <w:highlight w:val="none"/>
        </w:rPr>
      </w:pPr>
      <w:r>
        <w:rPr>
          <w:rFonts w:cs="Times New Roman"/>
          <w:color w:val="auto"/>
          <w:highlight w:val="none"/>
        </w:rPr>
        <w:t>根据《广西壮族自治区2022年度地质灾害防治方案》，柳南区流山镇、洛满镇、太阳村镇南部及柳江区里高镇、三都镇、成团镇、百朋镇、拉堡镇、进德镇一带属于滑坡、崩塌、危岩、岩溶塌陷地质灾害中风险区，柳江区土博镇梅里村甘梅屯属于崩塌危害隐患点。</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8 \* GB3 </w:instrText>
      </w:r>
      <w:r>
        <w:rPr>
          <w:rFonts w:cs="Times New Roman"/>
          <w:color w:val="auto"/>
          <w:highlight w:val="none"/>
        </w:rPr>
        <w:fldChar w:fldCharType="separate"/>
      </w:r>
      <w:r>
        <w:rPr>
          <w:rFonts w:hint="eastAsia" w:ascii="宋体" w:hAnsi="宋体" w:eastAsia="宋体" w:cs="宋体"/>
          <w:color w:val="auto"/>
          <w:highlight w:val="none"/>
        </w:rPr>
        <w:t>⑧</w:t>
      </w:r>
      <w:r>
        <w:rPr>
          <w:rFonts w:cs="Times New Roman"/>
          <w:color w:val="auto"/>
          <w:highlight w:val="none"/>
        </w:rPr>
        <w:fldChar w:fldCharType="end"/>
      </w:r>
      <w:r>
        <w:rPr>
          <w:rFonts w:cs="Times New Roman"/>
          <w:color w:val="auto"/>
          <w:highlight w:val="none"/>
        </w:rPr>
        <w:t>水土流失易发区</w:t>
      </w:r>
    </w:p>
    <w:p>
      <w:pPr>
        <w:rPr>
          <w:rFonts w:cs="Times New Roman"/>
          <w:color w:val="auto"/>
          <w:kern w:val="0"/>
          <w:szCs w:val="21"/>
          <w:highlight w:val="none"/>
        </w:rPr>
      </w:pPr>
      <w:r>
        <w:rPr>
          <w:rFonts w:cs="Times New Roman"/>
          <w:color w:val="auto"/>
          <w:kern w:val="0"/>
          <w:szCs w:val="21"/>
          <w:highlight w:val="none"/>
        </w:rPr>
        <w:t>参照《全国水土保持规划（2015</w:t>
      </w:r>
      <w:r>
        <w:rPr>
          <w:rFonts w:hint="eastAsia" w:cs="Times New Roman"/>
          <w:color w:val="auto"/>
          <w:kern w:val="0"/>
          <w:szCs w:val="21"/>
          <w:highlight w:val="none"/>
          <w:lang w:eastAsia="zh-CN"/>
        </w:rPr>
        <w:t>—</w:t>
      </w:r>
      <w:r>
        <w:rPr>
          <w:rFonts w:cs="Times New Roman"/>
          <w:color w:val="auto"/>
          <w:kern w:val="0"/>
          <w:szCs w:val="21"/>
          <w:highlight w:val="none"/>
        </w:rPr>
        <w:t>2030年）</w:t>
      </w:r>
      <w:r>
        <w:rPr>
          <w:rFonts w:hint="eastAsia" w:cs="Times New Roman"/>
          <w:color w:val="auto"/>
          <w:kern w:val="0"/>
          <w:szCs w:val="21"/>
          <w:highlight w:val="none"/>
          <w:lang w:eastAsia="zh-CN"/>
        </w:rPr>
        <w:t>》《</w:t>
      </w:r>
      <w:r>
        <w:rPr>
          <w:rFonts w:cs="Times New Roman"/>
          <w:color w:val="auto"/>
          <w:kern w:val="0"/>
          <w:szCs w:val="21"/>
          <w:highlight w:val="none"/>
        </w:rPr>
        <w:t>广西水土保持规划（2016-2030 年）》中水土流失易发区的划定条件，确定柳江区水土流失易发区主要位于山区、丘陵区和其他以下区域：</w:t>
      </w:r>
      <w:r>
        <w:rPr>
          <w:rFonts w:hint="eastAsia" w:ascii="宋体" w:hAnsi="宋体" w:eastAsia="宋体" w:cs="宋体"/>
          <w:color w:val="auto"/>
          <w:kern w:val="0"/>
          <w:szCs w:val="21"/>
          <w:highlight w:val="none"/>
        </w:rPr>
        <w:t>①</w:t>
      </w:r>
      <w:r>
        <w:rPr>
          <w:rFonts w:cs="Times New Roman"/>
          <w:color w:val="auto"/>
          <w:kern w:val="0"/>
          <w:szCs w:val="21"/>
          <w:highlight w:val="none"/>
        </w:rPr>
        <w:t>年均降水量大于500mm，一定范围内地形起伏度大于10m的区域；</w:t>
      </w:r>
      <w:r>
        <w:rPr>
          <w:rFonts w:hint="eastAsia" w:ascii="宋体" w:hAnsi="宋体" w:eastAsia="宋体" w:cs="宋体"/>
          <w:color w:val="auto"/>
          <w:kern w:val="0"/>
          <w:szCs w:val="21"/>
          <w:highlight w:val="none"/>
        </w:rPr>
        <w:t>②</w:t>
      </w:r>
      <w:r>
        <w:rPr>
          <w:rFonts w:cs="Times New Roman"/>
          <w:color w:val="auto"/>
          <w:kern w:val="0"/>
          <w:szCs w:val="21"/>
          <w:highlight w:val="none"/>
        </w:rPr>
        <w:t>土质疏松，人为扰动后易产生水土流失的区域；</w:t>
      </w:r>
      <w:r>
        <w:rPr>
          <w:rFonts w:hint="eastAsia" w:ascii="宋体" w:hAnsi="宋体" w:eastAsia="宋体" w:cs="宋体"/>
          <w:color w:val="auto"/>
          <w:kern w:val="0"/>
          <w:szCs w:val="21"/>
          <w:highlight w:val="none"/>
        </w:rPr>
        <w:t>③</w:t>
      </w:r>
      <w:r>
        <w:rPr>
          <w:rFonts w:cs="Times New Roman"/>
          <w:color w:val="auto"/>
          <w:kern w:val="0"/>
          <w:szCs w:val="21"/>
          <w:highlight w:val="none"/>
        </w:rPr>
        <w:t>植被水土保持功能差，郁闭度较低的区域。根据以上划定条件，对柳江区降雨、地形、土壤、植被等影响水土流失发生和发展的因素进行分析，对照水土流失易发区的划定条件，分析确定柳江区全部区域都属于水土流失易发区，具体分析详见表5.2-2。</w:t>
      </w:r>
    </w:p>
    <w:p>
      <w:pPr>
        <w:ind w:firstLine="562"/>
        <w:jc w:val="center"/>
        <w:rPr>
          <w:rFonts w:eastAsia="仿宋_GB2312" w:cs="Times New Roman"/>
          <w:b/>
          <w:color w:val="auto"/>
          <w:highlight w:val="none"/>
        </w:rPr>
      </w:pPr>
      <w:r>
        <w:rPr>
          <w:rFonts w:eastAsia="仿宋_GB2312" w:cs="Times New Roman"/>
          <w:b/>
          <w:color w:val="auto"/>
          <w:highlight w:val="none"/>
        </w:rPr>
        <w:t>表</w:t>
      </w:r>
      <w:r>
        <w:rPr>
          <w:rFonts w:hint="eastAsia" w:eastAsia="仿宋_GB2312" w:cs="Times New Roman"/>
          <w:b/>
          <w:color w:val="auto"/>
          <w:highlight w:val="none"/>
          <w:lang w:val="en-US" w:eastAsia="zh-CN"/>
        </w:rPr>
        <w:t>6</w:t>
      </w:r>
      <w:r>
        <w:rPr>
          <w:rFonts w:eastAsia="仿宋_GB2312" w:cs="Times New Roman"/>
          <w:b/>
          <w:color w:val="auto"/>
          <w:highlight w:val="none"/>
        </w:rPr>
        <w:t>.</w:t>
      </w:r>
      <w:r>
        <w:rPr>
          <w:rFonts w:hint="eastAsia" w:eastAsia="仿宋_GB2312" w:cs="Times New Roman"/>
          <w:b/>
          <w:color w:val="auto"/>
          <w:highlight w:val="none"/>
          <w:lang w:val="en-US" w:eastAsia="zh-CN"/>
        </w:rPr>
        <w:t>1</w:t>
      </w:r>
      <w:r>
        <w:rPr>
          <w:rFonts w:eastAsia="仿宋_GB2312" w:cs="Times New Roman"/>
          <w:b/>
          <w:color w:val="auto"/>
          <w:highlight w:val="none"/>
        </w:rPr>
        <w:t>-2  其他水土流失易发区分析表</w:t>
      </w:r>
    </w:p>
    <w:tbl>
      <w:tblPr>
        <w:tblStyle w:val="30"/>
        <w:tblW w:w="8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5"/>
        <w:gridCol w:w="1993"/>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54" w:hRule="atLeast"/>
          <w:tblHeader/>
        </w:trPr>
        <w:tc>
          <w:tcPr>
            <w:tcW w:w="535" w:type="dxa"/>
            <w:vAlign w:val="center"/>
          </w:tcPr>
          <w:p>
            <w:pPr>
              <w:snapToGrid w:val="0"/>
              <w:spacing w:line="288" w:lineRule="auto"/>
              <w:ind w:firstLine="0" w:firstLineChars="0"/>
              <w:jc w:val="center"/>
              <w:rPr>
                <w:rFonts w:eastAsia="宋体" w:cs="Times New Roman"/>
                <w:b/>
                <w:color w:val="auto"/>
                <w:sz w:val="22"/>
                <w:szCs w:val="22"/>
                <w:highlight w:val="none"/>
              </w:rPr>
            </w:pPr>
            <w:r>
              <w:rPr>
                <w:rFonts w:eastAsia="宋体" w:cs="Times New Roman"/>
                <w:b/>
                <w:color w:val="auto"/>
                <w:sz w:val="22"/>
                <w:szCs w:val="22"/>
                <w:highlight w:val="none"/>
              </w:rPr>
              <w:t>序号</w:t>
            </w:r>
          </w:p>
        </w:tc>
        <w:tc>
          <w:tcPr>
            <w:tcW w:w="1993" w:type="dxa"/>
            <w:vAlign w:val="center"/>
          </w:tcPr>
          <w:p>
            <w:pPr>
              <w:snapToGrid w:val="0"/>
              <w:spacing w:line="288" w:lineRule="auto"/>
              <w:ind w:firstLine="0" w:firstLineChars="0"/>
              <w:jc w:val="center"/>
              <w:rPr>
                <w:rFonts w:eastAsia="宋体" w:cs="Times New Roman"/>
                <w:b/>
                <w:color w:val="auto"/>
                <w:sz w:val="22"/>
                <w:szCs w:val="22"/>
                <w:highlight w:val="none"/>
              </w:rPr>
            </w:pPr>
            <w:r>
              <w:rPr>
                <w:rFonts w:eastAsia="宋体" w:cs="Times New Roman"/>
                <w:b/>
                <w:color w:val="auto"/>
                <w:sz w:val="22"/>
                <w:szCs w:val="22"/>
                <w:highlight w:val="none"/>
              </w:rPr>
              <w:t>划定条件</w:t>
            </w:r>
          </w:p>
        </w:tc>
        <w:tc>
          <w:tcPr>
            <w:tcW w:w="5926" w:type="dxa"/>
            <w:vAlign w:val="center"/>
          </w:tcPr>
          <w:p>
            <w:pPr>
              <w:snapToGrid w:val="0"/>
              <w:spacing w:line="288" w:lineRule="auto"/>
              <w:ind w:firstLine="0" w:firstLineChars="0"/>
              <w:jc w:val="center"/>
              <w:rPr>
                <w:rFonts w:eastAsia="宋体" w:cs="Times New Roman"/>
                <w:b/>
                <w:color w:val="auto"/>
                <w:sz w:val="22"/>
                <w:szCs w:val="22"/>
                <w:highlight w:val="none"/>
              </w:rPr>
            </w:pPr>
            <w:r>
              <w:rPr>
                <w:rFonts w:eastAsia="宋体" w:cs="Times New Roman"/>
                <w:b/>
                <w:color w:val="auto"/>
                <w:sz w:val="22"/>
                <w:szCs w:val="22"/>
                <w:highlight w:val="none"/>
              </w:rPr>
              <w:t>符合条件区域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1233" w:hRule="atLeast"/>
        </w:trPr>
        <w:tc>
          <w:tcPr>
            <w:tcW w:w="535" w:type="dxa"/>
            <w:vAlign w:val="center"/>
          </w:tcPr>
          <w:p>
            <w:pPr>
              <w:snapToGrid w:val="0"/>
              <w:spacing w:line="288" w:lineRule="auto"/>
              <w:ind w:firstLine="0" w:firstLineChars="0"/>
              <w:jc w:val="center"/>
              <w:rPr>
                <w:rFonts w:eastAsia="宋体" w:cs="Times New Roman"/>
                <w:color w:val="auto"/>
                <w:sz w:val="22"/>
                <w:szCs w:val="22"/>
                <w:highlight w:val="none"/>
              </w:rPr>
            </w:pPr>
            <w:r>
              <w:rPr>
                <w:rFonts w:eastAsia="宋体" w:cs="Times New Roman"/>
                <w:color w:val="auto"/>
                <w:sz w:val="22"/>
                <w:szCs w:val="22"/>
                <w:highlight w:val="none"/>
              </w:rPr>
              <w:t>1</w:t>
            </w:r>
          </w:p>
        </w:tc>
        <w:tc>
          <w:tcPr>
            <w:tcW w:w="1993"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年均降水量大于500毫米，一定范围内地形起伏度大于10m的区域</w:t>
            </w:r>
          </w:p>
        </w:tc>
        <w:tc>
          <w:tcPr>
            <w:tcW w:w="5926"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柳江区年平均降雨量1424.7mm，地形起伏度均远大于10m，</w:t>
            </w:r>
            <w:r>
              <w:rPr>
                <w:rFonts w:eastAsia="宋体" w:cs="Times New Roman"/>
                <w:bCs/>
                <w:color w:val="auto"/>
                <w:sz w:val="22"/>
                <w:szCs w:val="22"/>
                <w:highlight w:val="none"/>
              </w:rPr>
              <w:t>为降雨径流的产生提供了有利条件和较大势能，柳江区各地径流侵蚀力较高，容易发生水土流失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982" w:hRule="atLeast"/>
        </w:trPr>
        <w:tc>
          <w:tcPr>
            <w:tcW w:w="535" w:type="dxa"/>
            <w:vAlign w:val="center"/>
          </w:tcPr>
          <w:p>
            <w:pPr>
              <w:snapToGrid w:val="0"/>
              <w:spacing w:line="288" w:lineRule="auto"/>
              <w:ind w:firstLine="0" w:firstLineChars="0"/>
              <w:jc w:val="center"/>
              <w:rPr>
                <w:rFonts w:eastAsia="宋体" w:cs="Times New Roman"/>
                <w:color w:val="auto"/>
                <w:sz w:val="22"/>
                <w:szCs w:val="22"/>
                <w:highlight w:val="none"/>
              </w:rPr>
            </w:pPr>
            <w:r>
              <w:rPr>
                <w:rFonts w:eastAsia="宋体" w:cs="Times New Roman"/>
                <w:color w:val="auto"/>
                <w:sz w:val="22"/>
                <w:szCs w:val="22"/>
                <w:highlight w:val="none"/>
              </w:rPr>
              <w:t>2</w:t>
            </w:r>
          </w:p>
        </w:tc>
        <w:tc>
          <w:tcPr>
            <w:tcW w:w="1993"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土质疏松，人为扰动后易产生水土流失的区域</w:t>
            </w:r>
          </w:p>
        </w:tc>
        <w:tc>
          <w:tcPr>
            <w:tcW w:w="5926"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柳江区广泛分布土壤结构松散，抗蚀性差的红壤，在高温多雨的作用下，容易产生沙粒化，受水力冲刷后，极易产生水土流失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1123" w:hRule="atLeast"/>
        </w:trPr>
        <w:tc>
          <w:tcPr>
            <w:tcW w:w="535" w:type="dxa"/>
            <w:vAlign w:val="center"/>
          </w:tcPr>
          <w:p>
            <w:pPr>
              <w:snapToGrid w:val="0"/>
              <w:spacing w:line="288" w:lineRule="auto"/>
              <w:ind w:firstLine="0" w:firstLineChars="0"/>
              <w:jc w:val="center"/>
              <w:rPr>
                <w:rFonts w:eastAsia="宋体" w:cs="Times New Roman"/>
                <w:color w:val="auto"/>
                <w:sz w:val="22"/>
                <w:szCs w:val="22"/>
                <w:highlight w:val="none"/>
              </w:rPr>
            </w:pPr>
            <w:r>
              <w:rPr>
                <w:rFonts w:eastAsia="宋体" w:cs="Times New Roman"/>
                <w:color w:val="auto"/>
                <w:sz w:val="22"/>
                <w:szCs w:val="22"/>
                <w:highlight w:val="none"/>
              </w:rPr>
              <w:t>3</w:t>
            </w:r>
          </w:p>
        </w:tc>
        <w:tc>
          <w:tcPr>
            <w:tcW w:w="1993"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植被水土保持功能差，郁闭度较低的区域</w:t>
            </w:r>
          </w:p>
        </w:tc>
        <w:tc>
          <w:tcPr>
            <w:tcW w:w="5926" w:type="dxa"/>
            <w:vAlign w:val="center"/>
          </w:tcPr>
          <w:p>
            <w:pPr>
              <w:snapToGrid w:val="0"/>
              <w:spacing w:line="288" w:lineRule="auto"/>
              <w:ind w:firstLine="0" w:firstLineChars="0"/>
              <w:jc w:val="left"/>
              <w:rPr>
                <w:rFonts w:eastAsia="宋体" w:cs="Times New Roman"/>
                <w:color w:val="auto"/>
                <w:sz w:val="22"/>
                <w:szCs w:val="22"/>
                <w:highlight w:val="none"/>
              </w:rPr>
            </w:pPr>
            <w:r>
              <w:rPr>
                <w:rFonts w:eastAsia="宋体" w:cs="Times New Roman"/>
                <w:color w:val="auto"/>
                <w:sz w:val="22"/>
                <w:szCs w:val="22"/>
                <w:highlight w:val="none"/>
              </w:rPr>
              <w:t>柳江区分布有一定数量的经济林，林种结构单一，纯林多、混交林少，水土保持功能低下，特别是大量人工速生桉在砍伐更新及幼林阶段，</w:t>
            </w:r>
            <w:r>
              <w:rPr>
                <w:rFonts w:eastAsia="宋体" w:cs="Times New Roman"/>
                <w:bCs/>
                <w:color w:val="auto"/>
                <w:sz w:val="22"/>
                <w:szCs w:val="22"/>
                <w:highlight w:val="none"/>
              </w:rPr>
              <w:t>地表经常处于裸露或半裸露状态，在雨水冲刷下极容易产生水土流失</w:t>
            </w:r>
          </w:p>
        </w:tc>
      </w:tr>
    </w:tbl>
    <w:p>
      <w:pPr>
        <w:pStyle w:val="4"/>
        <w:spacing w:before="156"/>
        <w:ind w:firstLine="562"/>
        <w:rPr>
          <w:color w:val="auto"/>
          <w:highlight w:val="none"/>
        </w:rPr>
      </w:pPr>
      <w:bookmarkStart w:id="325" w:name="_Toc119515895"/>
      <w:bookmarkStart w:id="326" w:name="_Toc16249"/>
      <w:bookmarkStart w:id="327" w:name="_Toc27050"/>
      <w:bookmarkStart w:id="328" w:name="_Toc18610"/>
      <w:r>
        <w:rPr>
          <w:color w:val="auto"/>
          <w:highlight w:val="none"/>
          <w:lang w:val="en-US"/>
        </w:rPr>
        <w:t>6.</w:t>
      </w:r>
      <w:r>
        <w:rPr>
          <w:color w:val="auto"/>
          <w:highlight w:val="none"/>
        </w:rPr>
        <w:t>1.2预防保护对象</w:t>
      </w:r>
      <w:bookmarkEnd w:id="325"/>
      <w:bookmarkEnd w:id="326"/>
      <w:bookmarkEnd w:id="327"/>
    </w:p>
    <w:p>
      <w:pPr>
        <w:rPr>
          <w:rFonts w:cs="Times New Roman"/>
          <w:color w:val="auto"/>
          <w:highlight w:val="none"/>
          <w:lang w:val="en-GB"/>
        </w:rPr>
      </w:pPr>
      <w:r>
        <w:rPr>
          <w:rFonts w:cs="Times New Roman"/>
          <w:color w:val="auto"/>
          <w:highlight w:val="none"/>
        </w:rPr>
        <w:t>预防保护对象为</w:t>
      </w:r>
      <w:r>
        <w:rPr>
          <w:rFonts w:cs="Times New Roman"/>
          <w:color w:val="auto"/>
          <w:highlight w:val="none"/>
          <w:lang w:val="en-GB"/>
        </w:rPr>
        <w:t>在预防范围内</w:t>
      </w:r>
      <w:r>
        <w:rPr>
          <w:rFonts w:cs="Times New Roman"/>
          <w:color w:val="auto"/>
          <w:highlight w:val="none"/>
        </w:rPr>
        <w:t>需要</w:t>
      </w:r>
      <w:r>
        <w:rPr>
          <w:rFonts w:cs="Times New Roman"/>
          <w:color w:val="auto"/>
          <w:highlight w:val="none"/>
          <w:lang w:val="en-GB"/>
        </w:rPr>
        <w:t>保护的林草植被、地面覆盖物、人工水土保持设施等，主要包括：</w:t>
      </w:r>
    </w:p>
    <w:p>
      <w:pPr>
        <w:rPr>
          <w:rFonts w:cs="Times New Roman"/>
          <w:color w:val="auto"/>
          <w:highlight w:val="none"/>
          <w:lang w:val="en-GB"/>
        </w:rPr>
      </w:pPr>
      <w:r>
        <w:rPr>
          <w:rFonts w:cs="Times New Roman"/>
          <w:color w:val="auto"/>
          <w:highlight w:val="none"/>
          <w:lang w:val="en-GB"/>
        </w:rPr>
        <w:t>（1）天然林、郁闭度高的人工林和覆盖度高的草地等林草植被；</w:t>
      </w:r>
    </w:p>
    <w:p>
      <w:pPr>
        <w:rPr>
          <w:rFonts w:cs="Times New Roman"/>
          <w:color w:val="auto"/>
          <w:highlight w:val="none"/>
          <w:lang w:val="en-GB"/>
        </w:rPr>
      </w:pPr>
      <w:r>
        <w:rPr>
          <w:rFonts w:cs="Times New Roman"/>
          <w:color w:val="auto"/>
          <w:highlight w:val="none"/>
          <w:lang w:val="en-GB"/>
        </w:rPr>
        <w:t>（2）植被和地形受人为破坏后，难以恢复和治理的地带；</w:t>
      </w:r>
    </w:p>
    <w:p>
      <w:pPr>
        <w:rPr>
          <w:rFonts w:cs="Times New Roman"/>
          <w:color w:val="auto"/>
          <w:highlight w:val="none"/>
          <w:lang w:val="en-GB"/>
        </w:rPr>
      </w:pPr>
      <w:r>
        <w:rPr>
          <w:rFonts w:cs="Times New Roman"/>
          <w:color w:val="auto"/>
          <w:highlight w:val="none"/>
          <w:lang w:val="en-GB"/>
        </w:rPr>
        <w:t>（3）水土流失严重、生态脆弱地带的植被；</w:t>
      </w:r>
    </w:p>
    <w:p>
      <w:pPr>
        <w:rPr>
          <w:rFonts w:cs="Times New Roman"/>
          <w:color w:val="auto"/>
          <w:highlight w:val="none"/>
          <w:lang w:val="en-GB"/>
        </w:rPr>
      </w:pPr>
      <w:r>
        <w:rPr>
          <w:rFonts w:cs="Times New Roman"/>
          <w:color w:val="auto"/>
          <w:highlight w:val="none"/>
          <w:lang w:val="en-GB"/>
        </w:rPr>
        <w:t>（</w:t>
      </w:r>
      <w:r>
        <w:rPr>
          <w:rFonts w:cs="Times New Roman"/>
          <w:color w:val="auto"/>
          <w:highlight w:val="none"/>
        </w:rPr>
        <w:t>4</w:t>
      </w:r>
      <w:r>
        <w:rPr>
          <w:rFonts w:cs="Times New Roman"/>
          <w:color w:val="auto"/>
          <w:highlight w:val="none"/>
          <w:lang w:val="en-GB"/>
        </w:rPr>
        <w:t>）侵蚀沟的沟坡和沟岸、</w:t>
      </w:r>
      <w:r>
        <w:rPr>
          <w:rFonts w:cs="Times New Roman"/>
          <w:color w:val="auto"/>
          <w:highlight w:val="none"/>
        </w:rPr>
        <w:t>重要饮用水水源地、</w:t>
      </w:r>
      <w:r>
        <w:rPr>
          <w:rFonts w:cs="Times New Roman"/>
          <w:color w:val="auto"/>
          <w:highlight w:val="none"/>
          <w:lang w:val="en-GB"/>
        </w:rPr>
        <w:t>河流的两岸、湖泊和水库周边的植被保护带；</w:t>
      </w:r>
    </w:p>
    <w:p>
      <w:pPr>
        <w:rPr>
          <w:rFonts w:cs="Times New Roman"/>
          <w:color w:val="auto"/>
          <w:highlight w:val="none"/>
          <w:lang w:val="en-GB"/>
        </w:rPr>
      </w:pPr>
      <w:r>
        <w:rPr>
          <w:rFonts w:cs="Times New Roman"/>
          <w:color w:val="auto"/>
          <w:highlight w:val="none"/>
          <w:lang w:val="en-GB"/>
        </w:rPr>
        <w:t>（</w:t>
      </w:r>
      <w:r>
        <w:rPr>
          <w:rFonts w:cs="Times New Roman"/>
          <w:color w:val="auto"/>
          <w:highlight w:val="none"/>
        </w:rPr>
        <w:t>5</w:t>
      </w:r>
      <w:r>
        <w:rPr>
          <w:rFonts w:cs="Times New Roman"/>
          <w:color w:val="auto"/>
          <w:highlight w:val="none"/>
          <w:lang w:val="en-GB"/>
        </w:rPr>
        <w:t>）</w:t>
      </w:r>
      <w:r>
        <w:rPr>
          <w:rFonts w:cs="Times New Roman"/>
          <w:color w:val="auto"/>
          <w:highlight w:val="none"/>
        </w:rPr>
        <w:t>水土流失综合防治成果等其他水土保持设施</w:t>
      </w:r>
      <w:r>
        <w:rPr>
          <w:rFonts w:cs="Times New Roman"/>
          <w:color w:val="auto"/>
          <w:highlight w:val="none"/>
          <w:lang w:val="en-GB"/>
        </w:rPr>
        <w:t>。</w:t>
      </w:r>
    </w:p>
    <w:p>
      <w:pPr>
        <w:pStyle w:val="4"/>
        <w:spacing w:before="156"/>
        <w:ind w:firstLine="562"/>
        <w:rPr>
          <w:color w:val="auto"/>
          <w:highlight w:val="none"/>
        </w:rPr>
      </w:pPr>
      <w:bookmarkStart w:id="329" w:name="_Toc5474"/>
      <w:bookmarkStart w:id="330" w:name="_Toc119515896"/>
      <w:r>
        <w:rPr>
          <w:color w:val="auto"/>
          <w:highlight w:val="none"/>
          <w:lang w:val="en-US"/>
        </w:rPr>
        <w:t>6.1.3</w:t>
      </w:r>
      <w:r>
        <w:rPr>
          <w:color w:val="auto"/>
          <w:highlight w:val="none"/>
        </w:rPr>
        <w:t>预防范围与规模</w:t>
      </w:r>
      <w:bookmarkEnd w:id="328"/>
      <w:bookmarkEnd w:id="329"/>
      <w:bookmarkEnd w:id="330"/>
    </w:p>
    <w:p>
      <w:pPr>
        <w:pStyle w:val="12"/>
        <w:ind w:firstLine="560"/>
        <w:rPr>
          <w:color w:val="auto"/>
          <w:szCs w:val="28"/>
          <w:highlight w:val="none"/>
          <w:lang w:val="en-US"/>
        </w:rPr>
      </w:pPr>
      <w:r>
        <w:rPr>
          <w:color w:val="auto"/>
          <w:szCs w:val="28"/>
          <w:highlight w:val="none"/>
          <w:lang w:val="en-US"/>
        </w:rPr>
        <w:t>根据《水土保持规划编制规范》（SL335-2014），县级水土保持规划预防范围应包括国家、流域和省级规划所涉及的预防范围以及县级人民政府划定并公告的崩塌、滑坡危险区和泥石流易发区，县城和乡镇饮用水水源保护区，小型侵蚀沟的沟坡和沟岸、主要河流的两岸以及小型湖泊和水库周边；不属于国家、省级水土流失重点预防县和水土流失重点治理县的，预防范围应包括县级水土流失重点预防区以及规划区内山区、丘陵区、风沙区以外的容易发生水土流失的其他区域。</w:t>
      </w:r>
    </w:p>
    <w:p>
      <w:pPr>
        <w:pStyle w:val="12"/>
        <w:ind w:firstLine="560"/>
        <w:rPr>
          <w:color w:val="auto"/>
          <w:szCs w:val="28"/>
          <w:highlight w:val="none"/>
        </w:rPr>
      </w:pPr>
      <w:r>
        <w:rPr>
          <w:color w:val="auto"/>
          <w:szCs w:val="28"/>
          <w:highlight w:val="none"/>
          <w:lang w:val="en-US"/>
        </w:rPr>
        <w:t>根据预防范围确定的原则以及柳江区的实际情况，柳江区预防保护的范围</w:t>
      </w:r>
      <w:r>
        <w:rPr>
          <w:color w:val="auto"/>
          <w:szCs w:val="28"/>
          <w:highlight w:val="none"/>
        </w:rPr>
        <w:t>为整个柳江区，在对全</w:t>
      </w:r>
      <w:r>
        <w:rPr>
          <w:rFonts w:hint="eastAsia" w:cs="Times New Roman"/>
          <w:color w:val="auto"/>
          <w:highlight w:val="none"/>
          <w:lang w:val="en-US" w:eastAsia="zh-CN"/>
        </w:rPr>
        <w:t>区</w:t>
      </w:r>
      <w:r>
        <w:rPr>
          <w:color w:val="auto"/>
          <w:szCs w:val="28"/>
          <w:highlight w:val="none"/>
        </w:rPr>
        <w:t>陡坡及荒坡垦殖、林木采伐、农林开发、取土采石等生产建设活动及生产建设项目采取综合监管、实施全面预防的基础上，重点推进崩塌、滑坡、泥石流易发区，饮用水水源保护区，</w:t>
      </w:r>
      <w:r>
        <w:rPr>
          <w:rFonts w:hint="eastAsia"/>
          <w:color w:val="auto"/>
          <w:szCs w:val="28"/>
          <w:highlight w:val="none"/>
          <w:lang w:val="en-US" w:eastAsia="zh-CN"/>
        </w:rPr>
        <w:t>风景名胜区、湿地公园、</w:t>
      </w:r>
      <w:r>
        <w:rPr>
          <w:color w:val="auto"/>
          <w:szCs w:val="28"/>
          <w:highlight w:val="none"/>
        </w:rPr>
        <w:t>湖泊和水库周边区域的预防和保护工作。</w:t>
      </w:r>
    </w:p>
    <w:p>
      <w:pPr>
        <w:pStyle w:val="12"/>
        <w:ind w:firstLine="560"/>
        <w:rPr>
          <w:color w:val="auto"/>
          <w:highlight w:val="none"/>
          <w:lang w:val="en-GB"/>
        </w:rPr>
      </w:pPr>
      <w:r>
        <w:rPr>
          <w:color w:val="auto"/>
          <w:szCs w:val="28"/>
          <w:highlight w:val="none"/>
          <w:lang w:val="en-GB"/>
        </w:rPr>
        <w:t>柳江区规划新增</w:t>
      </w:r>
      <w:r>
        <w:rPr>
          <w:color w:val="auto"/>
          <w:szCs w:val="28"/>
          <w:highlight w:val="none"/>
          <w:lang w:val="en-US"/>
        </w:rPr>
        <w:t>水土流失</w:t>
      </w:r>
      <w:r>
        <w:rPr>
          <w:color w:val="auto"/>
          <w:szCs w:val="28"/>
          <w:highlight w:val="none"/>
          <w:lang w:val="en-GB"/>
        </w:rPr>
        <w:t>预防保护面积</w:t>
      </w:r>
      <w:r>
        <w:rPr>
          <w:rFonts w:hint="eastAsia"/>
          <w:color w:val="auto"/>
          <w:szCs w:val="28"/>
          <w:highlight w:val="none"/>
          <w:lang w:val="en-US" w:eastAsia="zh-CN"/>
        </w:rPr>
        <w:t>56.50</w:t>
      </w:r>
      <w:r>
        <w:rPr>
          <w:color w:val="auto"/>
          <w:szCs w:val="28"/>
          <w:highlight w:val="none"/>
          <w:lang w:val="en-GB"/>
        </w:rPr>
        <w:t>km</w:t>
      </w:r>
      <w:r>
        <w:rPr>
          <w:color w:val="auto"/>
          <w:szCs w:val="28"/>
          <w:highlight w:val="none"/>
          <w:vertAlign w:val="superscript"/>
          <w:lang w:val="en-GB"/>
        </w:rPr>
        <w:t>2</w:t>
      </w:r>
      <w:r>
        <w:rPr>
          <w:color w:val="auto"/>
          <w:szCs w:val="28"/>
          <w:highlight w:val="none"/>
          <w:lang w:val="en-GB"/>
        </w:rPr>
        <w:t>。2022</w:t>
      </w:r>
      <w:r>
        <w:rPr>
          <w:rFonts w:hint="eastAsia"/>
          <w:color w:val="auto"/>
          <w:szCs w:val="28"/>
          <w:highlight w:val="none"/>
          <w:lang w:val="en-GB" w:eastAsia="zh-CN"/>
        </w:rPr>
        <w:t>—</w:t>
      </w:r>
      <w:r>
        <w:rPr>
          <w:color w:val="auto"/>
          <w:szCs w:val="28"/>
          <w:highlight w:val="none"/>
          <w:lang w:val="en-US"/>
        </w:rPr>
        <w:t>2025年，柳江区规划新增水土流失</w:t>
      </w:r>
      <w:r>
        <w:rPr>
          <w:color w:val="auto"/>
          <w:szCs w:val="28"/>
          <w:highlight w:val="none"/>
          <w:lang w:val="en-GB"/>
        </w:rPr>
        <w:t>预防保护面积</w:t>
      </w:r>
      <w:r>
        <w:rPr>
          <w:rFonts w:hint="eastAsia"/>
          <w:color w:val="auto"/>
          <w:szCs w:val="28"/>
          <w:highlight w:val="none"/>
          <w:lang w:val="en-US" w:eastAsia="zh-CN"/>
        </w:rPr>
        <w:t>24.65</w:t>
      </w:r>
      <w:r>
        <w:rPr>
          <w:color w:val="auto"/>
          <w:szCs w:val="28"/>
          <w:highlight w:val="none"/>
          <w:lang w:val="en-GB"/>
        </w:rPr>
        <w:t>km</w:t>
      </w:r>
      <w:r>
        <w:rPr>
          <w:color w:val="auto"/>
          <w:szCs w:val="28"/>
          <w:highlight w:val="none"/>
          <w:vertAlign w:val="superscript"/>
          <w:lang w:val="en-GB"/>
        </w:rPr>
        <w:t>2</w:t>
      </w:r>
      <w:r>
        <w:rPr>
          <w:color w:val="auto"/>
          <w:szCs w:val="28"/>
          <w:highlight w:val="none"/>
          <w:lang w:val="en-GB"/>
        </w:rPr>
        <w:t>，</w:t>
      </w:r>
      <w:r>
        <w:rPr>
          <w:rFonts w:cs="Times New Roman"/>
          <w:color w:val="auto"/>
          <w:highlight w:val="none"/>
        </w:rPr>
        <w:t>崩塌危害隐患点</w:t>
      </w:r>
      <w:r>
        <w:rPr>
          <w:rFonts w:hint="eastAsia" w:cs="Times New Roman"/>
          <w:color w:val="auto"/>
          <w:highlight w:val="none"/>
          <w:lang w:val="en-US" w:eastAsia="zh-CN"/>
        </w:rPr>
        <w:t>、湿地公园和旅游景区</w:t>
      </w:r>
      <w:r>
        <w:rPr>
          <w:rFonts w:cs="Times New Roman"/>
          <w:color w:val="auto"/>
          <w:highlight w:val="none"/>
        </w:rPr>
        <w:t>得到全面预防保护</w:t>
      </w:r>
      <w:r>
        <w:rPr>
          <w:color w:val="auto"/>
          <w:szCs w:val="28"/>
          <w:highlight w:val="none"/>
          <w:lang w:val="en-US"/>
        </w:rPr>
        <w:t>，使生态脆弱地区的水土流失有所减轻，防范地质灾</w:t>
      </w:r>
      <w:r>
        <w:rPr>
          <w:color w:val="auto"/>
          <w:szCs w:val="28"/>
          <w:highlight w:val="none"/>
          <w:lang w:val="en-GB"/>
        </w:rPr>
        <w:t>害的发生。2026</w:t>
      </w:r>
      <w:r>
        <w:rPr>
          <w:rFonts w:hint="eastAsia"/>
          <w:color w:val="auto"/>
          <w:szCs w:val="28"/>
          <w:highlight w:val="none"/>
          <w:lang w:val="en-GB" w:eastAsia="zh-CN"/>
        </w:rPr>
        <w:t>—</w:t>
      </w:r>
      <w:r>
        <w:rPr>
          <w:color w:val="auto"/>
          <w:szCs w:val="28"/>
          <w:highlight w:val="none"/>
          <w:lang w:val="en-GB"/>
        </w:rPr>
        <w:t>2030年，规划</w:t>
      </w:r>
      <w:r>
        <w:rPr>
          <w:color w:val="auto"/>
          <w:szCs w:val="28"/>
          <w:highlight w:val="none"/>
          <w:lang w:val="en-US"/>
        </w:rPr>
        <w:t>新增水土流失</w:t>
      </w:r>
      <w:r>
        <w:rPr>
          <w:color w:val="auto"/>
          <w:szCs w:val="28"/>
          <w:highlight w:val="none"/>
          <w:lang w:val="en-GB"/>
        </w:rPr>
        <w:t>预防保护面积</w:t>
      </w:r>
      <w:r>
        <w:rPr>
          <w:color w:val="auto"/>
          <w:szCs w:val="28"/>
          <w:highlight w:val="none"/>
          <w:lang w:val="en-US"/>
        </w:rPr>
        <w:t>31.85</w:t>
      </w:r>
      <w:r>
        <w:rPr>
          <w:color w:val="auto"/>
          <w:szCs w:val="28"/>
          <w:highlight w:val="none"/>
          <w:lang w:val="en-GB"/>
        </w:rPr>
        <w:t>km</w:t>
      </w:r>
      <w:r>
        <w:rPr>
          <w:color w:val="auto"/>
          <w:szCs w:val="28"/>
          <w:highlight w:val="none"/>
          <w:vertAlign w:val="superscript"/>
          <w:lang w:val="en-GB"/>
        </w:rPr>
        <w:t>2</w:t>
      </w:r>
      <w:r>
        <w:rPr>
          <w:color w:val="auto"/>
          <w:szCs w:val="28"/>
          <w:highlight w:val="none"/>
          <w:lang w:val="en-GB"/>
        </w:rPr>
        <w:t>，</w:t>
      </w:r>
      <w:r>
        <w:rPr>
          <w:rFonts w:cs="Times New Roman"/>
          <w:color w:val="auto"/>
          <w:highlight w:val="none"/>
          <w:lang w:val="en-GB"/>
        </w:rPr>
        <w:t>使</w:t>
      </w:r>
      <w:r>
        <w:rPr>
          <w:rFonts w:cs="Times New Roman"/>
          <w:color w:val="auto"/>
          <w:highlight w:val="none"/>
        </w:rPr>
        <w:t>饮用</w:t>
      </w:r>
      <w:r>
        <w:rPr>
          <w:rFonts w:cs="Times New Roman"/>
          <w:color w:val="auto"/>
          <w:highlight w:val="none"/>
          <w:lang w:val="en-GB"/>
        </w:rPr>
        <w:t>水</w:t>
      </w:r>
      <w:r>
        <w:rPr>
          <w:rFonts w:cs="Times New Roman"/>
          <w:color w:val="auto"/>
          <w:highlight w:val="none"/>
        </w:rPr>
        <w:t>水源地、重要江河源头保护区</w:t>
      </w:r>
      <w:r>
        <w:rPr>
          <w:rFonts w:cs="Times New Roman"/>
          <w:color w:val="auto"/>
          <w:highlight w:val="none"/>
          <w:lang w:val="en-GB"/>
        </w:rPr>
        <w:t>水质有所改善，重要</w:t>
      </w:r>
      <w:r>
        <w:rPr>
          <w:rFonts w:cs="Times New Roman"/>
          <w:color w:val="auto"/>
          <w:highlight w:val="none"/>
        </w:rPr>
        <w:t>生态敏感区的</w:t>
      </w:r>
      <w:r>
        <w:rPr>
          <w:rFonts w:cs="Times New Roman"/>
          <w:color w:val="auto"/>
          <w:highlight w:val="none"/>
          <w:lang w:val="en-GB"/>
        </w:rPr>
        <w:t>水土流失有所减轻。</w:t>
      </w:r>
      <w:r>
        <w:rPr>
          <w:color w:val="auto"/>
          <w:szCs w:val="28"/>
          <w:highlight w:val="none"/>
          <w:lang w:val="en-GB"/>
        </w:rPr>
        <w:t>具体</w:t>
      </w:r>
      <w:r>
        <w:rPr>
          <w:color w:val="auto"/>
          <w:szCs w:val="28"/>
          <w:highlight w:val="none"/>
        </w:rPr>
        <w:t>见表</w:t>
      </w:r>
      <w:r>
        <w:rPr>
          <w:color w:val="auto"/>
          <w:szCs w:val="28"/>
          <w:highlight w:val="none"/>
          <w:lang w:val="en-US"/>
        </w:rPr>
        <w:t>6.</w:t>
      </w:r>
      <w:r>
        <w:rPr>
          <w:color w:val="auto"/>
          <w:szCs w:val="28"/>
          <w:highlight w:val="none"/>
        </w:rPr>
        <w:t>1-</w:t>
      </w:r>
      <w:r>
        <w:rPr>
          <w:color w:val="auto"/>
          <w:szCs w:val="28"/>
          <w:highlight w:val="none"/>
          <w:lang w:val="en-US"/>
        </w:rPr>
        <w:t>1</w:t>
      </w:r>
      <w:r>
        <w:rPr>
          <w:color w:val="auto"/>
          <w:szCs w:val="28"/>
          <w:highlight w:val="none"/>
          <w:lang w:val="en-GB"/>
        </w:rPr>
        <w:t>。</w:t>
      </w:r>
    </w:p>
    <w:p>
      <w:pPr>
        <w:pStyle w:val="49"/>
        <w:spacing w:before="156"/>
        <w:ind w:firstLine="562"/>
        <w:rPr>
          <w:color w:val="auto"/>
          <w:highlight w:val="none"/>
        </w:rPr>
      </w:pPr>
      <w:r>
        <w:rPr>
          <w:color w:val="auto"/>
          <w:highlight w:val="none"/>
        </w:rPr>
        <w:t>表6.1-1    柳江区水土保持预防保护任务及规模</w:t>
      </w:r>
    </w:p>
    <w:p>
      <w:pPr>
        <w:pStyle w:val="49"/>
        <w:spacing w:before="156"/>
        <w:ind w:firstLine="562"/>
        <w:jc w:val="right"/>
        <w:rPr>
          <w:b w:val="0"/>
          <w:bCs/>
          <w:color w:val="auto"/>
          <w:sz w:val="21"/>
          <w:szCs w:val="21"/>
          <w:highlight w:val="none"/>
        </w:rPr>
      </w:pPr>
      <w:r>
        <w:rPr>
          <w:b w:val="0"/>
          <w:bCs/>
          <w:color w:val="auto"/>
          <w:sz w:val="21"/>
          <w:szCs w:val="21"/>
          <w:highlight w:val="none"/>
        </w:rPr>
        <w:t>单位：km</w:t>
      </w:r>
      <w:r>
        <w:rPr>
          <w:b w:val="0"/>
          <w:bCs/>
          <w:color w:val="auto"/>
          <w:sz w:val="21"/>
          <w:szCs w:val="21"/>
          <w:highlight w:val="none"/>
          <w:vertAlign w:val="superscript"/>
        </w:rPr>
        <w:t>2</w:t>
      </w:r>
    </w:p>
    <w:tbl>
      <w:tblPr>
        <w:tblStyle w:val="30"/>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105"/>
        <w:gridCol w:w="2105"/>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210"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行政区</w:t>
            </w:r>
          </w:p>
        </w:tc>
        <w:tc>
          <w:tcPr>
            <w:tcW w:w="2105"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近期规模</w:t>
            </w:r>
          </w:p>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（2022</w:t>
            </w:r>
            <w:r>
              <w:rPr>
                <w:rFonts w:hint="eastAsia" w:eastAsia="黑体" w:cs="Times New Roman"/>
                <w:color w:val="auto"/>
                <w:sz w:val="21"/>
                <w:szCs w:val="21"/>
                <w:highlight w:val="none"/>
                <w:lang w:eastAsia="zh-CN"/>
              </w:rPr>
              <w:t>—</w:t>
            </w:r>
            <w:r>
              <w:rPr>
                <w:rFonts w:eastAsia="黑体" w:cs="Times New Roman"/>
                <w:color w:val="auto"/>
                <w:sz w:val="21"/>
                <w:szCs w:val="21"/>
                <w:highlight w:val="none"/>
              </w:rPr>
              <w:t>2025年）</w:t>
            </w:r>
          </w:p>
        </w:tc>
        <w:tc>
          <w:tcPr>
            <w:tcW w:w="2105"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远期规模</w:t>
            </w:r>
          </w:p>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（2026</w:t>
            </w:r>
            <w:r>
              <w:rPr>
                <w:rFonts w:hint="eastAsia" w:eastAsia="黑体" w:cs="Times New Roman"/>
                <w:color w:val="auto"/>
                <w:sz w:val="21"/>
                <w:szCs w:val="21"/>
                <w:highlight w:val="none"/>
                <w:lang w:eastAsia="zh-CN"/>
              </w:rPr>
              <w:t>—</w:t>
            </w:r>
            <w:r>
              <w:rPr>
                <w:rFonts w:eastAsia="黑体" w:cs="Times New Roman"/>
                <w:color w:val="auto"/>
                <w:sz w:val="21"/>
                <w:szCs w:val="21"/>
                <w:highlight w:val="none"/>
              </w:rPr>
              <w:t>2030年）</w:t>
            </w:r>
          </w:p>
        </w:tc>
        <w:tc>
          <w:tcPr>
            <w:tcW w:w="2105"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总体规模</w:t>
            </w:r>
          </w:p>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（2022</w:t>
            </w:r>
            <w:r>
              <w:rPr>
                <w:rFonts w:hint="eastAsia" w:eastAsia="黑体" w:cs="Times New Roman"/>
                <w:color w:val="auto"/>
                <w:sz w:val="21"/>
                <w:szCs w:val="21"/>
                <w:highlight w:val="none"/>
                <w:lang w:eastAsia="zh-CN"/>
              </w:rPr>
              <w:t>—</w:t>
            </w:r>
            <w:r>
              <w:rPr>
                <w:rFonts w:eastAsia="黑体" w:cs="Times New Roman"/>
                <w:color w:val="auto"/>
                <w:sz w:val="21"/>
                <w:szCs w:val="21"/>
                <w:highlight w:val="none"/>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210"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柳江区</w:t>
            </w:r>
          </w:p>
        </w:tc>
        <w:tc>
          <w:tcPr>
            <w:tcW w:w="2105" w:type="dxa"/>
            <w:shd w:val="clear" w:color="auto" w:fill="auto"/>
            <w:vAlign w:val="center"/>
          </w:tcPr>
          <w:p>
            <w:pPr>
              <w:snapToGrid w:val="0"/>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24.65</w:t>
            </w:r>
          </w:p>
        </w:tc>
        <w:tc>
          <w:tcPr>
            <w:tcW w:w="2105"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31.85</w:t>
            </w:r>
          </w:p>
        </w:tc>
        <w:tc>
          <w:tcPr>
            <w:tcW w:w="2105" w:type="dxa"/>
            <w:shd w:val="clear" w:color="auto" w:fill="auto"/>
            <w:vAlign w:val="center"/>
          </w:tcPr>
          <w:p>
            <w:pPr>
              <w:snapToGrid w:val="0"/>
              <w:spacing w:line="240" w:lineRule="auto"/>
              <w:ind w:firstLine="0" w:firstLineChars="0"/>
              <w:jc w:val="center"/>
              <w:rPr>
                <w:rFonts w:hint="default" w:eastAsia="仿宋" w:cs="Times New Roman"/>
                <w:color w:val="auto"/>
                <w:sz w:val="21"/>
                <w:szCs w:val="21"/>
                <w:highlight w:val="none"/>
                <w:lang w:val="en-US" w:eastAsia="zh-CN"/>
              </w:rPr>
            </w:pPr>
            <w:r>
              <w:rPr>
                <w:rFonts w:hint="eastAsia" w:eastAsia="宋体" w:cs="Times New Roman"/>
                <w:color w:val="auto"/>
                <w:kern w:val="0"/>
                <w:sz w:val="22"/>
                <w:szCs w:val="22"/>
                <w:highlight w:val="none"/>
                <w:lang w:val="en-US" w:eastAsia="zh-CN"/>
              </w:rPr>
              <w:t>56.50</w:t>
            </w:r>
          </w:p>
        </w:tc>
      </w:tr>
    </w:tbl>
    <w:p>
      <w:pPr>
        <w:pStyle w:val="3"/>
        <w:spacing w:before="156"/>
        <w:ind w:firstLine="602"/>
        <w:rPr>
          <w:color w:val="auto"/>
          <w:highlight w:val="none"/>
        </w:rPr>
      </w:pPr>
      <w:bookmarkStart w:id="331" w:name="_Toc482812781"/>
      <w:bookmarkStart w:id="332" w:name="_Toc119515897"/>
      <w:bookmarkStart w:id="333" w:name="_Toc15090"/>
      <w:bookmarkStart w:id="334" w:name="_Toc90399103"/>
      <w:bookmarkStart w:id="335" w:name="_Toc528946006"/>
      <w:bookmarkStart w:id="336" w:name="_Toc439661542"/>
      <w:bookmarkStart w:id="337" w:name="_Toc20032"/>
      <w:r>
        <w:rPr>
          <w:color w:val="auto"/>
          <w:highlight w:val="none"/>
          <w:lang w:val="en-US"/>
        </w:rPr>
        <w:t>6.</w:t>
      </w:r>
      <w:r>
        <w:rPr>
          <w:color w:val="auto"/>
          <w:highlight w:val="none"/>
        </w:rPr>
        <w:t>2预防措施体系</w:t>
      </w:r>
      <w:bookmarkEnd w:id="331"/>
      <w:bookmarkEnd w:id="332"/>
      <w:bookmarkEnd w:id="333"/>
      <w:bookmarkEnd w:id="334"/>
      <w:bookmarkEnd w:id="335"/>
      <w:bookmarkEnd w:id="336"/>
      <w:bookmarkEnd w:id="337"/>
    </w:p>
    <w:p>
      <w:pPr>
        <w:rPr>
          <w:rFonts w:cs="Times New Roman"/>
          <w:color w:val="auto"/>
          <w:highlight w:val="none"/>
        </w:rPr>
      </w:pPr>
      <w:bookmarkStart w:id="338" w:name="_Toc439661543"/>
      <w:r>
        <w:rPr>
          <w:rFonts w:cs="Times New Roman"/>
          <w:color w:val="auto"/>
          <w:highlight w:val="none"/>
        </w:rPr>
        <w:t>预防保护措施体系主要由管理措施和技术措施两部分构成。包括制定管理办法、制定奖惩政策、建立管护制度、封育保护、林分补植和改造、营造植物保护带、农村新能源替代、农村人居环境整治等多项具体措施。</w:t>
      </w:r>
    </w:p>
    <w:p>
      <w:pPr>
        <w:pStyle w:val="4"/>
        <w:spacing w:before="156"/>
        <w:rPr>
          <w:rStyle w:val="38"/>
          <w:b/>
          <w:bCs/>
          <w:color w:val="auto"/>
          <w:highlight w:val="none"/>
        </w:rPr>
      </w:pPr>
      <w:bookmarkStart w:id="339" w:name="_Toc2440"/>
      <w:bookmarkStart w:id="340" w:name="_Toc119515898"/>
      <w:bookmarkStart w:id="341" w:name="_Toc11656"/>
      <w:r>
        <w:rPr>
          <w:rStyle w:val="38"/>
          <w:b w:val="0"/>
          <w:bCs w:val="0"/>
          <w:color w:val="auto"/>
          <w:highlight w:val="none"/>
          <w:lang w:val="en-US"/>
        </w:rPr>
        <w:t>6.</w:t>
      </w:r>
      <w:r>
        <w:rPr>
          <w:rStyle w:val="38"/>
          <w:b w:val="0"/>
          <w:bCs w:val="0"/>
          <w:color w:val="auto"/>
          <w:highlight w:val="none"/>
        </w:rPr>
        <w:t>2.1管理措施</w:t>
      </w:r>
      <w:bookmarkEnd w:id="338"/>
      <w:bookmarkEnd w:id="339"/>
      <w:bookmarkEnd w:id="340"/>
      <w:bookmarkEnd w:id="341"/>
    </w:p>
    <w:p>
      <w:pPr>
        <w:rPr>
          <w:rFonts w:cs="Times New Roman"/>
          <w:color w:val="auto"/>
          <w:highlight w:val="none"/>
        </w:rPr>
      </w:pPr>
      <w:bookmarkStart w:id="342" w:name="_Toc7688"/>
      <w:r>
        <w:rPr>
          <w:rFonts w:cs="Times New Roman"/>
          <w:color w:val="auto"/>
          <w:highlight w:val="none"/>
        </w:rPr>
        <w:t>（1）制定管理办法。</w:t>
      </w:r>
    </w:p>
    <w:p>
      <w:pPr>
        <w:rPr>
          <w:rFonts w:cs="Times New Roman"/>
          <w:color w:val="auto"/>
          <w:highlight w:val="none"/>
        </w:rPr>
      </w:pPr>
      <w:r>
        <w:rPr>
          <w:rFonts w:cs="Times New Roman"/>
          <w:color w:val="auto"/>
          <w:highlight w:val="none"/>
        </w:rPr>
        <w:t>通过制定水土流失预防区管理办法，对预防保护区提出预防限制性要求。</w:t>
      </w:r>
    </w:p>
    <w:p>
      <w:pPr>
        <w:ind w:firstLineChars="0"/>
        <w:rPr>
          <w:rFonts w:cs="Times New Roman"/>
          <w:color w:val="auto"/>
          <w:highlight w:val="none"/>
        </w:rPr>
      </w:pPr>
      <w:r>
        <w:rPr>
          <w:rFonts w:eastAsia="宋体" w:cs="Times New Roman"/>
          <w:color w:val="auto"/>
          <w:highlight w:val="none"/>
        </w:rPr>
        <w:fldChar w:fldCharType="begin"/>
      </w:r>
      <w:r>
        <w:rPr>
          <w:rFonts w:eastAsia="宋体" w:cs="Times New Roman"/>
          <w:color w:val="auto"/>
          <w:highlight w:val="none"/>
        </w:rPr>
        <w:instrText xml:space="preserve"> = 1 \* GB3 </w:instrText>
      </w:r>
      <w:r>
        <w:rPr>
          <w:rFonts w:eastAsia="宋体" w:cs="Times New Roman"/>
          <w:color w:val="auto"/>
          <w:highlight w:val="none"/>
        </w:rPr>
        <w:fldChar w:fldCharType="separate"/>
      </w:r>
      <w:r>
        <w:rPr>
          <w:rFonts w:hint="eastAsia" w:ascii="宋体" w:hAnsi="宋体" w:eastAsia="宋体" w:cs="宋体"/>
          <w:color w:val="auto"/>
          <w:highlight w:val="none"/>
        </w:rPr>
        <w:t>①</w:t>
      </w:r>
      <w:r>
        <w:rPr>
          <w:rFonts w:eastAsia="宋体" w:cs="Times New Roman"/>
          <w:color w:val="auto"/>
          <w:highlight w:val="none"/>
        </w:rPr>
        <w:fldChar w:fldCharType="end"/>
      </w:r>
      <w:r>
        <w:rPr>
          <w:rFonts w:cs="Times New Roman"/>
          <w:color w:val="auto"/>
          <w:highlight w:val="none"/>
        </w:rPr>
        <w:t>生态修复要求：柳江区和各乡镇人民政府应当按照水土保持规划，采取生态修复等措施，扩大森林覆盖面积，提高森林质量；增加和保护植被；开发和节约农村能源，减少薪炭林的砍伐，预防和减轻水土流失。</w:t>
      </w:r>
    </w:p>
    <w:p>
      <w:pPr>
        <w:rPr>
          <w:rFonts w:cs="Times New Roman"/>
          <w:color w:val="auto"/>
          <w:highlight w:val="none"/>
        </w:rPr>
      </w:pPr>
      <w:r>
        <w:rPr>
          <w:rFonts w:hint="eastAsia" w:ascii="宋体" w:hAnsi="宋体" w:eastAsia="宋体" w:cs="宋体"/>
          <w:color w:val="auto"/>
          <w:highlight w:val="none"/>
        </w:rPr>
        <w:t>②</w:t>
      </w:r>
      <w:r>
        <w:rPr>
          <w:rFonts w:cs="Times New Roman"/>
          <w:color w:val="auto"/>
          <w:highlight w:val="none"/>
        </w:rPr>
        <w:t>农林业生产要求：农业农村、自然资源等主管部门应当指导种植者科学发展农林业。禁止在二十五度以上的陡坡地开垦种植农作物或全垦造林，种植经果林应当科学选择品种，合理确定规模。禁止毁林、毁草开垦，禁止在水土流失严重的地区或者植被破坏后难以恢复的地区铲草皮、挖</w:t>
      </w:r>
      <w:r>
        <w:rPr>
          <w:rFonts w:hint="eastAsia" w:cs="Times New Roman"/>
          <w:color w:val="auto"/>
          <w:highlight w:val="none"/>
          <w:lang w:eastAsia="zh-CN"/>
        </w:rPr>
        <w:t>树蔸</w:t>
      </w:r>
      <w:r>
        <w:rPr>
          <w:rFonts w:cs="Times New Roman"/>
          <w:color w:val="auto"/>
          <w:highlight w:val="none"/>
        </w:rPr>
        <w:t>或者滥挖中草药材等。积极推进水土保持技术在农业生产中的应用，引导群众逐步减少陡坡耕种等生产方式，在五度以上、二十五度以下的坡地种植农作物的，应当采取修建水平梯田、坡面水系整治、蓄水保土耕作等水土保持措施。</w:t>
      </w:r>
    </w:p>
    <w:p>
      <w:pPr>
        <w:rPr>
          <w:rFonts w:cs="Times New Roman"/>
          <w:color w:val="auto"/>
          <w:highlight w:val="none"/>
        </w:rPr>
      </w:pPr>
      <w:r>
        <w:rPr>
          <w:rFonts w:hint="eastAsia" w:ascii="宋体" w:hAnsi="宋体" w:eastAsia="宋体" w:cs="宋体"/>
          <w:color w:val="auto"/>
          <w:highlight w:val="none"/>
        </w:rPr>
        <w:t>③</w:t>
      </w:r>
      <w:r>
        <w:rPr>
          <w:rFonts w:cs="Times New Roman"/>
          <w:color w:val="auto"/>
          <w:highlight w:val="none"/>
        </w:rPr>
        <w:t>取土采石要求：柳江区和各乡镇人民政府应当加强对取土、挖砂、采石的管理，统筹规划取土、挖砂、采石地点，规范取土、挖砂、采石行为，预防和减轻水土流失。禁止在崩塌、滑坡危险区和泥石流易发区从事取土、挖砂、采石等可能造成水土流失的活动。</w:t>
      </w:r>
    </w:p>
    <w:p>
      <w:pPr>
        <w:rPr>
          <w:rFonts w:cs="Times New Roman"/>
          <w:color w:val="auto"/>
          <w:highlight w:val="none"/>
        </w:rPr>
      </w:pPr>
      <w:r>
        <w:rPr>
          <w:rFonts w:hint="eastAsia" w:ascii="宋体" w:hAnsi="宋体" w:eastAsia="宋体" w:cs="宋体"/>
          <w:color w:val="auto"/>
          <w:highlight w:val="none"/>
        </w:rPr>
        <w:t>④</w:t>
      </w:r>
      <w:r>
        <w:rPr>
          <w:rFonts w:cs="Times New Roman"/>
          <w:color w:val="auto"/>
          <w:highlight w:val="none"/>
        </w:rPr>
        <w:t>限制开发要求：在水土流失严重和生态脆弱的地区，应当限制或者禁止可能造成水土流失的自然资源开发和生产建设活动，控制水源地周边坡地的农业开发，提高人民群众对饮用水水源的保护意识，严禁在饮用水源保护区域内新建、扩建与供水设施和保护水源无关的建设项目。对于经过论证无法避让重点预防区的生产建设项目应当提高防治标准，优化施工工艺，减少地表扰动和植被损坏范围，有效控制可能的水土流失。</w:t>
      </w:r>
    </w:p>
    <w:p>
      <w:pPr>
        <w:ind w:left="560" w:leftChars="200" w:firstLine="0" w:firstLineChars="0"/>
        <w:rPr>
          <w:rFonts w:cs="Times New Roman"/>
          <w:color w:val="auto"/>
          <w:highlight w:val="none"/>
        </w:rPr>
      </w:pPr>
      <w:r>
        <w:rPr>
          <w:rFonts w:cs="Times New Roman"/>
          <w:color w:val="auto"/>
          <w:highlight w:val="none"/>
        </w:rPr>
        <w:t>（2）制定奖惩政策</w:t>
      </w:r>
    </w:p>
    <w:p>
      <w:pPr>
        <w:rPr>
          <w:rFonts w:cs="Times New Roman"/>
          <w:color w:val="auto"/>
          <w:highlight w:val="none"/>
        </w:rPr>
      </w:pPr>
      <w:r>
        <w:rPr>
          <w:rFonts w:cs="Times New Roman"/>
          <w:color w:val="auto"/>
          <w:highlight w:val="none"/>
        </w:rPr>
        <w:t>制定预防保护奖惩政策，对重点预防区内实施的陡坡退耕活动给予奖励，对以太阳能等可再生资源替代木材燃料的投资项目给予扶持，对预防保护成绩显著的集体和个人给予奖励等，对在二十五度以上的陡坡地开垦种植农作物或全垦造林等实施禁止行为的集体和个人实行惩戒。</w:t>
      </w:r>
    </w:p>
    <w:p>
      <w:pPr>
        <w:rPr>
          <w:rFonts w:cs="Times New Roman"/>
          <w:color w:val="auto"/>
          <w:highlight w:val="none"/>
        </w:rPr>
      </w:pPr>
      <w:r>
        <w:rPr>
          <w:rFonts w:cs="Times New Roman"/>
          <w:color w:val="auto"/>
          <w:highlight w:val="none"/>
        </w:rPr>
        <w:t>（3）建立管护制度。</w:t>
      </w:r>
    </w:p>
    <w:p>
      <w:pPr>
        <w:rPr>
          <w:rFonts w:cs="Times New Roman"/>
          <w:color w:val="auto"/>
          <w:highlight w:val="none"/>
        </w:rPr>
      </w:pPr>
      <w:r>
        <w:rPr>
          <w:rFonts w:cs="Times New Roman"/>
          <w:color w:val="auto"/>
          <w:highlight w:val="none"/>
        </w:rPr>
        <w:t>坚持“预防为主、保护优先”的方针，以保护现有植被、防止乱砍滥伐为主，对纳入生态公益林和实施封育保护的林区建立健全管护制度。在充分考虑当地山林权属和农林副业生产经营需要的基础上，明确封山禁牧范围，落实管护责任，将管护工作纳入乡镇、村屯的行政管理权限，签订村规民约，强化监督管理，促进生态自然修复。</w:t>
      </w:r>
    </w:p>
    <w:p>
      <w:pPr>
        <w:pStyle w:val="4"/>
        <w:spacing w:before="156"/>
        <w:ind w:firstLine="562"/>
        <w:rPr>
          <w:color w:val="auto"/>
          <w:highlight w:val="none"/>
          <w:lang w:val="en-US"/>
        </w:rPr>
      </w:pPr>
      <w:bookmarkStart w:id="343" w:name="_Toc21410"/>
      <w:bookmarkStart w:id="344" w:name="_Toc119515899"/>
      <w:r>
        <w:rPr>
          <w:color w:val="auto"/>
          <w:highlight w:val="none"/>
          <w:lang w:val="en-US"/>
        </w:rPr>
        <w:t>6.2.2技术措施</w:t>
      </w:r>
      <w:bookmarkEnd w:id="342"/>
      <w:bookmarkEnd w:id="343"/>
      <w:bookmarkEnd w:id="344"/>
    </w:p>
    <w:p>
      <w:pPr>
        <w:rPr>
          <w:rFonts w:cs="Times New Roman"/>
          <w:color w:val="auto"/>
          <w:highlight w:val="none"/>
        </w:rPr>
      </w:pPr>
      <w:r>
        <w:rPr>
          <w:rFonts w:cs="Times New Roman"/>
          <w:color w:val="auto"/>
          <w:highlight w:val="none"/>
        </w:rPr>
        <w:t>根据《广西壮族自治区饮用水水源保护条例》，县级以上人民政府应当加强饮用水水源保护区以及周边城乡环境综合整治，完善城乡生活污水、生活垃圾处理设施，积极推广沼气池建设，改造化粪池以及农村厕所；采取生态修复、水质净化等措施，加强饮用水水源保护区以及相关流域、区域的生态建设，促进水体生态健康，改善水源地水生态环境。在河流型饮用水水源保护区，应当加强水源涵养林、水土保持林、护岸林的营造和管护，维持稳定水体的自净功能；在湖库型饮用水水源保护区，应当建设生态屏障涵养水源，减少面源污染、水土流失，采取生物净化、除藻曝气等措施净化水质；在地下饮用水水源保护区，应当加强面源治理和补给区水质净化。根据《广西壮族自治区2022年度地质灾害防治方案》，应在崩塌、滑坡、泥石流等地质灾害易发区域加强工程建设地质灾害预防管理。</w:t>
      </w:r>
    </w:p>
    <w:p>
      <w:pPr>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1</w:t>
      </w:r>
      <w:r>
        <w:rPr>
          <w:rFonts w:cs="Times New Roman"/>
          <w:color w:val="auto"/>
          <w:highlight w:val="none"/>
        </w:rPr>
        <w:t>）营造水源涵养林、水土保持林、护岸林。</w:t>
      </w:r>
    </w:p>
    <w:p>
      <w:pPr>
        <w:autoSpaceDE w:val="0"/>
        <w:autoSpaceDN w:val="0"/>
        <w:rPr>
          <w:rFonts w:cs="Times New Roman"/>
          <w:color w:val="auto"/>
          <w:highlight w:val="none"/>
        </w:rPr>
      </w:pPr>
      <w:r>
        <w:rPr>
          <w:rFonts w:cs="Times New Roman"/>
          <w:color w:val="auto"/>
          <w:highlight w:val="none"/>
        </w:rPr>
        <w:t>在湖库周边、饮用水水源地周边，选择优良乡土树种或经多年栽培、适应性较强的引进树种，进行（针阔混交、乔灌草相结合）配置种植，以涵养水源，防治水土流失。</w:t>
      </w:r>
    </w:p>
    <w:p>
      <w:pPr>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2</w:t>
      </w:r>
      <w:r>
        <w:rPr>
          <w:rFonts w:cs="Times New Roman"/>
          <w:color w:val="auto"/>
          <w:highlight w:val="none"/>
        </w:rPr>
        <w:t>）加强面源治理，水质净化。</w:t>
      </w:r>
    </w:p>
    <w:p>
      <w:pPr>
        <w:autoSpaceDE w:val="0"/>
        <w:autoSpaceDN w:val="0"/>
        <w:rPr>
          <w:rFonts w:cs="Times New Roman"/>
          <w:color w:val="auto"/>
          <w:highlight w:val="none"/>
        </w:rPr>
      </w:pPr>
      <w:r>
        <w:rPr>
          <w:rFonts w:cs="Times New Roman"/>
          <w:color w:val="auto"/>
          <w:highlight w:val="none"/>
        </w:rPr>
        <w:t>采用改革工艺减少和消除污染源排放的废水量，尽量采用重复用水及循环用水系统，使废水排放减至最少或将生产废水经适当处理后循环利用。</w:t>
      </w:r>
    </w:p>
    <w:p>
      <w:pPr>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3</w:t>
      </w:r>
      <w:r>
        <w:rPr>
          <w:rFonts w:cs="Times New Roman"/>
          <w:color w:val="auto"/>
          <w:highlight w:val="none"/>
        </w:rPr>
        <w:t>）农村人居环境整治。</w:t>
      </w:r>
    </w:p>
    <w:p>
      <w:pPr>
        <w:rPr>
          <w:rFonts w:cs="Times New Roman"/>
          <w:color w:val="auto"/>
          <w:highlight w:val="none"/>
        </w:rPr>
      </w:pPr>
      <w:r>
        <w:rPr>
          <w:rFonts w:cs="Times New Roman"/>
          <w:color w:val="auto"/>
          <w:highlight w:val="none"/>
        </w:rPr>
        <w:t>结合“清洁乡村”建设，因地制宜采取“村收镇运县处理</w:t>
      </w:r>
      <w:r>
        <w:rPr>
          <w:rFonts w:hint="eastAsia" w:cs="Times New Roman"/>
          <w:color w:val="auto"/>
          <w:highlight w:val="none"/>
          <w:lang w:eastAsia="zh-CN"/>
        </w:rPr>
        <w:t>”“</w:t>
      </w:r>
      <w:r>
        <w:rPr>
          <w:rFonts w:cs="Times New Roman"/>
          <w:color w:val="auto"/>
          <w:highlight w:val="none"/>
        </w:rPr>
        <w:t>村收镇运片区处理”和“就近就地处理”等模式处理农村生活垃圾，大力推行卫生化的堆肥、发酵、热解和微生物处理、卫生填埋等处理方式，逐步取缔二次污染严重的简易填埋设施以及小型焚烧炉等。兴建农村无害化卫生厕所，村中埋设污水管道收集生活污水，合理布设人工湿地和小型污水处理设施净化排放，减少面源污染。同时，加强农村保洁员队伍建设，逐步建立农村卫生保洁长效机制，营造干净整洁的美丽乡村环境。</w:t>
      </w:r>
    </w:p>
    <w:p>
      <w:pPr>
        <w:rPr>
          <w:rFonts w:cs="Times New Roman"/>
          <w:color w:val="auto"/>
          <w:highlight w:val="none"/>
        </w:rPr>
      </w:pPr>
      <w:r>
        <w:rPr>
          <w:rFonts w:cs="Times New Roman"/>
          <w:color w:val="auto"/>
          <w:highlight w:val="none"/>
        </w:rPr>
        <w:t>（4）封育保护措施。</w:t>
      </w:r>
    </w:p>
    <w:p>
      <w:pPr>
        <w:rPr>
          <w:rFonts w:cs="Times New Roman"/>
          <w:color w:val="auto"/>
          <w:highlight w:val="none"/>
        </w:rPr>
      </w:pPr>
      <w:r>
        <w:rPr>
          <w:rFonts w:cs="Times New Roman"/>
          <w:color w:val="auto"/>
          <w:highlight w:val="none"/>
        </w:rPr>
        <w:t>对重要饮用水水源保护区和湖库周边区域等重要生态功能区和生态敏感区实施封育保护。结合植被状况，主要树种的更新能力、方式、年限及成林时间，群众对木材、林副产品、薪材要求等，划定封禁区域及边界，制定封禁管护办法，落实管护人员，确保植被自然恢复。针对不同地区实行不同的封禁方式。在偏远山区，江河上游，水库集中区，水土流失严重地区和植被恢复较为困难的封育区，宜实行全封的方式；对林木生长良好，植被覆盖度较大的封育区，可采用半封的方式；对当地群众生产生活有实际困难的非生态脆弱区的封育区，可采用轮封的方式。在封育区内须设置告示牌和警示标志，明确管理单位、封育范围、管护措施和管护要求，做好预防保护宣传工作。</w:t>
      </w:r>
    </w:p>
    <w:p>
      <w:pPr>
        <w:rPr>
          <w:rFonts w:cs="Times New Roman"/>
          <w:color w:val="auto"/>
          <w:highlight w:val="none"/>
        </w:rPr>
      </w:pPr>
      <w:r>
        <w:rPr>
          <w:rFonts w:cs="Times New Roman"/>
          <w:color w:val="auto"/>
          <w:highlight w:val="none"/>
        </w:rPr>
        <w:t>（5）营造植物保护带。</w:t>
      </w:r>
    </w:p>
    <w:p>
      <w:pPr>
        <w:rPr>
          <w:rFonts w:cs="Times New Roman"/>
          <w:color w:val="auto"/>
          <w:highlight w:val="none"/>
        </w:rPr>
      </w:pPr>
      <w:r>
        <w:rPr>
          <w:rFonts w:cs="Times New Roman"/>
          <w:color w:val="auto"/>
          <w:highlight w:val="none"/>
        </w:rPr>
        <w:t>重点针对重要饮用水水源地、河流两岸及湖泊和水库周边实施，以水质净化为目的，通过在滨岸带种植各种植物，有效地拦截净化地表径流挟带的泥沙</w:t>
      </w:r>
      <w:r>
        <w:rPr>
          <w:rFonts w:hint="eastAsia" w:cs="Times New Roman"/>
          <w:color w:val="auto"/>
          <w:highlight w:val="none"/>
          <w:lang w:eastAsia="zh-CN"/>
        </w:rPr>
        <w:t>和其他</w:t>
      </w:r>
      <w:r>
        <w:rPr>
          <w:rFonts w:cs="Times New Roman"/>
          <w:color w:val="auto"/>
          <w:highlight w:val="none"/>
        </w:rPr>
        <w:t>污染物，减轻对饮用水源、江河源头、水库、湖泊的污染。</w:t>
      </w:r>
    </w:p>
    <w:p>
      <w:pPr>
        <w:rPr>
          <w:rFonts w:cs="Times New Roman"/>
          <w:color w:val="auto"/>
          <w:highlight w:val="none"/>
        </w:rPr>
      </w:pPr>
      <w:r>
        <w:rPr>
          <w:rFonts w:cs="Times New Roman"/>
          <w:color w:val="auto"/>
          <w:highlight w:val="none"/>
        </w:rPr>
        <w:t>（6）农村新能源替代。</w:t>
      </w:r>
    </w:p>
    <w:p>
      <w:pPr>
        <w:rPr>
          <w:rFonts w:cs="Times New Roman"/>
          <w:color w:val="auto"/>
          <w:highlight w:val="none"/>
        </w:rPr>
      </w:pPr>
      <w:r>
        <w:rPr>
          <w:rFonts w:cs="Times New Roman"/>
          <w:color w:val="auto"/>
          <w:highlight w:val="none"/>
        </w:rPr>
        <w:t>在预防保护区内大力推进农村可再生能源的开发利用，促进农村地区以新能源代替传统能源，减少薪柴砍伐和煤炭使用，改善农村能源利用结构。在具备条件的村屯推广使用经济适用型太阳能装置。</w:t>
      </w:r>
    </w:p>
    <w:p>
      <w:pPr>
        <w:rPr>
          <w:rFonts w:cs="Times New Roman"/>
          <w:color w:val="auto"/>
          <w:highlight w:val="none"/>
        </w:rPr>
      </w:pPr>
      <w:r>
        <w:rPr>
          <w:rFonts w:cs="Times New Roman"/>
          <w:color w:val="auto"/>
          <w:highlight w:val="none"/>
        </w:rPr>
        <w:t>（7）加强工程建设地质灾害预防管理。</w:t>
      </w:r>
    </w:p>
    <w:p>
      <w:pPr>
        <w:rPr>
          <w:rFonts w:cs="Times New Roman"/>
          <w:color w:val="auto"/>
          <w:highlight w:val="none"/>
        </w:rPr>
      </w:pPr>
      <w:r>
        <w:rPr>
          <w:rFonts w:cs="Times New Roman"/>
          <w:color w:val="auto"/>
          <w:highlight w:val="none"/>
        </w:rPr>
        <w:t>负责工程建设的主管部门组织建设单位全面开展调查和排查工程建设可能引发的地质灾害隐患，并由建设单位负责对地质灾害进行监测、治理。切实落实在地质灾害易发区进行工程建设的地质灾害危险性评估制度，对经评估认为可能引发地质灾害或者可能遭受地质灾害危害的建设工程，应当配套建设地质灾害治理工程，并与主体工程做到同时设计、同时施工、同时投入使用，坚决避免人为活动引发地质灾害。</w:t>
      </w:r>
    </w:p>
    <w:p>
      <w:pPr>
        <w:numPr>
          <w:ilvl w:val="0"/>
          <w:numId w:val="3"/>
        </w:numPr>
        <w:rPr>
          <w:rFonts w:hint="eastAsia" w:cs="Times New Roman"/>
          <w:color w:val="auto"/>
          <w:highlight w:val="none"/>
          <w:lang w:val="en-US" w:eastAsia="zh-CN"/>
        </w:rPr>
      </w:pPr>
      <w:r>
        <w:rPr>
          <w:rFonts w:hint="eastAsia" w:cs="Times New Roman"/>
          <w:color w:val="auto"/>
          <w:highlight w:val="none"/>
          <w:lang w:val="en-US" w:eastAsia="zh-CN"/>
        </w:rPr>
        <w:t>加强湿地公园水土流失预防保护。</w:t>
      </w:r>
    </w:p>
    <w:p>
      <w:pPr>
        <w:rPr>
          <w:rFonts w:hint="eastAsia" w:cs="Times New Roman"/>
          <w:color w:val="auto"/>
          <w:highlight w:val="none"/>
          <w:lang w:eastAsia="zh-CN"/>
        </w:rPr>
      </w:pPr>
      <w:r>
        <w:rPr>
          <w:rFonts w:cs="Times New Roman"/>
          <w:color w:val="auto"/>
          <w:highlight w:val="none"/>
        </w:rPr>
        <w:t>湿地是非常重要的自然资源，是自然界最富有生物多样性的生态景观，也是人类赖以生存和发展的环境之一。湿地在维持生态平衡、保持生物多样性、控制土壤侵蚀、补充地下水等方面都起到了非常大的作用，是重要的国土资源和自然资源</w:t>
      </w:r>
      <w:r>
        <w:rPr>
          <w:rFonts w:hint="eastAsia" w:cs="Times New Roman"/>
          <w:color w:val="auto"/>
          <w:highlight w:val="none"/>
          <w:lang w:eastAsia="zh-CN"/>
        </w:rPr>
        <w:t>。加大退耕还林、还草、还湖和还沼的力度，并通过营造生态保护林和水源涵养林的方式，减轻人为因素对湿地的负面影响。严格控制湿地周围的污染源、污染物数量和排污途径，并通过建立最优河流水量分配方式来维持流域重要湿地的自然状态及生态功能。</w:t>
      </w:r>
    </w:p>
    <w:p>
      <w:pPr>
        <w:numPr>
          <w:ilvl w:val="0"/>
          <w:numId w:val="3"/>
        </w:numPr>
        <w:rPr>
          <w:rFonts w:hint="eastAsia" w:cs="Times New Roman"/>
          <w:color w:val="auto"/>
          <w:highlight w:val="none"/>
          <w:lang w:val="en-US" w:eastAsia="zh-CN"/>
        </w:rPr>
      </w:pPr>
      <w:r>
        <w:rPr>
          <w:rFonts w:hint="eastAsia" w:cs="Times New Roman"/>
          <w:color w:val="auto"/>
          <w:highlight w:val="none"/>
          <w:lang w:val="en-US" w:eastAsia="zh-CN"/>
        </w:rPr>
        <w:t>加强风景名胜区水土流失预防保护。</w:t>
      </w:r>
    </w:p>
    <w:p>
      <w:pPr>
        <w:rPr>
          <w:rFonts w:hint="default" w:cs="Times New Roman"/>
          <w:color w:val="auto"/>
          <w:highlight w:val="none"/>
          <w:lang w:val="en-US" w:eastAsia="zh-CN"/>
        </w:rPr>
      </w:pPr>
      <w:r>
        <w:rPr>
          <w:rFonts w:hint="eastAsia" w:cs="Times New Roman"/>
          <w:color w:val="auto"/>
          <w:highlight w:val="none"/>
          <w:lang w:val="en-US" w:eastAsia="zh-CN"/>
        </w:rPr>
        <w:t>建立健全风景名胜区水土流失预防保护各项保护制度，落实保护和管理责任。禁止随意开山采石、挖沙取土、禁止污染和破坏水体、大气的活动等破坏风景资源的活动。风景区内施工过程中，必须采取有效措施保护周围的树木、植被、水体、地貌。施工结束后应当及时清理场地，进行绿化，恢复环境原貌。</w:t>
      </w:r>
    </w:p>
    <w:p>
      <w:pPr>
        <w:pStyle w:val="3"/>
        <w:spacing w:before="156"/>
        <w:ind w:firstLine="602"/>
        <w:rPr>
          <w:color w:val="auto"/>
          <w:highlight w:val="none"/>
          <w:lang w:val="en-US"/>
        </w:rPr>
      </w:pPr>
      <w:bookmarkStart w:id="345" w:name="_Toc439661545"/>
      <w:bookmarkStart w:id="346" w:name="_Toc22000"/>
      <w:bookmarkStart w:id="347" w:name="_Toc12460"/>
      <w:bookmarkStart w:id="348" w:name="_Toc119515900"/>
      <w:bookmarkStart w:id="349" w:name="_Toc90399104"/>
      <w:r>
        <w:rPr>
          <w:color w:val="auto"/>
          <w:highlight w:val="none"/>
          <w:lang w:val="en-US"/>
        </w:rPr>
        <w:t>6.3</w:t>
      </w:r>
      <w:bookmarkEnd w:id="345"/>
      <w:bookmarkEnd w:id="346"/>
      <w:r>
        <w:rPr>
          <w:color w:val="auto"/>
          <w:highlight w:val="none"/>
          <w:lang w:val="en-US"/>
        </w:rPr>
        <w:t>重点预防项目布局</w:t>
      </w:r>
      <w:bookmarkEnd w:id="347"/>
      <w:bookmarkEnd w:id="348"/>
      <w:bookmarkEnd w:id="349"/>
    </w:p>
    <w:p>
      <w:pPr>
        <w:rPr>
          <w:rFonts w:cs="Times New Roman"/>
          <w:color w:val="auto"/>
          <w:highlight w:val="none"/>
        </w:rPr>
      </w:pPr>
      <w:r>
        <w:rPr>
          <w:rFonts w:cs="Times New Roman"/>
          <w:color w:val="auto"/>
          <w:highlight w:val="none"/>
        </w:rPr>
        <w:t>根据《广西壮族自治区2022年度地质灾害防治方案》，柳江区土博镇梅里村甘梅屯属于崩塌危害隐患点，总面积21.80</w:t>
      </w:r>
      <w:r>
        <w:rPr>
          <w:rFonts w:eastAsia="仿宋_GB2312" w:cs="Times New Roman"/>
          <w:color w:val="auto"/>
          <w:highlight w:val="none"/>
        </w:rPr>
        <w:t xml:space="preserve"> km</w:t>
      </w:r>
      <w:r>
        <w:rPr>
          <w:rFonts w:eastAsia="仿宋_GB2312" w:cs="Times New Roman"/>
          <w:color w:val="auto"/>
          <w:highlight w:val="none"/>
          <w:vertAlign w:val="superscript"/>
        </w:rPr>
        <w:t>2</w:t>
      </w:r>
      <w:r>
        <w:rPr>
          <w:rFonts w:cs="Times New Roman"/>
          <w:color w:val="auto"/>
          <w:highlight w:val="none"/>
        </w:rPr>
        <w:t>。</w:t>
      </w:r>
    </w:p>
    <w:p>
      <w:pPr>
        <w:ind w:firstLineChars="0"/>
        <w:rPr>
          <w:rFonts w:cs="Times New Roman"/>
          <w:color w:val="auto"/>
          <w:highlight w:val="none"/>
        </w:rPr>
      </w:pPr>
      <w:r>
        <w:rPr>
          <w:rFonts w:cs="Times New Roman"/>
          <w:color w:val="auto"/>
          <w:highlight w:val="none"/>
        </w:rPr>
        <w:t>《广西壮族自治区人民政府关于同意柳州市乡镇集中式饮用水水源保护区划定方案的批复》（桂政函〔2021〕266号）和《柳州市人民政府关于申请审批柳州市农村集中式饮用水水源地保护区划定方案的请示》（柳政报〔2016〕85 号），柳江区现有已划定的饮用水水源地9处，总面积为29.746 km</w:t>
      </w:r>
      <w:r>
        <w:rPr>
          <w:rFonts w:cs="Times New Roman"/>
          <w:color w:val="auto"/>
          <w:highlight w:val="none"/>
          <w:vertAlign w:val="superscript"/>
        </w:rPr>
        <w:t>2</w:t>
      </w:r>
      <w:r>
        <w:rPr>
          <w:rFonts w:cs="Times New Roman"/>
          <w:color w:val="auto"/>
          <w:highlight w:val="none"/>
        </w:rPr>
        <w:t>。</w:t>
      </w:r>
    </w:p>
    <w:p>
      <w:pPr>
        <w:rPr>
          <w:rFonts w:cs="Times New Roman"/>
          <w:color w:val="auto"/>
          <w:highlight w:val="none"/>
        </w:rPr>
      </w:pPr>
      <w:r>
        <w:rPr>
          <w:rFonts w:cs="Times New Roman"/>
          <w:color w:val="auto"/>
          <w:highlight w:val="none"/>
        </w:rPr>
        <w:t>根据《广西水功能区划（修订）》，柳江区辖区仅涉及 1 个自治区级水功能区，即北之江柳江</w:t>
      </w:r>
      <w:r>
        <w:rPr>
          <w:rFonts w:hint="eastAsia" w:cs="Times New Roman"/>
          <w:color w:val="auto"/>
          <w:highlight w:val="none"/>
          <w:lang w:eastAsia="zh-CN"/>
        </w:rPr>
        <w:t>－</w:t>
      </w:r>
      <w:r>
        <w:rPr>
          <w:rFonts w:cs="Times New Roman"/>
          <w:color w:val="auto"/>
          <w:highlight w:val="none"/>
        </w:rPr>
        <w:t>忻城源头水保护区。境内长度约为21.0千米，境内保护区面积约有2.10平方公里。</w:t>
      </w:r>
    </w:p>
    <w:p>
      <w:pPr>
        <w:ind w:firstLineChars="0"/>
        <w:rPr>
          <w:rFonts w:cs="Times New Roman"/>
          <w:color w:val="auto"/>
          <w:highlight w:val="none"/>
        </w:rPr>
      </w:pPr>
      <w:r>
        <w:rPr>
          <w:rFonts w:cs="Times New Roman"/>
          <w:color w:val="auto"/>
          <w:highlight w:val="none"/>
        </w:rPr>
        <w:t>本规划将1处重要江河源头保护区</w:t>
      </w:r>
      <w:r>
        <w:rPr>
          <w:rFonts w:hint="eastAsia" w:cs="Times New Roman"/>
          <w:color w:val="auto"/>
          <w:highlight w:val="none"/>
          <w:lang w:eastAsia="zh-CN"/>
        </w:rPr>
        <w:t>、</w:t>
      </w:r>
      <w:r>
        <w:rPr>
          <w:rFonts w:cs="Times New Roman"/>
          <w:color w:val="auto"/>
          <w:highlight w:val="none"/>
        </w:rPr>
        <w:t>1处崩塌危害隐患点</w:t>
      </w:r>
      <w:r>
        <w:rPr>
          <w:rFonts w:hint="eastAsia" w:cs="Times New Roman"/>
          <w:color w:val="auto"/>
          <w:highlight w:val="none"/>
          <w:lang w:eastAsia="zh-CN"/>
        </w:rPr>
        <w:t>、</w:t>
      </w:r>
      <w:r>
        <w:rPr>
          <w:rFonts w:hint="eastAsia" w:cs="Times New Roman"/>
          <w:color w:val="auto"/>
          <w:highlight w:val="none"/>
          <w:lang w:val="en-US" w:eastAsia="zh-CN"/>
        </w:rPr>
        <w:t>1处湿地公园、6处旅游</w:t>
      </w:r>
      <w:r>
        <w:rPr>
          <w:rFonts w:hint="eastAsia" w:cs="Times New Roman"/>
          <w:color w:val="auto"/>
          <w:highlight w:val="none"/>
        </w:rPr>
        <w:t>景区</w:t>
      </w:r>
      <w:r>
        <w:rPr>
          <w:rFonts w:cs="Times New Roman"/>
          <w:color w:val="auto"/>
          <w:highlight w:val="none"/>
        </w:rPr>
        <w:t>和9处饮用水水源保护区的一级保护区、二级保护区、准保护区确定为预防保护实施范围，实施预防保护面积</w:t>
      </w:r>
      <w:r>
        <w:rPr>
          <w:rFonts w:hint="eastAsia" w:cs="Times New Roman"/>
          <w:color w:val="auto"/>
          <w:highlight w:val="none"/>
          <w:lang w:val="en-US" w:eastAsia="zh-CN"/>
        </w:rPr>
        <w:t>56.50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，其中近期（2022</w:t>
      </w:r>
      <w:r>
        <w:rPr>
          <w:rFonts w:hint="eastAsia" w:cs="Times New Roman"/>
          <w:color w:val="auto"/>
          <w:highlight w:val="none"/>
          <w:lang w:eastAsia="zh-CN"/>
        </w:rPr>
        <w:t>—</w:t>
      </w:r>
      <w:r>
        <w:rPr>
          <w:rFonts w:cs="Times New Roman"/>
          <w:color w:val="auto"/>
          <w:highlight w:val="none"/>
        </w:rPr>
        <w:t>2025年）规划实施全部崩塌危害隐患点</w:t>
      </w:r>
      <w:r>
        <w:rPr>
          <w:rFonts w:hint="eastAsia" w:cs="Times New Roman"/>
          <w:color w:val="auto"/>
          <w:highlight w:val="none"/>
          <w:lang w:val="en-US" w:eastAsia="zh-CN"/>
        </w:rPr>
        <w:t>、湿地公园和旅游景区</w:t>
      </w:r>
      <w:r>
        <w:rPr>
          <w:rFonts w:cs="Times New Roman"/>
          <w:color w:val="auto"/>
          <w:highlight w:val="none"/>
        </w:rPr>
        <w:t>的预防工作，规划预防保护面积为</w:t>
      </w:r>
      <w:r>
        <w:rPr>
          <w:rFonts w:hint="eastAsia" w:cs="Times New Roman"/>
          <w:color w:val="auto"/>
          <w:highlight w:val="none"/>
          <w:lang w:val="en-US" w:eastAsia="zh-CN"/>
        </w:rPr>
        <w:t>24.65</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；远期（2026</w:t>
      </w:r>
      <w:r>
        <w:rPr>
          <w:rFonts w:hint="eastAsia" w:cs="Times New Roman"/>
          <w:color w:val="auto"/>
          <w:highlight w:val="none"/>
          <w:lang w:eastAsia="zh-CN"/>
        </w:rPr>
        <w:t>—</w:t>
      </w:r>
      <w:r>
        <w:rPr>
          <w:rFonts w:cs="Times New Roman"/>
          <w:color w:val="auto"/>
          <w:highlight w:val="none"/>
        </w:rPr>
        <w:t>2030年）规划实施全部现用水源地保护区和重要江河源头保护区预防工作，规划预防保护面积为31.85km</w:t>
      </w:r>
      <w:r>
        <w:rPr>
          <w:rFonts w:cs="Times New Roman"/>
          <w:color w:val="auto"/>
          <w:highlight w:val="none"/>
          <w:vertAlign w:val="superscript"/>
        </w:rPr>
        <w:t>2</w:t>
      </w:r>
      <w:r>
        <w:rPr>
          <w:rFonts w:cs="Times New Roman"/>
          <w:color w:val="auto"/>
          <w:highlight w:val="none"/>
        </w:rPr>
        <w:t>。详见表6.3-1。</w:t>
      </w:r>
    </w:p>
    <w:p>
      <w:pPr>
        <w:widowControl/>
        <w:adjustRightInd/>
        <w:spacing w:line="240" w:lineRule="auto"/>
        <w:ind w:firstLine="0" w:firstLineChars="0"/>
        <w:jc w:val="left"/>
        <w:rPr>
          <w:rFonts w:cs="Times New Roman"/>
          <w:b/>
          <w:color w:val="auto"/>
          <w:highlight w:val="none"/>
        </w:rPr>
      </w:pPr>
      <w:r>
        <w:rPr>
          <w:rFonts w:cs="Times New Roman"/>
          <w:color w:val="auto"/>
          <w:highlight w:val="none"/>
        </w:rPr>
        <w:br w:type="page"/>
      </w:r>
    </w:p>
    <w:p>
      <w:pPr>
        <w:pStyle w:val="49"/>
        <w:spacing w:before="156"/>
        <w:ind w:firstLine="0" w:firstLineChars="0"/>
        <w:rPr>
          <w:color w:val="auto"/>
          <w:highlight w:val="none"/>
        </w:rPr>
      </w:pPr>
      <w:r>
        <w:rPr>
          <w:color w:val="auto"/>
          <w:highlight w:val="none"/>
        </w:rPr>
        <w:t>表6.3-1   重点预防项目情况表</w:t>
      </w:r>
    </w:p>
    <w:p>
      <w:pPr>
        <w:pStyle w:val="49"/>
        <w:spacing w:beforeLines="0" w:line="240" w:lineRule="atLeast"/>
        <w:ind w:firstLine="0" w:firstLineChars="0"/>
        <w:jc w:val="right"/>
        <w:rPr>
          <w:b w:val="0"/>
          <w:bCs/>
          <w:color w:val="auto"/>
          <w:sz w:val="21"/>
          <w:szCs w:val="21"/>
          <w:highlight w:val="none"/>
          <w:vertAlign w:val="superscript"/>
        </w:rPr>
      </w:pPr>
      <w:r>
        <w:rPr>
          <w:b w:val="0"/>
          <w:bCs/>
          <w:color w:val="auto"/>
          <w:sz w:val="21"/>
          <w:szCs w:val="21"/>
          <w:highlight w:val="none"/>
        </w:rPr>
        <w:t>单位：km</w:t>
      </w:r>
      <w:r>
        <w:rPr>
          <w:b w:val="0"/>
          <w:bCs/>
          <w:color w:val="auto"/>
          <w:sz w:val="21"/>
          <w:szCs w:val="21"/>
          <w:highlight w:val="none"/>
          <w:vertAlign w:val="superscript"/>
        </w:rPr>
        <w:t>2</w:t>
      </w:r>
    </w:p>
    <w:tbl>
      <w:tblPr>
        <w:tblStyle w:val="30"/>
        <w:tblW w:w="8734" w:type="dxa"/>
        <w:tblInd w:w="0" w:type="dxa"/>
        <w:tblLayout w:type="fixed"/>
        <w:tblCellMar>
          <w:top w:w="0" w:type="dxa"/>
          <w:left w:w="108" w:type="dxa"/>
          <w:bottom w:w="0" w:type="dxa"/>
          <w:right w:w="108" w:type="dxa"/>
        </w:tblCellMar>
      </w:tblPr>
      <w:tblGrid>
        <w:gridCol w:w="672"/>
        <w:gridCol w:w="3256"/>
        <w:gridCol w:w="1646"/>
        <w:gridCol w:w="1570"/>
        <w:gridCol w:w="1590"/>
      </w:tblGrid>
      <w:tr>
        <w:tblPrEx>
          <w:tblLayout w:type="fixed"/>
          <w:tblCellMar>
            <w:top w:w="0" w:type="dxa"/>
            <w:left w:w="108" w:type="dxa"/>
            <w:bottom w:w="0" w:type="dxa"/>
            <w:right w:w="108" w:type="dxa"/>
          </w:tblCellMar>
        </w:tblPrEx>
        <w:trPr>
          <w:trHeight w:val="54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3256"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名称</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近期规模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2022-2025</w:t>
            </w:r>
            <w:r>
              <w:rPr>
                <w:rFonts w:hint="eastAsia" w:eastAsia="宋体" w:cs="Times New Roman"/>
                <w:b/>
                <w:bCs/>
                <w:color w:val="auto"/>
                <w:kern w:val="0"/>
                <w:sz w:val="22"/>
                <w:szCs w:val="22"/>
                <w:highlight w:val="none"/>
                <w:lang w:eastAsia="zh-CN"/>
              </w:rPr>
              <w:t>）</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远期规模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2026-2030</w:t>
            </w:r>
            <w:r>
              <w:rPr>
                <w:rFonts w:hint="eastAsia" w:eastAsia="宋体" w:cs="Times New Roman"/>
                <w:b/>
                <w:bCs/>
                <w:color w:val="auto"/>
                <w:kern w:val="0"/>
                <w:sz w:val="22"/>
                <w:szCs w:val="22"/>
                <w:highlight w:val="none"/>
                <w:lang w:eastAsia="zh-CN"/>
              </w:rPr>
              <w:t>）</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总体规模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2022-2030</w:t>
            </w:r>
            <w:r>
              <w:rPr>
                <w:rFonts w:hint="eastAsia" w:eastAsia="宋体" w:cs="Times New Roman"/>
                <w:b/>
                <w:bCs/>
                <w:color w:val="auto"/>
                <w:kern w:val="0"/>
                <w:sz w:val="22"/>
                <w:szCs w:val="22"/>
                <w:highlight w:val="none"/>
                <w:lang w:eastAsia="zh-CN"/>
              </w:rPr>
              <w:t>）</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土博镇梅里村梅里屯水土保持重点预防项目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2</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进德镇岜公塘湿地公园水土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1.07</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1.07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3</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百朋镇百朋荷苑景区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0.79</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0.79</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4</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w:t>
            </w:r>
            <w:r>
              <w:rPr>
                <w:rFonts w:hint="eastAsia" w:eastAsia="宋体" w:cs="Times New Roman"/>
                <w:color w:val="auto"/>
                <w:kern w:val="0"/>
                <w:sz w:val="22"/>
                <w:szCs w:val="22"/>
                <w:highlight w:val="none"/>
              </w:rPr>
              <w:t>古岭龙景区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0.13</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0.13</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羊占度假庄园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0.05</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0.05</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6</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晋航农业生态园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0.70</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0.70</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7</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紫藤花农庄</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0.04</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0.04</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8</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w:t>
            </w:r>
            <w:r>
              <w:rPr>
                <w:rFonts w:hint="eastAsia" w:eastAsia="宋体" w:cs="Times New Roman"/>
                <w:color w:val="auto"/>
                <w:kern w:val="0"/>
                <w:sz w:val="22"/>
                <w:szCs w:val="22"/>
                <w:highlight w:val="none"/>
                <w:lang w:val="en-US" w:eastAsia="zh-CN"/>
              </w:rPr>
              <w:t>和村庄园水土</w:t>
            </w:r>
            <w:r>
              <w:rPr>
                <w:rFonts w:eastAsia="宋体" w:cs="Times New Roman"/>
                <w:color w:val="auto"/>
                <w:kern w:val="0"/>
                <w:sz w:val="22"/>
                <w:szCs w:val="22"/>
                <w:highlight w:val="none"/>
              </w:rPr>
              <w:t>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0.07</w:t>
            </w: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hint="eastAsia" w:eastAsia="宋体" w:cs="Times New Roman"/>
                <w:color w:val="auto"/>
                <w:kern w:val="0"/>
                <w:sz w:val="22"/>
                <w:szCs w:val="22"/>
                <w:highlight w:val="none"/>
                <w:lang w:val="en-US" w:eastAsia="zh-CN"/>
              </w:rPr>
              <w:t>9</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百朋镇百朋水厂水源地水土保持重点预防项目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hint="eastAsia" w:eastAsia="宋体" w:cs="Times New Roman"/>
                <w:color w:val="auto"/>
                <w:kern w:val="0"/>
                <w:sz w:val="22"/>
                <w:szCs w:val="22"/>
                <w:highlight w:val="none"/>
                <w:lang w:val="en-US" w:eastAsia="zh-CN"/>
              </w:rPr>
              <w:t>10</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成团镇北弓水厂水源地水土保持重点预防项目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11</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三都镇三都水厂水源地水土保持重点预防项目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12</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里高镇里高水厂水源地水土保持重点预防项目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13</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穿山镇雄良水厂水源地水土保持重点预防项目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14</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土博镇土博水厂水源地水土保持重点预防项目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15</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穿山镇思荣村思炉屯水源地水土保持重点预防项目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16</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穿山镇竹山村竹山屯水源地水土保持重点预防项目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r>
      <w:tr>
        <w:tblPrEx>
          <w:tblLayout w:type="fixed"/>
          <w:tblCellMar>
            <w:top w:w="0" w:type="dxa"/>
            <w:left w:w="108" w:type="dxa"/>
            <w:bottom w:w="0" w:type="dxa"/>
            <w:right w:w="108" w:type="dxa"/>
          </w:tblCellMar>
        </w:tblPrEx>
        <w:trPr>
          <w:trHeight w:val="229"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17</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穿山镇龙平村弓村屯水源地水土保持重点预防项目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eastAsia="宋体" w:cs="Times New Roman"/>
                <w:color w:val="auto"/>
                <w:kern w:val="0"/>
                <w:sz w:val="22"/>
                <w:szCs w:val="22"/>
                <w:highlight w:val="none"/>
              </w:rPr>
              <w:t>1</w:t>
            </w:r>
            <w:r>
              <w:rPr>
                <w:rFonts w:hint="eastAsia" w:eastAsia="宋体" w:cs="Times New Roman"/>
                <w:color w:val="auto"/>
                <w:kern w:val="0"/>
                <w:sz w:val="22"/>
                <w:szCs w:val="22"/>
                <w:highlight w:val="none"/>
                <w:lang w:val="en-US" w:eastAsia="zh-CN"/>
              </w:rPr>
              <w:t>8</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北之江柳江</w:t>
            </w:r>
            <w:r>
              <w:rPr>
                <w:rFonts w:hint="eastAsia" w:eastAsia="宋体" w:cs="Times New Roman"/>
                <w:color w:val="auto"/>
                <w:kern w:val="0"/>
                <w:sz w:val="22"/>
                <w:szCs w:val="22"/>
                <w:highlight w:val="none"/>
                <w:lang w:eastAsia="zh-CN"/>
              </w:rPr>
              <w:t>－</w:t>
            </w:r>
            <w:r>
              <w:rPr>
                <w:rFonts w:eastAsia="宋体" w:cs="Times New Roman"/>
                <w:color w:val="auto"/>
                <w:kern w:val="0"/>
                <w:sz w:val="22"/>
                <w:szCs w:val="22"/>
                <w:highlight w:val="none"/>
              </w:rPr>
              <w:t>忻城源头水保护区水土保持重点预防项目</w:t>
            </w:r>
          </w:p>
        </w:tc>
        <w:tc>
          <w:tcPr>
            <w:tcW w:w="16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7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r>
      <w:tr>
        <w:tblPrEx>
          <w:tblLayout w:type="fixed"/>
          <w:tblCellMar>
            <w:top w:w="0" w:type="dxa"/>
            <w:left w:w="108" w:type="dxa"/>
            <w:bottom w:w="0" w:type="dxa"/>
            <w:right w:w="108" w:type="dxa"/>
          </w:tblCellMar>
        </w:tblPrEx>
        <w:trPr>
          <w:trHeight w:val="301" w:hRule="atLeast"/>
        </w:trPr>
        <w:tc>
          <w:tcPr>
            <w:tcW w:w="3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24.65</w:t>
            </w:r>
          </w:p>
        </w:tc>
        <w:tc>
          <w:tcPr>
            <w:tcW w:w="157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宋体" w:cs="Times New Roman"/>
                <w:color w:val="auto"/>
                <w:kern w:val="0"/>
                <w:sz w:val="22"/>
                <w:szCs w:val="22"/>
                <w:highlight w:val="none"/>
              </w:rPr>
              <w:t>31.85</w:t>
            </w:r>
          </w:p>
        </w:tc>
        <w:tc>
          <w:tcPr>
            <w:tcW w:w="159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56.50</w:t>
            </w:r>
          </w:p>
        </w:tc>
      </w:tr>
    </w:tbl>
    <w:p>
      <w:pPr>
        <w:ind w:left="0" w:leftChars="0" w:firstLine="0" w:firstLineChars="0"/>
        <w:rPr>
          <w:rFonts w:cs="Times New Roman"/>
          <w:color w:val="auto"/>
          <w:highlight w:val="none"/>
        </w:rPr>
      </w:pPr>
    </w:p>
    <w:p>
      <w:pPr>
        <w:pStyle w:val="2"/>
        <w:rPr>
          <w:color w:val="auto"/>
          <w:highlight w:val="none"/>
        </w:rPr>
      </w:pPr>
      <w:bookmarkStart w:id="350" w:name="_Toc4281"/>
      <w:bookmarkStart w:id="351" w:name="_Toc119515901"/>
      <w:bookmarkStart w:id="352" w:name="_Toc90399105"/>
      <w:r>
        <w:rPr>
          <w:color w:val="auto"/>
          <w:highlight w:val="none"/>
          <w:lang w:val="en-US"/>
        </w:rPr>
        <w:t>7综合治理</w:t>
      </w:r>
      <w:bookmarkEnd w:id="350"/>
      <w:bookmarkEnd w:id="351"/>
      <w:bookmarkEnd w:id="352"/>
    </w:p>
    <w:p>
      <w:pPr>
        <w:rPr>
          <w:rFonts w:cs="Times New Roman"/>
          <w:color w:val="auto"/>
          <w:highlight w:val="none"/>
        </w:rPr>
      </w:pPr>
      <w:bookmarkStart w:id="353" w:name="_Toc528946008"/>
      <w:bookmarkStart w:id="354" w:name="_Toc480205000"/>
      <w:bookmarkStart w:id="355" w:name="_Toc439661549"/>
      <w:bookmarkStart w:id="356" w:name="_Toc482812783"/>
      <w:r>
        <w:rPr>
          <w:rFonts w:cs="Times New Roman"/>
          <w:color w:val="auto"/>
          <w:highlight w:val="none"/>
        </w:rPr>
        <w:t>坚持统一规划、政府领导、部门协作、项目带动、社会参与，在水土流失地区统筹开展水土保持重点工程、林业生态工程、土地整治等相关生态建设项目，引导社会资本参与水土流失治理。坚持“综合治理，因地制宜”，科学配置林草、工程以及农业保护性耕作措施，积极维护和增强区域水土保持功能，兼顾经济效益和社会效益，优化水土资源配置，促进农村产业结构调整，保障区域经济社会可持续发展。</w:t>
      </w:r>
    </w:p>
    <w:p>
      <w:pPr>
        <w:pStyle w:val="3"/>
        <w:spacing w:before="156"/>
        <w:ind w:firstLine="602"/>
        <w:rPr>
          <w:color w:val="auto"/>
          <w:highlight w:val="none"/>
        </w:rPr>
      </w:pPr>
      <w:bookmarkStart w:id="357" w:name="_Toc11032"/>
      <w:bookmarkStart w:id="358" w:name="_Toc90399106"/>
      <w:bookmarkStart w:id="359" w:name="_Toc119515902"/>
      <w:bookmarkStart w:id="360" w:name="_Toc7047"/>
      <w:r>
        <w:rPr>
          <w:color w:val="auto"/>
          <w:highlight w:val="none"/>
          <w:lang w:val="en-US"/>
        </w:rPr>
        <w:t>7.</w:t>
      </w:r>
      <w:r>
        <w:rPr>
          <w:color w:val="auto"/>
          <w:highlight w:val="none"/>
        </w:rPr>
        <w:t>1治理范围、对象</w:t>
      </w:r>
      <w:bookmarkEnd w:id="353"/>
      <w:bookmarkEnd w:id="354"/>
      <w:bookmarkEnd w:id="355"/>
      <w:bookmarkEnd w:id="356"/>
      <w:bookmarkEnd w:id="357"/>
      <w:r>
        <w:rPr>
          <w:color w:val="auto"/>
          <w:highlight w:val="none"/>
        </w:rPr>
        <w:t>及规模</w:t>
      </w:r>
      <w:bookmarkEnd w:id="358"/>
      <w:bookmarkEnd w:id="359"/>
      <w:bookmarkEnd w:id="360"/>
    </w:p>
    <w:p>
      <w:pPr>
        <w:pStyle w:val="4"/>
        <w:spacing w:before="156"/>
        <w:ind w:firstLine="562"/>
        <w:rPr>
          <w:color w:val="auto"/>
          <w:highlight w:val="none"/>
        </w:rPr>
      </w:pPr>
      <w:bookmarkStart w:id="361" w:name="_Toc439661550"/>
      <w:bookmarkStart w:id="362" w:name="_Toc2288"/>
      <w:bookmarkStart w:id="363" w:name="_Toc13659"/>
      <w:bookmarkStart w:id="364" w:name="_Toc119515903"/>
      <w:r>
        <w:rPr>
          <w:color w:val="auto"/>
          <w:highlight w:val="none"/>
          <w:lang w:val="en-US"/>
        </w:rPr>
        <w:t>7.</w:t>
      </w:r>
      <w:r>
        <w:rPr>
          <w:color w:val="auto"/>
          <w:highlight w:val="none"/>
        </w:rPr>
        <w:t>1.1</w:t>
      </w:r>
      <w:bookmarkEnd w:id="361"/>
      <w:r>
        <w:rPr>
          <w:color w:val="auto"/>
          <w:highlight w:val="none"/>
        </w:rPr>
        <w:t>确定原则</w:t>
      </w:r>
      <w:bookmarkEnd w:id="362"/>
      <w:bookmarkEnd w:id="363"/>
      <w:bookmarkEnd w:id="364"/>
    </w:p>
    <w:p>
      <w:pPr>
        <w:rPr>
          <w:rFonts w:cs="Times New Roman"/>
          <w:color w:val="auto"/>
          <w:highlight w:val="none"/>
        </w:rPr>
      </w:pPr>
      <w:r>
        <w:rPr>
          <w:rFonts w:cs="Times New Roman"/>
          <w:color w:val="auto"/>
          <w:highlight w:val="none"/>
        </w:rPr>
        <w:t>（1）具有重要的土壤保持、拦沙减沙、蓄水保水、防灾减灾、防风固沙等作用的水土保持功能区；</w:t>
      </w:r>
    </w:p>
    <w:p>
      <w:pPr>
        <w:rPr>
          <w:rFonts w:cs="Times New Roman"/>
          <w:color w:val="auto"/>
          <w:highlight w:val="none"/>
        </w:rPr>
      </w:pPr>
      <w:r>
        <w:rPr>
          <w:rFonts w:cs="Times New Roman"/>
          <w:color w:val="auto"/>
          <w:highlight w:val="none"/>
        </w:rPr>
        <w:t>（2）集中连片，具有一定规模的水土流失区域；</w:t>
      </w:r>
    </w:p>
    <w:p>
      <w:pPr>
        <w:rPr>
          <w:rFonts w:cs="Times New Roman"/>
          <w:color w:val="auto"/>
          <w:highlight w:val="none"/>
        </w:rPr>
      </w:pPr>
      <w:r>
        <w:rPr>
          <w:rFonts w:cs="Times New Roman"/>
          <w:color w:val="auto"/>
          <w:highlight w:val="none"/>
        </w:rPr>
        <w:t>（3）水土流失程度高、危害大、治理迫切的其他区域。</w:t>
      </w:r>
    </w:p>
    <w:p>
      <w:pPr>
        <w:pStyle w:val="4"/>
        <w:spacing w:before="156"/>
        <w:ind w:firstLine="562"/>
        <w:rPr>
          <w:color w:val="auto"/>
          <w:highlight w:val="none"/>
        </w:rPr>
      </w:pPr>
      <w:bookmarkStart w:id="365" w:name="_Toc11049"/>
      <w:bookmarkStart w:id="366" w:name="_Toc119515904"/>
      <w:bookmarkStart w:id="367" w:name="_Toc2264"/>
      <w:bookmarkStart w:id="368" w:name="_Toc23250"/>
      <w:r>
        <w:rPr>
          <w:color w:val="auto"/>
          <w:highlight w:val="none"/>
          <w:lang w:val="en-US"/>
        </w:rPr>
        <w:t>7.</w:t>
      </w:r>
      <w:r>
        <w:rPr>
          <w:color w:val="auto"/>
          <w:highlight w:val="none"/>
        </w:rPr>
        <w:t>1.</w:t>
      </w:r>
      <w:r>
        <w:rPr>
          <w:color w:val="auto"/>
          <w:highlight w:val="none"/>
          <w:lang w:val="en-US"/>
        </w:rPr>
        <w:t>2</w:t>
      </w:r>
      <w:r>
        <w:rPr>
          <w:color w:val="auto"/>
          <w:highlight w:val="none"/>
        </w:rPr>
        <w:t>治理对象</w:t>
      </w:r>
      <w:bookmarkEnd w:id="365"/>
      <w:bookmarkEnd w:id="366"/>
    </w:p>
    <w:p>
      <w:pPr>
        <w:rPr>
          <w:rFonts w:cs="Times New Roman"/>
          <w:color w:val="auto"/>
          <w:highlight w:val="none"/>
        </w:rPr>
      </w:pPr>
      <w:r>
        <w:rPr>
          <w:rFonts w:cs="Times New Roman"/>
          <w:color w:val="auto"/>
          <w:highlight w:val="none"/>
        </w:rPr>
        <w:t>根据《水土保持规划编制规范》（SL335-2014）要求，县级水土保持规划的</w:t>
      </w:r>
      <w:r>
        <w:rPr>
          <w:rFonts w:cs="Times New Roman"/>
          <w:color w:val="auto"/>
          <w:highlight w:val="none"/>
          <w:lang w:val="en-GB"/>
        </w:rPr>
        <w:t>具体治理的对象应包括</w:t>
      </w:r>
      <w:r>
        <w:rPr>
          <w:rFonts w:cs="Times New Roman"/>
          <w:color w:val="auto"/>
          <w:highlight w:val="none"/>
        </w:rPr>
        <w:t>：坡耕地、“四荒”地、水蚀坡林（园）地；规模较大的重力侵蚀坡面、崩岗、侵蚀沟道、山洪沟道；沙化土地、风蚀区和风蚀水蚀交错区的退化草（灌草）地等；石漠化、砂砾化等侵蚀劣地；侵蚀沟坡；规模较小的重力侵蚀坡面、侵蚀沟道、山洪沟道；支毛沟等其他需要治理的水土流失严重地区。</w:t>
      </w:r>
    </w:p>
    <w:p>
      <w:pPr>
        <w:rPr>
          <w:rFonts w:cs="Times New Roman"/>
          <w:color w:val="auto"/>
          <w:highlight w:val="none"/>
        </w:rPr>
      </w:pPr>
      <w:r>
        <w:rPr>
          <w:rFonts w:cs="Times New Roman"/>
          <w:color w:val="auto"/>
          <w:highlight w:val="none"/>
        </w:rPr>
        <w:t>根据治理范围确定原则及柳江区的实际情况，在综合治理</w:t>
      </w:r>
      <w:r>
        <w:rPr>
          <w:rFonts w:cs="Times New Roman"/>
          <w:color w:val="auto"/>
          <w:highlight w:val="none"/>
          <w:lang w:val="en-GB"/>
        </w:rPr>
        <w:t>范围内具体治理的对象包括</w:t>
      </w:r>
      <w:r>
        <w:rPr>
          <w:rFonts w:cs="Times New Roman"/>
          <w:color w:val="auto"/>
          <w:highlight w:val="none"/>
        </w:rPr>
        <w:t>：坡耕地、水蚀坡林（园）地、侵蚀沟坡</w:t>
      </w:r>
      <w:r>
        <w:rPr>
          <w:rFonts w:hint="eastAsia" w:cs="Times New Roman"/>
          <w:color w:val="auto"/>
          <w:highlight w:val="none"/>
          <w:lang w:eastAsia="zh-CN"/>
        </w:rPr>
        <w:t>，以及</w:t>
      </w:r>
      <w:r>
        <w:rPr>
          <w:rFonts w:cs="Times New Roman"/>
          <w:color w:val="auto"/>
          <w:highlight w:val="none"/>
        </w:rPr>
        <w:t>规模较小的重力侵蚀坡面、侵蚀沟道、山洪沟道等其他需要治理的水土流失严重地区。</w:t>
      </w:r>
    </w:p>
    <w:p>
      <w:pPr>
        <w:pStyle w:val="4"/>
        <w:spacing w:before="156"/>
        <w:ind w:firstLine="562"/>
        <w:rPr>
          <w:color w:val="auto"/>
          <w:highlight w:val="none"/>
        </w:rPr>
      </w:pPr>
      <w:bookmarkStart w:id="369" w:name="_Toc119515905"/>
      <w:bookmarkStart w:id="370" w:name="_Toc2386"/>
      <w:r>
        <w:rPr>
          <w:color w:val="auto"/>
          <w:highlight w:val="none"/>
          <w:lang w:val="en-US"/>
        </w:rPr>
        <w:t>7.</w:t>
      </w:r>
      <w:r>
        <w:rPr>
          <w:color w:val="auto"/>
          <w:highlight w:val="none"/>
        </w:rPr>
        <w:t>1.</w:t>
      </w:r>
      <w:r>
        <w:rPr>
          <w:color w:val="auto"/>
          <w:highlight w:val="none"/>
          <w:lang w:val="en-US"/>
        </w:rPr>
        <w:t>3</w:t>
      </w:r>
      <w:r>
        <w:rPr>
          <w:color w:val="auto"/>
          <w:highlight w:val="none"/>
        </w:rPr>
        <w:t>治理范围与规模</w:t>
      </w:r>
      <w:bookmarkEnd w:id="369"/>
      <w:bookmarkEnd w:id="370"/>
    </w:p>
    <w:p>
      <w:pPr>
        <w:rPr>
          <w:rFonts w:cs="Times New Roman"/>
          <w:color w:val="auto"/>
          <w:highlight w:val="none"/>
        </w:rPr>
      </w:pPr>
      <w:r>
        <w:rPr>
          <w:rFonts w:cs="Times New Roman"/>
          <w:color w:val="auto"/>
          <w:highlight w:val="none"/>
        </w:rPr>
        <w:t>柳江区不涉及国家级、柳州市级重点防治区，涉及1个自治区级水土流失重点治理区，</w:t>
      </w:r>
      <w:r>
        <w:rPr>
          <w:color w:val="auto"/>
          <w:highlight w:val="none"/>
        </w:rPr>
        <w:t>区划名称为桂中低山丘陵自治区级水土流失重点治理区</w:t>
      </w:r>
      <w:r>
        <w:rPr>
          <w:rFonts w:cs="Times New Roman"/>
          <w:color w:val="auto"/>
          <w:highlight w:val="none"/>
        </w:rPr>
        <w:t>。根据《水土流失重点防治区划分导则》（SL717-2015）要求，同级水土流失重点预防区和重点治理区不应交叉，各级水土流失重点防治区在空间上不能重叠，本次规划暂不划定柳江区县级水土流失重点治理区。根据《柳州市水土保持规划（2019</w:t>
      </w:r>
      <w:r>
        <w:rPr>
          <w:rFonts w:hint="eastAsia" w:cs="Times New Roman"/>
          <w:color w:val="auto"/>
          <w:highlight w:val="none"/>
          <w:lang w:eastAsia="zh-CN"/>
        </w:rPr>
        <w:t>～</w:t>
      </w:r>
      <w:r>
        <w:rPr>
          <w:rFonts w:cs="Times New Roman"/>
          <w:color w:val="auto"/>
          <w:highlight w:val="none"/>
        </w:rPr>
        <w:t>2030</w:t>
      </w:r>
      <w:r>
        <w:rPr>
          <w:rFonts w:hint="eastAsia" w:cs="Times New Roman"/>
          <w:color w:val="auto"/>
          <w:highlight w:val="none"/>
          <w:lang w:val="en-US" w:eastAsia="zh-CN"/>
        </w:rPr>
        <w:t>年</w:t>
      </w:r>
      <w:r>
        <w:rPr>
          <w:rFonts w:hint="eastAsia" w:cs="Times New Roman"/>
          <w:color w:val="auto"/>
          <w:highlight w:val="none"/>
          <w:lang w:eastAsia="zh-CN"/>
        </w:rPr>
        <w:t>）</w:t>
      </w:r>
      <w:r>
        <w:rPr>
          <w:rFonts w:cs="Times New Roman"/>
          <w:color w:val="auto"/>
          <w:highlight w:val="none"/>
        </w:rPr>
        <w:t>》本次规划的治理范围主要包括：里高镇、成团镇影响人类居住环境和农林业生产的水土流失区域；柳江区其他影响人类居住环境的水土流失区域。</w:t>
      </w:r>
      <w:bookmarkEnd w:id="367"/>
      <w:bookmarkEnd w:id="368"/>
    </w:p>
    <w:p>
      <w:pPr>
        <w:pStyle w:val="12"/>
        <w:snapToGrid w:val="0"/>
        <w:ind w:firstLine="560"/>
        <w:rPr>
          <w:rFonts w:eastAsia="仿宋"/>
          <w:color w:val="auto"/>
          <w:szCs w:val="28"/>
          <w:highlight w:val="none"/>
          <w:lang w:val="en-US"/>
        </w:rPr>
      </w:pPr>
      <w:r>
        <w:rPr>
          <w:color w:val="auto"/>
          <w:highlight w:val="none"/>
          <w:lang w:val="en-GB"/>
        </w:rPr>
        <w:t>本规划确定了</w:t>
      </w:r>
      <w:r>
        <w:rPr>
          <w:color w:val="auto"/>
          <w:highlight w:val="none"/>
          <w:lang w:val="en-US"/>
        </w:rPr>
        <w:t>以水利部门牵头，在</w:t>
      </w:r>
      <w:r>
        <w:rPr>
          <w:color w:val="auto"/>
          <w:highlight w:val="none"/>
          <w:lang w:val="en-GB"/>
        </w:rPr>
        <w:t>各部门、</w:t>
      </w:r>
      <w:r>
        <w:rPr>
          <w:color w:val="auto"/>
          <w:highlight w:val="none"/>
          <w:lang w:val="en-US"/>
        </w:rPr>
        <w:t>各行业和</w:t>
      </w:r>
      <w:r>
        <w:rPr>
          <w:color w:val="auto"/>
          <w:highlight w:val="none"/>
          <w:lang w:val="en-GB"/>
        </w:rPr>
        <w:t>社会力量</w:t>
      </w:r>
      <w:r>
        <w:rPr>
          <w:color w:val="auto"/>
          <w:highlight w:val="none"/>
          <w:lang w:val="en-US"/>
        </w:rPr>
        <w:t>的共同努力下</w:t>
      </w:r>
      <w:r>
        <w:rPr>
          <w:color w:val="auto"/>
          <w:highlight w:val="none"/>
          <w:lang w:val="en-GB"/>
        </w:rPr>
        <w:t>，</w:t>
      </w:r>
      <w:r>
        <w:rPr>
          <w:rFonts w:eastAsia="仿宋"/>
          <w:color w:val="auto"/>
          <w:szCs w:val="28"/>
          <w:highlight w:val="none"/>
          <w:lang w:val="en-US"/>
        </w:rPr>
        <w:t>到2030年柳江区将累计新增水土流失治理面积162.85km</w:t>
      </w:r>
      <w:r>
        <w:rPr>
          <w:rFonts w:eastAsia="仿宋"/>
          <w:color w:val="auto"/>
          <w:szCs w:val="28"/>
          <w:highlight w:val="none"/>
          <w:vertAlign w:val="superscript"/>
          <w:lang w:val="en-US"/>
        </w:rPr>
        <w:t>2</w:t>
      </w:r>
      <w:r>
        <w:rPr>
          <w:rFonts w:eastAsia="仿宋"/>
          <w:color w:val="auto"/>
          <w:szCs w:val="28"/>
          <w:highlight w:val="none"/>
          <w:lang w:val="en-US"/>
        </w:rPr>
        <w:t>，其中水利部门综合治理面积</w:t>
      </w:r>
      <w:r>
        <w:rPr>
          <w:rFonts w:hint="eastAsia" w:eastAsia="仿宋"/>
          <w:color w:val="auto"/>
          <w:szCs w:val="28"/>
          <w:highlight w:val="none"/>
          <w:lang w:val="en-US" w:eastAsia="zh-CN"/>
        </w:rPr>
        <w:t>32.57</w:t>
      </w:r>
      <w:r>
        <w:rPr>
          <w:rFonts w:eastAsia="仿宋"/>
          <w:color w:val="auto"/>
          <w:szCs w:val="28"/>
          <w:highlight w:val="none"/>
          <w:lang w:val="en-US"/>
        </w:rPr>
        <w:t xml:space="preserve"> km</w:t>
      </w:r>
      <w:r>
        <w:rPr>
          <w:rFonts w:eastAsia="仿宋"/>
          <w:color w:val="auto"/>
          <w:szCs w:val="28"/>
          <w:highlight w:val="none"/>
          <w:vertAlign w:val="superscript"/>
          <w:lang w:val="en-US"/>
        </w:rPr>
        <w:t>2</w:t>
      </w:r>
      <w:r>
        <w:rPr>
          <w:rFonts w:eastAsia="仿宋"/>
          <w:color w:val="auto"/>
          <w:szCs w:val="28"/>
          <w:highlight w:val="none"/>
          <w:lang w:val="en-US"/>
        </w:rPr>
        <w:t>，其他部门生态建设项目及社会力量综合治理面积</w:t>
      </w:r>
      <w:r>
        <w:rPr>
          <w:rFonts w:hint="eastAsia" w:eastAsia="仿宋"/>
          <w:color w:val="auto"/>
          <w:szCs w:val="28"/>
          <w:highlight w:val="none"/>
          <w:lang w:val="en-US" w:eastAsia="zh-CN"/>
        </w:rPr>
        <w:t>130.28</w:t>
      </w:r>
      <w:r>
        <w:rPr>
          <w:rFonts w:eastAsia="仿宋"/>
          <w:color w:val="auto"/>
          <w:szCs w:val="28"/>
          <w:highlight w:val="none"/>
          <w:lang w:val="en-US"/>
        </w:rPr>
        <w:t xml:space="preserve"> km</w:t>
      </w:r>
      <w:r>
        <w:rPr>
          <w:rFonts w:eastAsia="仿宋"/>
          <w:color w:val="auto"/>
          <w:szCs w:val="28"/>
          <w:highlight w:val="none"/>
          <w:vertAlign w:val="superscript"/>
          <w:lang w:val="en-US"/>
        </w:rPr>
        <w:t>2</w:t>
      </w:r>
      <w:r>
        <w:rPr>
          <w:rFonts w:eastAsia="仿宋"/>
          <w:color w:val="auto"/>
          <w:szCs w:val="28"/>
          <w:highlight w:val="none"/>
          <w:lang w:val="en-US"/>
        </w:rPr>
        <w:t>。规划近期（2022</w:t>
      </w:r>
      <w:r>
        <w:rPr>
          <w:rFonts w:hint="eastAsia" w:eastAsia="仿宋"/>
          <w:color w:val="auto"/>
          <w:szCs w:val="28"/>
          <w:highlight w:val="none"/>
          <w:lang w:val="en-US" w:eastAsia="zh-CN"/>
        </w:rPr>
        <w:t>—</w:t>
      </w:r>
      <w:r>
        <w:rPr>
          <w:rFonts w:eastAsia="仿宋"/>
          <w:color w:val="auto"/>
          <w:szCs w:val="28"/>
          <w:highlight w:val="none"/>
          <w:lang w:val="en-US"/>
        </w:rPr>
        <w:t>2025年）综合治理面积72.38km</w:t>
      </w:r>
      <w:r>
        <w:rPr>
          <w:rFonts w:eastAsia="仿宋"/>
          <w:color w:val="auto"/>
          <w:szCs w:val="28"/>
          <w:highlight w:val="none"/>
          <w:vertAlign w:val="superscript"/>
          <w:lang w:val="en-US"/>
        </w:rPr>
        <w:t>2</w:t>
      </w:r>
      <w:r>
        <w:rPr>
          <w:rFonts w:eastAsia="仿宋"/>
          <w:color w:val="auto"/>
          <w:szCs w:val="28"/>
          <w:highlight w:val="none"/>
          <w:lang w:val="en-US"/>
        </w:rPr>
        <w:t>，远期（2026</w:t>
      </w:r>
      <w:r>
        <w:rPr>
          <w:rFonts w:hint="eastAsia" w:eastAsia="仿宋"/>
          <w:color w:val="auto"/>
          <w:szCs w:val="28"/>
          <w:highlight w:val="none"/>
          <w:lang w:val="en-US" w:eastAsia="zh-CN"/>
        </w:rPr>
        <w:t>—</w:t>
      </w:r>
      <w:r>
        <w:rPr>
          <w:rFonts w:eastAsia="仿宋"/>
          <w:color w:val="auto"/>
          <w:szCs w:val="28"/>
          <w:highlight w:val="none"/>
          <w:lang w:val="en-US"/>
        </w:rPr>
        <w:t>2030年）综合治理面积90.47km</w:t>
      </w:r>
      <w:r>
        <w:rPr>
          <w:rFonts w:eastAsia="仿宋"/>
          <w:color w:val="auto"/>
          <w:szCs w:val="28"/>
          <w:highlight w:val="none"/>
          <w:vertAlign w:val="superscript"/>
          <w:lang w:val="en-US"/>
        </w:rPr>
        <w:t>2</w:t>
      </w:r>
      <w:r>
        <w:rPr>
          <w:rFonts w:eastAsia="仿宋"/>
          <w:color w:val="auto"/>
          <w:szCs w:val="28"/>
          <w:highlight w:val="none"/>
          <w:lang w:val="en-US"/>
        </w:rPr>
        <w:t>。详见表7.1-1。</w:t>
      </w:r>
    </w:p>
    <w:p>
      <w:pPr>
        <w:pStyle w:val="49"/>
        <w:spacing w:before="156"/>
        <w:ind w:firstLine="0" w:firstLineChars="0"/>
        <w:jc w:val="both"/>
        <w:rPr>
          <w:color w:val="auto"/>
          <w:highlight w:val="none"/>
        </w:rPr>
      </w:pPr>
    </w:p>
    <w:p>
      <w:pPr>
        <w:pStyle w:val="49"/>
        <w:spacing w:before="156"/>
        <w:ind w:firstLine="0" w:firstLineChars="0"/>
        <w:jc w:val="both"/>
        <w:rPr>
          <w:color w:val="auto"/>
          <w:highlight w:val="none"/>
        </w:rPr>
      </w:pPr>
    </w:p>
    <w:p>
      <w:pPr>
        <w:pStyle w:val="49"/>
        <w:spacing w:before="156"/>
        <w:ind w:firstLine="0" w:firstLineChars="0"/>
        <w:jc w:val="both"/>
        <w:rPr>
          <w:color w:val="auto"/>
          <w:highlight w:val="none"/>
        </w:rPr>
      </w:pPr>
    </w:p>
    <w:p>
      <w:pPr>
        <w:pStyle w:val="49"/>
        <w:spacing w:before="156"/>
        <w:ind w:firstLine="0" w:firstLineChars="0"/>
        <w:jc w:val="both"/>
        <w:rPr>
          <w:color w:val="auto"/>
          <w:highlight w:val="none"/>
        </w:rPr>
      </w:pPr>
      <w:r>
        <w:rPr>
          <w:color w:val="auto"/>
          <w:highlight w:val="none"/>
        </w:rPr>
        <w:t>表7.1-1     柳江区规划水土流失综合治理规模</w:t>
      </w:r>
    </w:p>
    <w:p>
      <w:pPr>
        <w:pStyle w:val="49"/>
        <w:spacing w:before="156"/>
        <w:ind w:firstLine="0" w:firstLineChars="0"/>
        <w:jc w:val="right"/>
        <w:rPr>
          <w:b w:val="0"/>
          <w:bCs/>
          <w:color w:val="auto"/>
          <w:sz w:val="21"/>
          <w:szCs w:val="21"/>
          <w:highlight w:val="none"/>
          <w:vertAlign w:val="superscript"/>
        </w:rPr>
      </w:pPr>
      <w:r>
        <w:rPr>
          <w:b w:val="0"/>
          <w:bCs/>
          <w:color w:val="auto"/>
          <w:sz w:val="21"/>
          <w:szCs w:val="21"/>
          <w:highlight w:val="none"/>
        </w:rPr>
        <w:t>单位：km</w:t>
      </w:r>
      <w:r>
        <w:rPr>
          <w:b w:val="0"/>
          <w:bCs/>
          <w:color w:val="auto"/>
          <w:sz w:val="21"/>
          <w:szCs w:val="21"/>
          <w:highlight w:val="none"/>
          <w:vertAlign w:val="superscript"/>
        </w:rPr>
        <w:t>2</w:t>
      </w:r>
    </w:p>
    <w:tbl>
      <w:tblPr>
        <w:tblStyle w:val="30"/>
        <w:tblW w:w="8528" w:type="dxa"/>
        <w:tblInd w:w="0" w:type="dxa"/>
        <w:tblLayout w:type="fixed"/>
        <w:tblCellMar>
          <w:top w:w="0" w:type="dxa"/>
          <w:left w:w="108" w:type="dxa"/>
          <w:bottom w:w="0" w:type="dxa"/>
          <w:right w:w="108" w:type="dxa"/>
        </w:tblCellMar>
      </w:tblPr>
      <w:tblGrid>
        <w:gridCol w:w="1451"/>
        <w:gridCol w:w="2019"/>
        <w:gridCol w:w="2529"/>
        <w:gridCol w:w="2529"/>
      </w:tblGrid>
      <w:tr>
        <w:tblPrEx>
          <w:tblLayout w:type="fixed"/>
          <w:tblCellMar>
            <w:top w:w="0" w:type="dxa"/>
            <w:left w:w="108" w:type="dxa"/>
            <w:bottom w:w="0" w:type="dxa"/>
            <w:right w:w="108" w:type="dxa"/>
          </w:tblCellMar>
        </w:tblPrEx>
        <w:trPr>
          <w:trHeight w:val="540" w:hRule="atLeast"/>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治理主体</w:t>
            </w:r>
          </w:p>
        </w:tc>
        <w:tc>
          <w:tcPr>
            <w:tcW w:w="201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近期治理</w:t>
            </w:r>
          </w:p>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（2022</w:t>
            </w:r>
            <w:r>
              <w:rPr>
                <w:rFonts w:hint="eastAsia" w:eastAsia="宋体" w:cs="Times New Roman"/>
                <w:b/>
                <w:color w:val="auto"/>
                <w:kern w:val="0"/>
                <w:sz w:val="21"/>
                <w:szCs w:val="21"/>
                <w:highlight w:val="none"/>
                <w:lang w:eastAsia="zh-CN"/>
              </w:rPr>
              <w:t>—</w:t>
            </w:r>
            <w:r>
              <w:rPr>
                <w:rFonts w:eastAsia="宋体" w:cs="Times New Roman"/>
                <w:b/>
                <w:color w:val="auto"/>
                <w:kern w:val="0"/>
                <w:sz w:val="21"/>
                <w:szCs w:val="21"/>
                <w:highlight w:val="none"/>
              </w:rPr>
              <w:t>2025年）</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远期治理</w:t>
            </w:r>
          </w:p>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（2026</w:t>
            </w:r>
            <w:r>
              <w:rPr>
                <w:rFonts w:hint="eastAsia" w:eastAsia="宋体" w:cs="Times New Roman"/>
                <w:b/>
                <w:color w:val="auto"/>
                <w:kern w:val="0"/>
                <w:sz w:val="21"/>
                <w:szCs w:val="21"/>
                <w:highlight w:val="none"/>
                <w:lang w:eastAsia="zh-CN"/>
              </w:rPr>
              <w:t>—</w:t>
            </w:r>
            <w:r>
              <w:rPr>
                <w:rFonts w:eastAsia="宋体" w:cs="Times New Roman"/>
                <w:b/>
                <w:color w:val="auto"/>
                <w:kern w:val="0"/>
                <w:sz w:val="21"/>
                <w:szCs w:val="21"/>
                <w:highlight w:val="none"/>
              </w:rPr>
              <w:t>2030年）</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总体治理</w:t>
            </w:r>
          </w:p>
          <w:p>
            <w:pPr>
              <w:widowControl/>
              <w:adjustRightInd/>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（2022</w:t>
            </w:r>
            <w:r>
              <w:rPr>
                <w:rFonts w:hint="eastAsia" w:eastAsia="宋体" w:cs="Times New Roman"/>
                <w:b/>
                <w:color w:val="auto"/>
                <w:kern w:val="0"/>
                <w:sz w:val="21"/>
                <w:szCs w:val="21"/>
                <w:highlight w:val="none"/>
                <w:lang w:eastAsia="zh-CN"/>
              </w:rPr>
              <w:t>—</w:t>
            </w:r>
            <w:r>
              <w:rPr>
                <w:rFonts w:eastAsia="宋体" w:cs="Times New Roman"/>
                <w:b/>
                <w:color w:val="auto"/>
                <w:kern w:val="0"/>
                <w:sz w:val="21"/>
                <w:szCs w:val="21"/>
                <w:highlight w:val="none"/>
              </w:rPr>
              <w:t>2030年）</w:t>
            </w:r>
          </w:p>
        </w:tc>
      </w:tr>
      <w:tr>
        <w:tblPrEx>
          <w:tblLayout w:type="fixed"/>
          <w:tblCellMar>
            <w:top w:w="0" w:type="dxa"/>
            <w:left w:w="108" w:type="dxa"/>
            <w:bottom w:w="0" w:type="dxa"/>
            <w:right w:w="108" w:type="dxa"/>
          </w:tblCellMar>
        </w:tblPrEx>
        <w:trPr>
          <w:trHeight w:val="540" w:hRule="atLeast"/>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水利部门</w:t>
            </w:r>
          </w:p>
        </w:tc>
        <w:tc>
          <w:tcPr>
            <w:tcW w:w="201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12.57</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cs="Times New Roman"/>
                <w:color w:val="auto"/>
                <w:sz w:val="21"/>
                <w:szCs w:val="21"/>
                <w:highlight w:val="none"/>
              </w:rPr>
            </w:pPr>
            <w:r>
              <w:rPr>
                <w:rFonts w:hint="eastAsia" w:cs="Times New Roman"/>
                <w:color w:val="auto"/>
                <w:sz w:val="21"/>
                <w:szCs w:val="21"/>
                <w:highlight w:val="none"/>
              </w:rPr>
              <w:t xml:space="preserve">32.57 </w:t>
            </w:r>
          </w:p>
        </w:tc>
      </w:tr>
      <w:tr>
        <w:tblPrEx>
          <w:tblLayout w:type="fixed"/>
          <w:tblCellMar>
            <w:top w:w="0" w:type="dxa"/>
            <w:left w:w="108" w:type="dxa"/>
            <w:bottom w:w="0" w:type="dxa"/>
            <w:right w:w="108" w:type="dxa"/>
          </w:tblCellMar>
        </w:tblPrEx>
        <w:trPr>
          <w:trHeight w:val="540" w:hRule="atLeast"/>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其他</w:t>
            </w:r>
          </w:p>
        </w:tc>
        <w:tc>
          <w:tcPr>
            <w:tcW w:w="201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52.38</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77.90</w:t>
            </w:r>
          </w:p>
        </w:tc>
        <w:tc>
          <w:tcPr>
            <w:tcW w:w="25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cs="Times New Roman"/>
                <w:color w:val="auto"/>
                <w:sz w:val="21"/>
                <w:szCs w:val="21"/>
                <w:highlight w:val="none"/>
              </w:rPr>
            </w:pPr>
            <w:r>
              <w:rPr>
                <w:rFonts w:hint="eastAsia" w:cs="Times New Roman"/>
                <w:color w:val="auto"/>
                <w:sz w:val="21"/>
                <w:szCs w:val="21"/>
                <w:highlight w:val="none"/>
              </w:rPr>
              <w:t>130.28</w:t>
            </w:r>
          </w:p>
        </w:tc>
      </w:tr>
      <w:tr>
        <w:tblPrEx>
          <w:tblLayout w:type="fixed"/>
          <w:tblCellMar>
            <w:top w:w="0" w:type="dxa"/>
            <w:left w:w="108" w:type="dxa"/>
            <w:bottom w:w="0" w:type="dxa"/>
            <w:right w:w="108" w:type="dxa"/>
          </w:tblCellMar>
        </w:tblPrEx>
        <w:trPr>
          <w:trHeight w:val="540" w:hRule="atLeast"/>
        </w:trPr>
        <w:tc>
          <w:tcPr>
            <w:tcW w:w="145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柳江区合计</w:t>
            </w:r>
          </w:p>
        </w:tc>
        <w:tc>
          <w:tcPr>
            <w:tcW w:w="2019"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72.38</w:t>
            </w:r>
          </w:p>
        </w:tc>
        <w:tc>
          <w:tcPr>
            <w:tcW w:w="2529"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90.47</w:t>
            </w:r>
          </w:p>
        </w:tc>
        <w:tc>
          <w:tcPr>
            <w:tcW w:w="2529"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162.85</w:t>
            </w:r>
          </w:p>
        </w:tc>
      </w:tr>
    </w:tbl>
    <w:p>
      <w:pPr>
        <w:pStyle w:val="49"/>
        <w:spacing w:before="156"/>
        <w:ind w:firstLine="0" w:firstLineChars="0"/>
        <w:jc w:val="both"/>
        <w:rPr>
          <w:b w:val="0"/>
          <w:bCs/>
          <w:color w:val="auto"/>
          <w:sz w:val="21"/>
          <w:szCs w:val="21"/>
          <w:highlight w:val="none"/>
          <w:vertAlign w:val="superscript"/>
        </w:rPr>
      </w:pPr>
    </w:p>
    <w:p>
      <w:pPr>
        <w:pStyle w:val="3"/>
        <w:spacing w:before="156"/>
        <w:ind w:firstLine="602"/>
        <w:rPr>
          <w:color w:val="auto"/>
          <w:highlight w:val="none"/>
          <w:lang w:val="en-US"/>
        </w:rPr>
      </w:pPr>
      <w:bookmarkStart w:id="371" w:name="_Toc12765"/>
      <w:bookmarkStart w:id="372" w:name="_Toc21445"/>
      <w:bookmarkStart w:id="373" w:name="_Toc90399107"/>
      <w:bookmarkStart w:id="374" w:name="_Toc119515906"/>
      <w:r>
        <w:rPr>
          <w:color w:val="auto"/>
          <w:highlight w:val="none"/>
          <w:lang w:val="en-US"/>
        </w:rPr>
        <w:t>7.2</w:t>
      </w:r>
      <w:bookmarkEnd w:id="371"/>
      <w:r>
        <w:rPr>
          <w:color w:val="auto"/>
          <w:highlight w:val="none"/>
          <w:lang w:val="en-US"/>
        </w:rPr>
        <w:t>治理措施体系</w:t>
      </w:r>
      <w:bookmarkEnd w:id="372"/>
      <w:bookmarkEnd w:id="373"/>
      <w:bookmarkEnd w:id="374"/>
    </w:p>
    <w:p>
      <w:pPr>
        <w:rPr>
          <w:rFonts w:cs="Times New Roman"/>
          <w:color w:val="auto"/>
          <w:highlight w:val="none"/>
        </w:rPr>
      </w:pPr>
      <w:r>
        <w:rPr>
          <w:rFonts w:cs="Times New Roman"/>
          <w:color w:val="auto"/>
          <w:highlight w:val="none"/>
        </w:rPr>
        <w:t>治理措施体系主要包括林草种植（水土保持林、经济果木林）、封禁治理、坡面整治及配套水系工程、河（沟）道及湖库周边整治、生态农业、面源污染防治、人居环境整治、生态护坡、</w:t>
      </w:r>
      <w:r>
        <w:rPr>
          <w:rFonts w:hint="eastAsia" w:cs="Times New Roman"/>
          <w:color w:val="auto"/>
          <w:highlight w:val="none"/>
          <w:lang w:eastAsia="zh-CN"/>
        </w:rPr>
        <w:t>生产建设</w:t>
      </w:r>
      <w:r>
        <w:rPr>
          <w:rFonts w:cs="Times New Roman"/>
          <w:color w:val="auto"/>
          <w:highlight w:val="none"/>
        </w:rPr>
        <w:t>项目水土流失治理等治理措施。</w:t>
      </w:r>
    </w:p>
    <w:p>
      <w:pPr>
        <w:pStyle w:val="4"/>
        <w:spacing w:before="156"/>
        <w:ind w:firstLine="562"/>
        <w:rPr>
          <w:color w:val="auto"/>
          <w:highlight w:val="none"/>
          <w:lang w:val="en-US"/>
        </w:rPr>
      </w:pPr>
      <w:bookmarkStart w:id="375" w:name="_Toc119515907"/>
      <w:bookmarkStart w:id="376" w:name="_Toc27477"/>
      <w:r>
        <w:rPr>
          <w:color w:val="auto"/>
          <w:highlight w:val="none"/>
          <w:lang w:val="en-US"/>
        </w:rPr>
        <w:t>7.2.1水土保持林</w:t>
      </w:r>
      <w:bookmarkEnd w:id="375"/>
      <w:bookmarkEnd w:id="376"/>
    </w:p>
    <w:p>
      <w:pPr>
        <w:autoSpaceDE w:val="0"/>
        <w:autoSpaceDN w:val="0"/>
        <w:rPr>
          <w:rFonts w:cs="Times New Roman"/>
          <w:color w:val="auto"/>
          <w:highlight w:val="none"/>
        </w:rPr>
      </w:pPr>
      <w:r>
        <w:rPr>
          <w:rFonts w:cs="Times New Roman"/>
          <w:color w:val="auto"/>
          <w:highlight w:val="none"/>
        </w:rPr>
        <w:t>在水土流失严重的荒山荒坡和不能快速自然恢复植被的稀疏林地，选择优良乡土树种或经多年栽培、适应性较强的引进树种，进行（针阔混交、乔灌草相结合）配置种植，以快速恢复植被，治理水土流失。</w:t>
      </w:r>
    </w:p>
    <w:p>
      <w:pPr>
        <w:pStyle w:val="4"/>
        <w:spacing w:before="156"/>
        <w:ind w:firstLine="562"/>
        <w:rPr>
          <w:color w:val="auto"/>
          <w:highlight w:val="none"/>
          <w:lang w:val="en-US"/>
        </w:rPr>
      </w:pPr>
      <w:bookmarkStart w:id="377" w:name="_Toc3807"/>
      <w:bookmarkStart w:id="378" w:name="_Toc119515908"/>
      <w:r>
        <w:rPr>
          <w:color w:val="auto"/>
          <w:highlight w:val="none"/>
          <w:lang w:val="en-US"/>
        </w:rPr>
        <w:t>7.2.2经济果木林</w:t>
      </w:r>
      <w:bookmarkEnd w:id="377"/>
      <w:bookmarkEnd w:id="378"/>
    </w:p>
    <w:p>
      <w:pPr>
        <w:autoSpaceDE w:val="0"/>
        <w:autoSpaceDN w:val="0"/>
        <w:rPr>
          <w:rFonts w:cs="Times New Roman"/>
          <w:color w:val="auto"/>
          <w:highlight w:val="none"/>
        </w:rPr>
      </w:pPr>
      <w:r>
        <w:rPr>
          <w:rFonts w:cs="Times New Roman"/>
          <w:color w:val="auto"/>
          <w:highlight w:val="none"/>
        </w:rPr>
        <w:t>经济果木林的配置需充分考虑群众的生产方式、经济效益等因素。在土层深厚、土质较好、临近水源、交通较为便利的荒山荒坡，选择符合当地农业主导产业发展的经济果木林品种（如龙眼、荔枝、芒果、火龙果等）进行开发种植，开发过程中采取少扰动地表、尽量保留原有植被的条带种植开发模式，加强开发过程中的土壤保护，增加地表覆盖，提高当地群众经济收入，治理水土流失。在种植经济果木林过程中，应注重改进培育模式、合理布局。</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1 \* GB3 </w:instrText>
      </w:r>
      <w:r>
        <w:rPr>
          <w:rFonts w:cs="Times New Roman"/>
          <w:color w:val="auto"/>
          <w:highlight w:val="none"/>
        </w:rPr>
        <w:fldChar w:fldCharType="separate"/>
      </w:r>
      <w:r>
        <w:rPr>
          <w:rFonts w:hint="eastAsia" w:ascii="宋体" w:hAnsi="宋体" w:eastAsia="宋体" w:cs="宋体"/>
          <w:color w:val="auto"/>
          <w:highlight w:val="none"/>
        </w:rPr>
        <w:t>①</w:t>
      </w:r>
      <w:r>
        <w:rPr>
          <w:rFonts w:cs="Times New Roman"/>
          <w:color w:val="auto"/>
          <w:highlight w:val="none"/>
        </w:rPr>
        <w:fldChar w:fldCharType="end"/>
      </w:r>
      <w:r>
        <w:rPr>
          <w:rFonts w:cs="Times New Roman"/>
          <w:color w:val="auto"/>
          <w:highlight w:val="none"/>
        </w:rPr>
        <w:t>改进培育模式。推进森林可持续经营，禁止“烧荒”清理林地，提倡“测土测叶”科学配方，平衡施肥；延长轮伐期，提高主伐林木径级；增加抚育作业次数；减少主伐时皆伐面积，从严控制每次皆伐连续作业面积；伐区周围要保留一定面积的保留林地（缓冲林带），保留伐区内的珍贵树种、幼树幼苗。同时，积极探索桉树与格木、降香黄檀、米老排、红锥、擎天树等乡土树种、珍贵树种混交模式，鼓励营造乡土树种、珍贵树种，降低人工桉树林面积。</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2 \* GB3 </w:instrText>
      </w:r>
      <w:r>
        <w:rPr>
          <w:rFonts w:cs="Times New Roman"/>
          <w:color w:val="auto"/>
          <w:highlight w:val="none"/>
        </w:rPr>
        <w:fldChar w:fldCharType="separate"/>
      </w:r>
      <w:r>
        <w:rPr>
          <w:rFonts w:hint="eastAsia" w:ascii="宋体" w:hAnsi="宋体" w:eastAsia="宋体" w:cs="宋体"/>
          <w:color w:val="auto"/>
          <w:highlight w:val="none"/>
        </w:rPr>
        <w:t>②</w:t>
      </w:r>
      <w:r>
        <w:rPr>
          <w:rFonts w:cs="Times New Roman"/>
          <w:color w:val="auto"/>
          <w:highlight w:val="none"/>
        </w:rPr>
        <w:fldChar w:fldCharType="end"/>
      </w:r>
      <w:r>
        <w:rPr>
          <w:rFonts w:cs="Times New Roman"/>
          <w:color w:val="auto"/>
          <w:highlight w:val="none"/>
        </w:rPr>
        <w:t>合理布局。经济林种植要加强生物多样性保护，要预留一定的野生动物、鸟类迁徙走廊，保留林地边缘的乡土树种和利用河流水系作为保护性走廊和珍稀濒危动物、植物及其栖息地；山顶、山脊、集水区（含水源库区）和沟壑两旁应保留原生植被；在江河、溪流、湿地、冲积沟、农耕地、省级以上交通要道和乡村居民区周边，以及受保护的廊道等易发生水土流失的地段，应保留10米以上的缓冲带（区）。</w:t>
      </w:r>
    </w:p>
    <w:p>
      <w:pPr>
        <w:pStyle w:val="4"/>
        <w:spacing w:before="156"/>
        <w:ind w:firstLine="562"/>
        <w:rPr>
          <w:color w:val="auto"/>
          <w:highlight w:val="none"/>
          <w:lang w:val="en-US"/>
        </w:rPr>
      </w:pPr>
      <w:bookmarkStart w:id="379" w:name="_Toc119515909"/>
      <w:bookmarkStart w:id="380" w:name="_Toc14528"/>
      <w:r>
        <w:rPr>
          <w:color w:val="auto"/>
          <w:highlight w:val="none"/>
          <w:lang w:val="en-US"/>
        </w:rPr>
        <w:t>7.2.3封禁治理</w:t>
      </w:r>
      <w:bookmarkEnd w:id="379"/>
      <w:bookmarkEnd w:id="380"/>
    </w:p>
    <w:p>
      <w:pPr>
        <w:autoSpaceDE w:val="0"/>
        <w:autoSpaceDN w:val="0"/>
        <w:rPr>
          <w:rFonts w:cs="Times New Roman"/>
          <w:color w:val="auto"/>
          <w:highlight w:val="none"/>
        </w:rPr>
      </w:pPr>
      <w:r>
        <w:rPr>
          <w:rFonts w:cs="Times New Roman"/>
          <w:color w:val="auto"/>
          <w:highlight w:val="none"/>
        </w:rPr>
        <w:t>在水土流失较轻、植被较好且能够自行修复的区域，划定封禁治理区域和周边界线，在封禁区的明显地段设立标志碑（牌），建立封禁制度。结合封禁治理，在林草稀疏或分布不均匀的地方进行补植补种，促进植被迅速恢复。</w:t>
      </w:r>
    </w:p>
    <w:p>
      <w:pPr>
        <w:autoSpaceDE w:val="0"/>
        <w:autoSpaceDN w:val="0"/>
        <w:rPr>
          <w:rFonts w:cs="Times New Roman"/>
          <w:color w:val="auto"/>
          <w:highlight w:val="none"/>
        </w:rPr>
      </w:pPr>
      <w:r>
        <w:rPr>
          <w:rFonts w:cs="Times New Roman"/>
          <w:color w:val="auto"/>
          <w:highlight w:val="none"/>
        </w:rPr>
        <w:t>山顶主要采取封禁措施培育植被，进行生态修复，以达到涵养水源、减少水土流失之目的。封山育林有以下三种方式</w:t>
      </w:r>
      <w:r>
        <w:rPr>
          <w:rFonts w:hint="eastAsia" w:cs="Times New Roman"/>
          <w:color w:val="auto"/>
          <w:highlight w:val="none"/>
          <w:lang w:eastAsia="zh-CN"/>
        </w:rPr>
        <w:t>：</w:t>
      </w:r>
      <w:r>
        <w:rPr>
          <w:rFonts w:cs="Times New Roman"/>
          <w:color w:val="auto"/>
          <w:highlight w:val="none"/>
        </w:rPr>
        <w:t xml:space="preserve"> </w:t>
      </w:r>
      <w:r>
        <w:rPr>
          <w:rFonts w:hint="eastAsia" w:ascii="宋体" w:hAnsi="宋体" w:eastAsia="宋体" w:cs="宋体"/>
          <w:color w:val="auto"/>
          <w:highlight w:val="none"/>
        </w:rPr>
        <w:t>①</w:t>
      </w:r>
      <w:r>
        <w:rPr>
          <w:rFonts w:cs="Times New Roman"/>
          <w:color w:val="auto"/>
          <w:highlight w:val="none"/>
        </w:rPr>
        <w:t>全封。全封是封山育林的主要方式。在封山育林期间禁止群众进入封育区从事砍树、修枝、割草、放牧、扒取枯枝落叶、铲草皮、挖药材、采果、采松脂等人为活动。自然保护区、水源涵养林、水土保持林、防风固沙林等均可采取全封的方式。</w:t>
      </w:r>
      <w:r>
        <w:rPr>
          <w:rFonts w:hint="eastAsia" w:ascii="宋体" w:hAnsi="宋体" w:eastAsia="宋体" w:cs="宋体"/>
          <w:color w:val="auto"/>
          <w:highlight w:val="none"/>
        </w:rPr>
        <w:t>②</w:t>
      </w:r>
      <w:r>
        <w:rPr>
          <w:rFonts w:cs="Times New Roman"/>
          <w:color w:val="auto"/>
          <w:highlight w:val="none"/>
        </w:rPr>
        <w:t>半封。半封为季节性的封山育林，指有计划、有步骤地定期进行开山割草、砍柴和人工抚育管理，但必须严禁砍伐目的树种，注意保护幼树。</w:t>
      </w:r>
      <w:r>
        <w:rPr>
          <w:rFonts w:hint="eastAsia" w:ascii="宋体" w:hAnsi="宋体" w:eastAsia="宋体" w:cs="宋体"/>
          <w:color w:val="auto"/>
          <w:highlight w:val="none"/>
        </w:rPr>
        <w:t>③</w:t>
      </w:r>
      <w:r>
        <w:rPr>
          <w:rFonts w:cs="Times New Roman"/>
          <w:color w:val="auto"/>
          <w:highlight w:val="none"/>
        </w:rPr>
        <w:t>轮封。根据当地群众的生产生活需要，把需要进行封山育林的地方分区划片，进行轮封。在不影响育林要求和水土保持的前提下，划出一定范围的林地，有计划地指导群众放牧、樵采等。</w:t>
      </w:r>
    </w:p>
    <w:p>
      <w:pPr>
        <w:autoSpaceDE w:val="0"/>
        <w:autoSpaceDN w:val="0"/>
        <w:rPr>
          <w:rFonts w:cs="Times New Roman"/>
          <w:color w:val="auto"/>
          <w:highlight w:val="none"/>
        </w:rPr>
      </w:pPr>
      <w:r>
        <w:rPr>
          <w:rFonts w:cs="Times New Roman"/>
          <w:color w:val="auto"/>
          <w:highlight w:val="none"/>
        </w:rPr>
        <w:t>在实施封山育林时，要在封育区的周边设置防止家畜进入的路障和警示牌，杜绝在封育范围内从事放牧等人为活动；建立进入封育区许可证制度，以杜绝与生态环境保护无关的一切活动；在植被差的地区，实施人工补种、补植等措施，以促进植被恢复。</w:t>
      </w:r>
    </w:p>
    <w:p>
      <w:pPr>
        <w:pStyle w:val="4"/>
        <w:spacing w:before="156"/>
        <w:ind w:firstLine="562"/>
        <w:rPr>
          <w:color w:val="auto"/>
          <w:highlight w:val="none"/>
          <w:lang w:val="en-US"/>
        </w:rPr>
      </w:pPr>
      <w:bookmarkStart w:id="381" w:name="_Toc17425"/>
      <w:bookmarkStart w:id="382" w:name="_Toc119515910"/>
      <w:r>
        <w:rPr>
          <w:color w:val="auto"/>
          <w:highlight w:val="none"/>
          <w:lang w:val="en-US"/>
        </w:rPr>
        <w:t>7.2.4</w:t>
      </w:r>
      <w:r>
        <w:rPr>
          <w:rFonts w:hint="eastAsia"/>
          <w:color w:val="auto"/>
          <w:highlight w:val="none"/>
          <w:lang w:val="en-US" w:eastAsia="zh-CN"/>
        </w:rPr>
        <w:t>坡耕地治理及配套</w:t>
      </w:r>
      <w:r>
        <w:rPr>
          <w:color w:val="auto"/>
          <w:highlight w:val="none"/>
          <w:lang w:val="en-US"/>
        </w:rPr>
        <w:t>工程</w:t>
      </w:r>
      <w:bookmarkEnd w:id="381"/>
      <w:bookmarkEnd w:id="382"/>
    </w:p>
    <w:p>
      <w:pPr>
        <w:autoSpaceDE w:val="0"/>
        <w:autoSpaceDN w:val="0"/>
        <w:rPr>
          <w:rFonts w:cs="Times New Roman"/>
          <w:color w:val="auto"/>
          <w:highlight w:val="none"/>
        </w:rPr>
      </w:pPr>
      <w:r>
        <w:rPr>
          <w:rFonts w:cs="Times New Roman"/>
          <w:color w:val="auto"/>
          <w:highlight w:val="none"/>
        </w:rPr>
        <w:t>（1）坡耕地治理</w:t>
      </w:r>
    </w:p>
    <w:p>
      <w:pPr>
        <w:autoSpaceDE w:val="0"/>
        <w:autoSpaceDN w:val="0"/>
        <w:rPr>
          <w:rFonts w:cs="Times New Roman"/>
          <w:color w:val="auto"/>
          <w:highlight w:val="none"/>
        </w:rPr>
      </w:pPr>
      <w:r>
        <w:rPr>
          <w:rFonts w:cs="Times New Roman"/>
          <w:color w:val="auto"/>
          <w:highlight w:val="none"/>
        </w:rPr>
        <w:t>将坡度为6~25°、适宜进行改造的坡耕地改造成梯田，形成保水、保肥、保土的高产农田；距离村庄远、坡度较大、土层较薄、缺少水源的坡耕地发展经济林果或种植水土保持林草，经果林开发采取水平条带、水平台地或水平阶整地的方式，沿地块台面外侧修筑挡水埂，台面内侧修筑坎下沟；坡度25°以上的陡坡耕地进行退耕还林（草）。</w:t>
      </w:r>
    </w:p>
    <w:p>
      <w:pPr>
        <w:rPr>
          <w:rFonts w:cs="Times New Roman"/>
          <w:color w:val="auto"/>
          <w:highlight w:val="none"/>
        </w:rPr>
      </w:pPr>
      <w:r>
        <w:rPr>
          <w:rFonts w:cs="Times New Roman"/>
          <w:color w:val="auto"/>
          <w:highlight w:val="none"/>
        </w:rPr>
        <w:t>（2）雨水集蓄配套工程</w:t>
      </w:r>
    </w:p>
    <w:p>
      <w:pPr>
        <w:autoSpaceDE w:val="0"/>
        <w:autoSpaceDN w:val="0"/>
        <w:rPr>
          <w:rFonts w:cs="Times New Roman"/>
          <w:color w:val="auto"/>
          <w:highlight w:val="none"/>
        </w:rPr>
      </w:pPr>
      <w:r>
        <w:rPr>
          <w:rFonts w:cs="Times New Roman"/>
          <w:color w:val="auto"/>
          <w:highlight w:val="none"/>
        </w:rPr>
        <w:t>坡面合理配套渠道、蓄水池、沉沙池、截（排）水沟等雨水集蓄工程，控制降水形成的地表径流，减少坡面下泄水量，增强防洪抗旱以及土壤保水能力，提高土地产出率。</w:t>
      </w:r>
    </w:p>
    <w:p>
      <w:pPr>
        <w:autoSpaceDE w:val="0"/>
        <w:autoSpaceDN w:val="0"/>
        <w:rPr>
          <w:rFonts w:cs="Times New Roman"/>
          <w:color w:val="auto"/>
          <w:highlight w:val="none"/>
        </w:rPr>
      </w:pPr>
      <w:r>
        <w:rPr>
          <w:rFonts w:cs="Times New Roman"/>
          <w:color w:val="auto"/>
          <w:highlight w:val="none"/>
        </w:rPr>
        <w:t>在山坡按照“截、引、排、蓄”相结合的原则，根据地貌部位、坡度、土层厚度和土地利用现状等，配置各类地块的水土流失防治措施，拦蓄和排泄坡面径流，减少坡面水土流失。小型水利水保工程包括水平截水沟、纵向排水沟、引水渠和沉沙池、蓄水池等。</w:t>
      </w:r>
    </w:p>
    <w:p>
      <w:pPr>
        <w:autoSpaceDE w:val="0"/>
        <w:autoSpaceDN w:val="0"/>
        <w:rPr>
          <w:rFonts w:cs="Times New Roman"/>
          <w:color w:val="auto"/>
          <w:highlight w:val="none"/>
        </w:rPr>
      </w:pPr>
      <w:r>
        <w:rPr>
          <w:rFonts w:cs="Times New Roman"/>
          <w:color w:val="auto"/>
          <w:highlight w:val="none"/>
        </w:rPr>
        <w:t>在侵蚀严重的特殊地块，综合进行梯田建设和坡面水系建设，使坡面径流按水平台阶迂回下山，可更好地发挥滞洪、沉沙、保持水土和土壤肥力的作用。</w:t>
      </w:r>
    </w:p>
    <w:p>
      <w:pPr>
        <w:pStyle w:val="4"/>
        <w:spacing w:before="156"/>
        <w:ind w:firstLine="562"/>
        <w:rPr>
          <w:rFonts w:hint="default" w:eastAsia="黑体"/>
          <w:color w:val="auto"/>
          <w:highlight w:val="none"/>
          <w:lang w:val="en-US" w:eastAsia="zh-CN"/>
        </w:rPr>
      </w:pPr>
      <w:bookmarkStart w:id="383" w:name="_Toc29684"/>
      <w:r>
        <w:rPr>
          <w:color w:val="auto"/>
          <w:highlight w:val="none"/>
          <w:lang w:val="en-US"/>
        </w:rPr>
        <w:t>7.2.5</w:t>
      </w:r>
      <w:r>
        <w:rPr>
          <w:rFonts w:hint="eastAsia"/>
          <w:color w:val="auto"/>
          <w:highlight w:val="none"/>
          <w:lang w:val="en-US" w:eastAsia="zh-CN"/>
        </w:rPr>
        <w:t>石漠化治理</w:t>
      </w:r>
      <w:bookmarkEnd w:id="383"/>
    </w:p>
    <w:p>
      <w:pPr>
        <w:autoSpaceDE w:val="0"/>
        <w:autoSpaceDN w:val="0"/>
        <w:rPr>
          <w:rFonts w:hint="default" w:cs="Times New Roman"/>
          <w:color w:val="auto"/>
          <w:highlight w:val="none"/>
          <w:lang w:val="en-US"/>
        </w:rPr>
      </w:pPr>
      <w:r>
        <w:rPr>
          <w:rFonts w:hint="eastAsia" w:cs="Times New Roman"/>
          <w:color w:val="auto"/>
          <w:highlight w:val="none"/>
        </w:rPr>
        <w:t>以</w:t>
      </w:r>
      <w:r>
        <w:rPr>
          <w:rFonts w:hint="eastAsia" w:cs="Times New Roman"/>
          <w:color w:val="auto"/>
          <w:highlight w:val="none"/>
          <w:lang w:val="en-US" w:eastAsia="zh-CN"/>
        </w:rPr>
        <w:t>土博镇、里高镇、三都镇等</w:t>
      </w:r>
      <w:r>
        <w:rPr>
          <w:rFonts w:hint="eastAsia" w:cs="Times New Roman"/>
          <w:color w:val="auto"/>
          <w:highlight w:val="none"/>
        </w:rPr>
        <w:t>石漠化</w:t>
      </w:r>
      <w:r>
        <w:rPr>
          <w:rFonts w:hint="eastAsia" w:cs="Times New Roman"/>
          <w:color w:val="auto"/>
          <w:highlight w:val="none"/>
          <w:lang w:val="en-US" w:eastAsia="zh-CN"/>
        </w:rPr>
        <w:t>分布集中地区</w:t>
      </w:r>
      <w:r>
        <w:rPr>
          <w:rFonts w:hint="eastAsia" w:cs="Times New Roman"/>
          <w:color w:val="auto"/>
          <w:highlight w:val="none"/>
        </w:rPr>
        <w:t>为重点，因地制宜采取封山育林育草、人工造林（种草）、全域土地综合整治等多种措施，</w:t>
      </w:r>
      <w:r>
        <w:rPr>
          <w:rFonts w:hint="eastAsia" w:cs="Times New Roman"/>
          <w:color w:val="auto"/>
          <w:highlight w:val="none"/>
          <w:lang w:val="en-US" w:eastAsia="zh-CN"/>
        </w:rPr>
        <w:t>增强石漠化地区生态系统的稳定性，</w:t>
      </w:r>
      <w:r>
        <w:rPr>
          <w:rFonts w:hint="eastAsia" w:cs="Times New Roman"/>
          <w:color w:val="auto"/>
          <w:highlight w:val="none"/>
        </w:rPr>
        <w:t>着力加强林草植被保护与恢复，推进水土资源合理利用。</w:t>
      </w:r>
      <w:r>
        <w:rPr>
          <w:rFonts w:hint="eastAsia" w:cs="Times New Roman"/>
          <w:color w:val="auto"/>
          <w:highlight w:val="none"/>
          <w:lang w:val="en-US" w:eastAsia="zh-CN"/>
        </w:rPr>
        <w:t>山脚及平缓地带石漠化实施坡改梯或营造生态经济林，修建生物篱，配套小型水利水保措施，发展林下林草，发展高效农业或林业。结合石漠化地区实际，发展以林药、林果、用材林、蚕桑、生态旅游等生态经济型产业，培育石漠化地区新的经济增长点，实现石漠化地区可持续发展。</w:t>
      </w:r>
    </w:p>
    <w:p>
      <w:pPr>
        <w:pStyle w:val="4"/>
        <w:spacing w:before="156"/>
        <w:ind w:firstLine="562"/>
        <w:rPr>
          <w:color w:val="auto"/>
          <w:highlight w:val="none"/>
          <w:lang w:val="en-US"/>
        </w:rPr>
      </w:pPr>
      <w:bookmarkStart w:id="384" w:name="_Toc119515911"/>
      <w:bookmarkStart w:id="385" w:name="_Toc26808"/>
      <w:r>
        <w:rPr>
          <w:color w:val="auto"/>
          <w:highlight w:val="none"/>
          <w:lang w:val="en-US"/>
        </w:rPr>
        <w:t>7.2.</w:t>
      </w:r>
      <w:r>
        <w:rPr>
          <w:rFonts w:hint="eastAsia"/>
          <w:color w:val="auto"/>
          <w:highlight w:val="none"/>
          <w:lang w:val="en-US" w:eastAsia="zh-CN"/>
        </w:rPr>
        <w:t>6</w:t>
      </w:r>
      <w:r>
        <w:rPr>
          <w:color w:val="auto"/>
          <w:highlight w:val="none"/>
          <w:lang w:val="en-US"/>
        </w:rPr>
        <w:t>河（沟）道及湖库周边整治</w:t>
      </w:r>
      <w:bookmarkEnd w:id="384"/>
      <w:bookmarkEnd w:id="385"/>
    </w:p>
    <w:p>
      <w:pPr>
        <w:autoSpaceDE w:val="0"/>
        <w:autoSpaceDN w:val="0"/>
        <w:rPr>
          <w:rFonts w:cs="Times New Roman"/>
          <w:color w:val="auto"/>
          <w:highlight w:val="none"/>
        </w:rPr>
      </w:pPr>
      <w:r>
        <w:rPr>
          <w:rFonts w:cs="Times New Roman"/>
          <w:color w:val="auto"/>
          <w:highlight w:val="none"/>
        </w:rPr>
        <w:t>河（沟）道及湖库周边治理措施包括河道清淤、护岸、沟道治理、湿地恢复、河岸（库滨）带建设等。</w:t>
      </w:r>
    </w:p>
    <w:p>
      <w:pPr>
        <w:autoSpaceDE w:val="0"/>
        <w:autoSpaceDN w:val="0"/>
        <w:rPr>
          <w:rFonts w:cs="Times New Roman"/>
          <w:color w:val="auto"/>
          <w:highlight w:val="none"/>
        </w:rPr>
      </w:pPr>
      <w:r>
        <w:rPr>
          <w:rFonts w:cs="Times New Roman"/>
          <w:color w:val="auto"/>
          <w:highlight w:val="none"/>
        </w:rPr>
        <w:t>（1）河道清理。在河道范围内的生态保护区，主要针对小流域河道的河床淤积物、违章设施、堆放物和垃圾等进行清理；对河岸或河堤崩塌等，采取筑堰、护岸、加高培厚和绿化等措施进行综合整治。恢复河道形态及其连续性，使河堤防洪达标、河床和岸坡稳定，封河育草，维系河流良好生态系统。</w:t>
      </w:r>
    </w:p>
    <w:p>
      <w:pPr>
        <w:autoSpaceDE w:val="0"/>
        <w:autoSpaceDN w:val="0"/>
        <w:rPr>
          <w:rFonts w:cs="Times New Roman"/>
          <w:color w:val="auto"/>
          <w:highlight w:val="none"/>
        </w:rPr>
      </w:pPr>
      <w:r>
        <w:rPr>
          <w:rFonts w:cs="Times New Roman"/>
          <w:color w:val="auto"/>
          <w:highlight w:val="none"/>
        </w:rPr>
        <w:t>（2）护岸措施。宜因地制宜采用生物护岸，恢复河道自然形态，保护水生态环境。</w:t>
      </w:r>
    </w:p>
    <w:p>
      <w:pPr>
        <w:autoSpaceDE w:val="0"/>
        <w:autoSpaceDN w:val="0"/>
        <w:rPr>
          <w:rFonts w:cs="Times New Roman"/>
          <w:color w:val="auto"/>
          <w:highlight w:val="none"/>
        </w:rPr>
      </w:pPr>
      <w:r>
        <w:rPr>
          <w:rFonts w:cs="Times New Roman"/>
          <w:color w:val="auto"/>
          <w:highlight w:val="none"/>
        </w:rPr>
        <w:t>（3）沟道治理工程。主要包括谷坊、拦沙坝、塘坝等，对下切作用强烈、沟底比降较大的小型沟道，结合沟道自然特征，因地制宜地分级修建不同形式的谷坊，防止沟道下切；对沟道下切作用或两侧重力侵蚀已经终止的沟道，选择适当的地段修建拦沙坝，以拦蓄下泻泥沙，抬高侵蚀基准面；塘坝一般布置在沟道及坡脚的低洼处，拦蓄坝址以上地面径流、溪流，抬高水位，提供水源，减轻山洪灾害，保护耕地、林地、道路，防治水土流失。</w:t>
      </w:r>
    </w:p>
    <w:p>
      <w:pPr>
        <w:autoSpaceDE w:val="0"/>
        <w:autoSpaceDN w:val="0"/>
        <w:rPr>
          <w:rFonts w:cs="Times New Roman"/>
          <w:color w:val="auto"/>
          <w:highlight w:val="none"/>
        </w:rPr>
      </w:pPr>
      <w:r>
        <w:rPr>
          <w:rFonts w:cs="Times New Roman"/>
          <w:color w:val="auto"/>
          <w:highlight w:val="none"/>
        </w:rPr>
        <w:t>（4）湿地恢复。在沟道和水库水位变化的水陆交错带，因地制宜栽植水生植物，保护或恢复人工湿地。受到破坏的湿地，应通过恢复、改善其立地条件、栽植水生植物、投放鱼苗等恢复湿地生态系统；结合冲刷坑治理，恢复河滩湿地。沉水植物、漂浮植物、浮叶植物、挺水植物和湿生植物等应合理配置，各类植物应以乡土种为主。</w:t>
      </w:r>
    </w:p>
    <w:p>
      <w:pPr>
        <w:autoSpaceDE w:val="0"/>
        <w:autoSpaceDN w:val="0"/>
        <w:rPr>
          <w:rFonts w:cs="Times New Roman"/>
          <w:color w:val="auto"/>
          <w:highlight w:val="none"/>
        </w:rPr>
      </w:pPr>
      <w:r>
        <w:rPr>
          <w:rFonts w:cs="Times New Roman"/>
          <w:color w:val="auto"/>
          <w:highlight w:val="none"/>
        </w:rPr>
        <w:t>（5）河岸（库滨）带建设。对河道两侧及湖库周边缓冲带内自然植被遭受人为破坏的地段进行治理，包括</w:t>
      </w:r>
      <w:r>
        <w:rPr>
          <w:rFonts w:hint="eastAsia" w:cs="Times New Roman"/>
          <w:color w:val="auto"/>
          <w:highlight w:val="none"/>
          <w:lang w:eastAsia="zh-CN"/>
        </w:rPr>
        <w:t>：</w:t>
      </w:r>
      <w:r>
        <w:rPr>
          <w:rFonts w:cs="Times New Roman"/>
          <w:color w:val="auto"/>
          <w:highlight w:val="none"/>
        </w:rPr>
        <w:t xml:space="preserve"> 保育植被，恢复湿地，恢复景观生态；因地制宜营造乔、灌、草，合理配置植被过滤带，有效发挥灌木和水生植物的水质净化功能，过滤进入河道的泥沙杂物，减少污染物对水质的影响，从而维护河道及湖库周边生态平衡，控制侵蚀，改善水质，美化环境。</w:t>
      </w:r>
    </w:p>
    <w:p>
      <w:pPr>
        <w:pStyle w:val="4"/>
        <w:spacing w:before="156"/>
        <w:ind w:firstLine="562"/>
        <w:rPr>
          <w:color w:val="auto"/>
          <w:highlight w:val="none"/>
          <w:lang w:val="en-US"/>
        </w:rPr>
      </w:pPr>
      <w:bookmarkStart w:id="386" w:name="_Toc20305"/>
      <w:bookmarkStart w:id="387" w:name="_Toc119515912"/>
      <w:r>
        <w:rPr>
          <w:color w:val="auto"/>
          <w:highlight w:val="none"/>
          <w:lang w:val="en-US"/>
        </w:rPr>
        <w:t>7.2.</w:t>
      </w:r>
      <w:r>
        <w:rPr>
          <w:rFonts w:hint="eastAsia"/>
          <w:color w:val="auto"/>
          <w:highlight w:val="none"/>
          <w:lang w:val="en-US" w:eastAsia="zh-CN"/>
        </w:rPr>
        <w:t>7</w:t>
      </w:r>
      <w:r>
        <w:rPr>
          <w:color w:val="auto"/>
          <w:highlight w:val="none"/>
          <w:lang w:val="en-US"/>
        </w:rPr>
        <w:t>生态农业</w:t>
      </w:r>
      <w:bookmarkEnd w:id="386"/>
      <w:bookmarkEnd w:id="387"/>
    </w:p>
    <w:p>
      <w:pPr>
        <w:autoSpaceDE w:val="0"/>
        <w:autoSpaceDN w:val="0"/>
        <w:rPr>
          <w:rFonts w:cs="Times New Roman"/>
          <w:color w:val="auto"/>
          <w:highlight w:val="none"/>
        </w:rPr>
      </w:pPr>
      <w:r>
        <w:rPr>
          <w:rFonts w:cs="Times New Roman"/>
          <w:color w:val="auto"/>
          <w:highlight w:val="none"/>
        </w:rPr>
        <w:t>采用有利于水土保持的农业耕作技术，包括横坡耕作技术、深耕技术、平翻耕作技术、垄作耕作技术和免耕法等。此外，应积极推广绿色、无公害技术，大力发展农业集约化经营和农业龙头企业；大力推广使用生物有机肥料，采用生物方法以及易降解、低残留的农药防治病虫害，减少化肥农药的施用量，控制和减少农业产生的面源污染；推广秸秆还田、秸秆利用技术。</w:t>
      </w:r>
    </w:p>
    <w:p>
      <w:pPr>
        <w:autoSpaceDE w:val="0"/>
        <w:autoSpaceDN w:val="0"/>
        <w:rPr>
          <w:rFonts w:cs="Times New Roman"/>
          <w:color w:val="auto"/>
          <w:highlight w:val="none"/>
        </w:rPr>
      </w:pPr>
      <w:r>
        <w:rPr>
          <w:rFonts w:cs="Times New Roman"/>
          <w:color w:val="auto"/>
          <w:highlight w:val="none"/>
        </w:rPr>
        <w:t>经济作物优先发展喷、微灌等先进的节水灌溉技术；稻田推广旱种水稻技术和节水减污措施，大幅度减少甚至达到免排水，使之达到节水、减污、防治水土流失的目的。</w:t>
      </w:r>
    </w:p>
    <w:p>
      <w:pPr>
        <w:pStyle w:val="4"/>
        <w:spacing w:before="156"/>
        <w:ind w:firstLine="562"/>
        <w:rPr>
          <w:color w:val="auto"/>
          <w:highlight w:val="none"/>
          <w:lang w:val="en-US"/>
        </w:rPr>
      </w:pPr>
      <w:bookmarkStart w:id="388" w:name="_Toc5705"/>
      <w:bookmarkStart w:id="389" w:name="_Toc119515913"/>
      <w:r>
        <w:rPr>
          <w:color w:val="auto"/>
          <w:highlight w:val="none"/>
          <w:lang w:val="en-US"/>
        </w:rPr>
        <w:t>7.2.</w:t>
      </w:r>
      <w:r>
        <w:rPr>
          <w:rFonts w:hint="eastAsia"/>
          <w:color w:val="auto"/>
          <w:highlight w:val="none"/>
          <w:lang w:val="en-US" w:eastAsia="zh-CN"/>
        </w:rPr>
        <w:t>8</w:t>
      </w:r>
      <w:r>
        <w:rPr>
          <w:color w:val="auto"/>
          <w:highlight w:val="none"/>
          <w:lang w:val="en-US"/>
        </w:rPr>
        <w:t>面源污染防治</w:t>
      </w:r>
      <w:bookmarkEnd w:id="388"/>
      <w:bookmarkEnd w:id="389"/>
    </w:p>
    <w:p>
      <w:pPr>
        <w:autoSpaceDE w:val="0"/>
        <w:autoSpaceDN w:val="0"/>
        <w:rPr>
          <w:rFonts w:cs="Times New Roman"/>
          <w:color w:val="auto"/>
          <w:highlight w:val="none"/>
        </w:rPr>
      </w:pPr>
      <w:r>
        <w:rPr>
          <w:rFonts w:cs="Times New Roman"/>
          <w:color w:val="auto"/>
          <w:highlight w:val="none"/>
        </w:rPr>
        <w:t>面源污染防治除了进行坡地水土流失治理、生态农业建设外，还应采用以下措施对污染物进行截留和去除。</w:t>
      </w:r>
    </w:p>
    <w:p>
      <w:pPr>
        <w:autoSpaceDE w:val="0"/>
        <w:autoSpaceDN w:val="0"/>
        <w:rPr>
          <w:rFonts w:cs="Times New Roman"/>
          <w:color w:val="auto"/>
          <w:highlight w:val="none"/>
        </w:rPr>
      </w:pPr>
      <w:r>
        <w:rPr>
          <w:rFonts w:cs="Times New Roman"/>
          <w:color w:val="auto"/>
          <w:highlight w:val="none"/>
        </w:rPr>
        <w:t>（1）构建沟渠塘净化系统。在农田中设置适当面积的池塘、洼地，利用沟渠塘收集和贮存污染径流，延长径流停滞时间，从而使大部分泥沙及吸附的污染物得到沉降和净化；同时在沟渠塘周边和水面种植高吸收能力的植物，经过植物直接吸收、微生物转化、物理吸附和沉降作用，构建农田沟塘渠净化系统。</w:t>
      </w:r>
    </w:p>
    <w:p>
      <w:pPr>
        <w:autoSpaceDE w:val="0"/>
        <w:autoSpaceDN w:val="0"/>
        <w:rPr>
          <w:rFonts w:cs="Times New Roman"/>
          <w:color w:val="auto"/>
          <w:highlight w:val="none"/>
        </w:rPr>
      </w:pPr>
      <w:r>
        <w:rPr>
          <w:rFonts w:cs="Times New Roman"/>
          <w:color w:val="auto"/>
          <w:highlight w:val="none"/>
        </w:rPr>
        <w:t>（2）植被缓冲带措施。在河道两侧开阔地带和农田沟塘渠净化系统末端，种植或抚育具有吸收农田污染物能力的乔灌木和草本植物，设立植被缓冲带，使农田污水经沟塘渠净化系统第一次净化后，流经植被缓冲带时进行第二次吸收和净化，进一步提高水质。植被缓冲带能有效阻断污染源和河流、湖泊之间的直接连接。库（河）滨带建设以营造水源保护林、种植灌草和水生植物为主。</w:t>
      </w:r>
    </w:p>
    <w:p>
      <w:pPr>
        <w:autoSpaceDE w:val="0"/>
        <w:autoSpaceDN w:val="0"/>
        <w:rPr>
          <w:rFonts w:cs="Times New Roman"/>
          <w:color w:val="auto"/>
          <w:highlight w:val="none"/>
        </w:rPr>
      </w:pPr>
      <w:r>
        <w:rPr>
          <w:rFonts w:cs="Times New Roman"/>
          <w:color w:val="auto"/>
          <w:highlight w:val="none"/>
        </w:rPr>
        <w:t>（3）人工湿地净化措施。在河道和水库水位变化形成的水陆交错带建设人工湿地，按高程和不同植物的适生环境设置湿地森林区、水生草滤带、挺水植物区、浮水植物区和沉水植物区，选择耐水树种和草本植物进行适当补植，促进植被更新。该区域的植被不仅能够保护水土、净化水质，还能改善景观，作为对上游污染物拦截的最后一道屏障。</w:t>
      </w:r>
    </w:p>
    <w:p>
      <w:pPr>
        <w:pStyle w:val="4"/>
        <w:spacing w:before="156"/>
        <w:ind w:firstLine="562"/>
        <w:rPr>
          <w:color w:val="auto"/>
          <w:highlight w:val="none"/>
          <w:lang w:val="en-US"/>
        </w:rPr>
      </w:pPr>
      <w:bookmarkStart w:id="390" w:name="_Toc13506"/>
      <w:bookmarkStart w:id="391" w:name="_Toc119515914"/>
      <w:r>
        <w:rPr>
          <w:color w:val="auto"/>
          <w:highlight w:val="none"/>
          <w:lang w:val="en-US"/>
        </w:rPr>
        <w:t>7.2.</w:t>
      </w:r>
      <w:r>
        <w:rPr>
          <w:rFonts w:hint="eastAsia"/>
          <w:color w:val="auto"/>
          <w:highlight w:val="none"/>
          <w:lang w:val="en-US" w:eastAsia="zh-CN"/>
        </w:rPr>
        <w:t>9</w:t>
      </w:r>
      <w:r>
        <w:rPr>
          <w:color w:val="auto"/>
          <w:highlight w:val="none"/>
          <w:lang w:val="en-US"/>
        </w:rPr>
        <w:t>人居环境整治</w:t>
      </w:r>
      <w:bookmarkEnd w:id="390"/>
      <w:bookmarkEnd w:id="391"/>
    </w:p>
    <w:p>
      <w:pPr>
        <w:autoSpaceDE w:val="0"/>
        <w:autoSpaceDN w:val="0"/>
        <w:rPr>
          <w:rFonts w:cs="Times New Roman"/>
          <w:color w:val="auto"/>
          <w:highlight w:val="none"/>
        </w:rPr>
      </w:pPr>
      <w:r>
        <w:rPr>
          <w:rFonts w:cs="Times New Roman"/>
          <w:color w:val="auto"/>
          <w:highlight w:val="none"/>
        </w:rPr>
        <w:t>人居环境整治措施包括畜禽粪污染控制、生活垃圾处置、生活污水处理、新农村建设等。</w:t>
      </w:r>
    </w:p>
    <w:p>
      <w:pPr>
        <w:autoSpaceDE w:val="0"/>
        <w:autoSpaceDN w:val="0"/>
        <w:rPr>
          <w:rFonts w:cs="Times New Roman"/>
          <w:color w:val="auto"/>
          <w:highlight w:val="none"/>
        </w:rPr>
      </w:pPr>
      <w:r>
        <w:rPr>
          <w:rFonts w:cs="Times New Roman"/>
          <w:color w:val="auto"/>
          <w:highlight w:val="none"/>
        </w:rPr>
        <w:t>畜禽粪污染控制。对养殖区的畜禽粪便进行堆肥处理，经过熟化的堆肥作为有机肥料用于农业生产，废水达标排放；有条件地区推广修建沼气池，对畜禽粪便进行无害化处理，从而减少排泄物对水体和环境的污染。</w:t>
      </w:r>
    </w:p>
    <w:p>
      <w:pPr>
        <w:autoSpaceDE w:val="0"/>
        <w:autoSpaceDN w:val="0"/>
        <w:rPr>
          <w:rFonts w:cs="Times New Roman"/>
          <w:color w:val="auto"/>
          <w:highlight w:val="none"/>
        </w:rPr>
      </w:pPr>
      <w:r>
        <w:rPr>
          <w:rFonts w:cs="Times New Roman"/>
          <w:color w:val="auto"/>
          <w:highlight w:val="none"/>
        </w:rPr>
        <w:t>生活垃圾处置。小流域内生活垃圾定时收集，集中堆放，进行分类后统一处理，实现垃圾资源化。</w:t>
      </w:r>
    </w:p>
    <w:p>
      <w:pPr>
        <w:autoSpaceDE w:val="0"/>
        <w:autoSpaceDN w:val="0"/>
        <w:rPr>
          <w:rFonts w:cs="Times New Roman"/>
          <w:color w:val="auto"/>
          <w:highlight w:val="none"/>
        </w:rPr>
      </w:pPr>
      <w:r>
        <w:rPr>
          <w:rFonts w:cs="Times New Roman"/>
          <w:color w:val="auto"/>
          <w:highlight w:val="none"/>
        </w:rPr>
        <w:t>生活污水处理。因地制宜建立小型污水处理设施，使处理后的出水水质符合有关水资源保护区的功能区划要求及相关规定，经过处理达到排放标准的再生水用于农业灌溉，实现污水再利用，提高水资源的循环利用率。</w:t>
      </w:r>
    </w:p>
    <w:p>
      <w:pPr>
        <w:autoSpaceDE w:val="0"/>
        <w:autoSpaceDN w:val="0"/>
        <w:rPr>
          <w:rFonts w:cs="Times New Roman"/>
          <w:color w:val="auto"/>
          <w:highlight w:val="none"/>
        </w:rPr>
      </w:pPr>
      <w:r>
        <w:rPr>
          <w:rFonts w:cs="Times New Roman"/>
          <w:color w:val="auto"/>
          <w:highlight w:val="none"/>
        </w:rPr>
        <w:t>新农村建设。做好新农村建设中的村庄绿化、街道亮化和环境美化等工作。</w:t>
      </w:r>
    </w:p>
    <w:p>
      <w:pPr>
        <w:pStyle w:val="4"/>
        <w:spacing w:before="156"/>
        <w:ind w:firstLine="562"/>
        <w:rPr>
          <w:color w:val="auto"/>
          <w:highlight w:val="none"/>
          <w:lang w:val="en-US"/>
        </w:rPr>
      </w:pPr>
      <w:bookmarkStart w:id="392" w:name="_Toc119515915"/>
      <w:bookmarkStart w:id="393" w:name="_Toc5159"/>
      <w:r>
        <w:rPr>
          <w:color w:val="auto"/>
          <w:highlight w:val="none"/>
          <w:lang w:val="en-US"/>
        </w:rPr>
        <w:t>7.2.</w:t>
      </w:r>
      <w:r>
        <w:rPr>
          <w:rFonts w:hint="eastAsia"/>
          <w:color w:val="auto"/>
          <w:highlight w:val="none"/>
          <w:lang w:val="en-US" w:eastAsia="zh-CN"/>
        </w:rPr>
        <w:t>10</w:t>
      </w:r>
      <w:r>
        <w:rPr>
          <w:color w:val="auto"/>
          <w:highlight w:val="none"/>
          <w:lang w:val="en-US"/>
        </w:rPr>
        <w:t>生态护坡</w:t>
      </w:r>
      <w:bookmarkEnd w:id="392"/>
      <w:bookmarkEnd w:id="393"/>
    </w:p>
    <w:p>
      <w:pPr>
        <w:autoSpaceDE w:val="0"/>
        <w:autoSpaceDN w:val="0"/>
        <w:rPr>
          <w:rFonts w:cs="Times New Roman"/>
          <w:color w:val="auto"/>
          <w:highlight w:val="none"/>
        </w:rPr>
      </w:pPr>
      <w:r>
        <w:rPr>
          <w:rFonts w:cs="Times New Roman"/>
          <w:color w:val="auto"/>
          <w:highlight w:val="none"/>
        </w:rPr>
        <w:t>生态护坡，是综合工程力学、土壤学、生态学和植物学等学科的基本知识对斜坡或边坡进行支护，形成由植物或工程和植物组成的综合护坡系统的护坡技术。生态护坡能够防止水土流失，降低坡体孔隙水压力、截留降雨、削弱溅蚀、控制土粒流失；能够改善环境功能，能恢复被破坏的生态环境，降低噪音，减少光污染，保障行车安全。生态护坡设计应遵循水力稳定原则和生态原则。</w:t>
      </w:r>
    </w:p>
    <w:p>
      <w:pPr>
        <w:autoSpaceDE w:val="0"/>
        <w:autoSpaceDN w:val="0"/>
        <w:rPr>
          <w:rFonts w:cs="Times New Roman"/>
          <w:color w:val="auto"/>
          <w:highlight w:val="none"/>
        </w:rPr>
      </w:pPr>
      <w:r>
        <w:rPr>
          <w:rFonts w:cs="Times New Roman"/>
          <w:color w:val="auto"/>
          <w:highlight w:val="none"/>
        </w:rPr>
        <w:t>人工种草护坡。通过人工在边坡坡面简单播撒草种的一种传统边坡植物防护措施。多用于边坡高度不高、坡度较缓且适宜草类生长的土质路堑和路堤边坡防护工程。</w:t>
      </w:r>
    </w:p>
    <w:p>
      <w:pPr>
        <w:autoSpaceDE w:val="0"/>
        <w:autoSpaceDN w:val="0"/>
        <w:rPr>
          <w:rFonts w:cs="Times New Roman"/>
          <w:color w:val="auto"/>
          <w:highlight w:val="none"/>
        </w:rPr>
      </w:pPr>
      <w:r>
        <w:rPr>
          <w:rFonts w:cs="Times New Roman"/>
          <w:color w:val="auto"/>
          <w:highlight w:val="none"/>
        </w:rPr>
        <w:t>液压喷播植草护坡。国外近十多年新开发的一项边坡植物防护措施，是将草籽、肥料、粘着剂、纸浆、</w:t>
      </w:r>
      <w:r>
        <w:rPr>
          <w:rFonts w:hint="eastAsia" w:cs="Times New Roman"/>
          <w:color w:val="auto"/>
          <w:highlight w:val="none"/>
          <w:lang w:eastAsia="zh-CN"/>
        </w:rPr>
        <w:t>土壤改良剂</w:t>
      </w:r>
      <w:r>
        <w:rPr>
          <w:rFonts w:cs="Times New Roman"/>
          <w:color w:val="auto"/>
          <w:highlight w:val="none"/>
        </w:rPr>
        <w:t>、色素等按一定比例在混合箱内配水搅匀，通过机械加压喷射到边坡坡面而完成植草施工的。</w:t>
      </w:r>
    </w:p>
    <w:p>
      <w:pPr>
        <w:autoSpaceDE w:val="0"/>
        <w:autoSpaceDN w:val="0"/>
        <w:rPr>
          <w:rFonts w:cs="Times New Roman"/>
          <w:color w:val="auto"/>
          <w:highlight w:val="none"/>
        </w:rPr>
      </w:pPr>
      <w:r>
        <w:rPr>
          <w:rFonts w:cs="Times New Roman"/>
          <w:color w:val="auto"/>
          <w:highlight w:val="none"/>
        </w:rPr>
        <w:t>客土植生植物护坡。是将保水剂、粘合剂、抗蒸腾剂、团粒剂、植物纤维、泥炭土、腐殖土、缓释复合肥等一类材料制成客土，经过专用机械搅拌后吹附到坡面上，形成一定厚度的客土层，然后将选好的种子同木纤维、粘合剂、保水剂、复合肥、缓释营养液经过喷播机搅拌后喷附到坡面客土层中。</w:t>
      </w:r>
    </w:p>
    <w:p>
      <w:pPr>
        <w:autoSpaceDE w:val="0"/>
        <w:autoSpaceDN w:val="0"/>
        <w:rPr>
          <w:rFonts w:cs="Times New Roman"/>
          <w:color w:val="auto"/>
          <w:highlight w:val="none"/>
        </w:rPr>
      </w:pPr>
      <w:r>
        <w:rPr>
          <w:rFonts w:cs="Times New Roman"/>
          <w:color w:val="auto"/>
          <w:highlight w:val="none"/>
        </w:rPr>
        <w:t>平铺草皮。是通过人工在边坡面铺设天然草皮的一种传统边坡植物防护措施。</w:t>
      </w:r>
    </w:p>
    <w:p>
      <w:pPr>
        <w:autoSpaceDE w:val="0"/>
        <w:autoSpaceDN w:val="0"/>
        <w:rPr>
          <w:rFonts w:cs="Times New Roman"/>
          <w:color w:val="auto"/>
          <w:highlight w:val="none"/>
        </w:rPr>
      </w:pPr>
      <w:r>
        <w:rPr>
          <w:rFonts w:cs="Times New Roman"/>
          <w:color w:val="auto"/>
          <w:highlight w:val="none"/>
        </w:rPr>
        <w:t>生态袋护坡。是利用人造土工布料制成生态袋，植物在装有土的生态袋中生长，以此来进行护坡和修复环境的一种护坡技术。</w:t>
      </w:r>
    </w:p>
    <w:p>
      <w:pPr>
        <w:autoSpaceDE w:val="0"/>
        <w:autoSpaceDN w:val="0"/>
        <w:rPr>
          <w:rFonts w:cs="Times New Roman"/>
          <w:color w:val="auto"/>
          <w:highlight w:val="none"/>
        </w:rPr>
      </w:pPr>
      <w:r>
        <w:rPr>
          <w:rFonts w:cs="Times New Roman"/>
          <w:color w:val="auto"/>
          <w:highlight w:val="none"/>
        </w:rPr>
        <w:t>网格生态护坡。是由砖、石、混凝土砌块、现浇混凝土等材料形成网格，在网格中栽植植物，形成网格与植物综合护坡系统，既能起到护坡作用，同时能恢复生态、保护环境。网格生态护坡将工程护坡结构与植物护坡相结合，护坡效果非常好。其中现浇网格生态护坡是一种新型护坡专利技术，具有护坡能力极强、施工工艺简单、技术合理、经济实用等优点，是新一代生态护坡技术，具有很大的实用价值。</w:t>
      </w:r>
    </w:p>
    <w:p>
      <w:pPr>
        <w:pStyle w:val="4"/>
        <w:spacing w:before="156"/>
        <w:ind w:firstLine="562"/>
        <w:rPr>
          <w:color w:val="auto"/>
          <w:highlight w:val="none"/>
          <w:lang w:val="en-US"/>
        </w:rPr>
      </w:pPr>
      <w:bookmarkStart w:id="394" w:name="_Toc18108"/>
      <w:bookmarkStart w:id="395" w:name="_Toc119515916"/>
      <w:r>
        <w:rPr>
          <w:color w:val="auto"/>
          <w:highlight w:val="none"/>
          <w:lang w:val="en-US"/>
        </w:rPr>
        <w:t>7.2.1</w:t>
      </w:r>
      <w:r>
        <w:rPr>
          <w:rFonts w:hint="eastAsia"/>
          <w:color w:val="auto"/>
          <w:highlight w:val="none"/>
          <w:lang w:val="en-US" w:eastAsia="zh-CN"/>
        </w:rPr>
        <w:t>1生产建设</w:t>
      </w:r>
      <w:r>
        <w:rPr>
          <w:color w:val="auto"/>
          <w:highlight w:val="none"/>
          <w:lang w:val="en-US"/>
        </w:rPr>
        <w:t>项目的水土流失治理</w:t>
      </w:r>
      <w:bookmarkEnd w:id="394"/>
      <w:bookmarkEnd w:id="395"/>
    </w:p>
    <w:p>
      <w:pPr>
        <w:autoSpaceDE w:val="0"/>
        <w:autoSpaceDN w:val="0"/>
        <w:rPr>
          <w:rFonts w:cs="Times New Roman"/>
          <w:color w:val="auto"/>
          <w:highlight w:val="none"/>
        </w:rPr>
      </w:pPr>
      <w:r>
        <w:rPr>
          <w:rFonts w:hint="eastAsia" w:cs="Times New Roman"/>
          <w:color w:val="auto"/>
          <w:highlight w:val="none"/>
          <w:lang w:eastAsia="zh-CN"/>
        </w:rPr>
        <w:t>生产建设</w:t>
      </w:r>
      <w:r>
        <w:rPr>
          <w:rFonts w:cs="Times New Roman"/>
          <w:color w:val="auto"/>
          <w:highlight w:val="none"/>
        </w:rPr>
        <w:t>项目应控制和减少对原地貌、地表植被、水系的扰动和损毁，开挖、排弃、堆垫的场地必须采取拦挡、护坡、截排水以及其他整治措施。弃土（石、渣）应综合利用，不能利用的应集中堆放在专门的存放地，并按照“先拦后弃”的原则采取拦挡措施，不得在江河、湖库及河道管理范围内布设弃土（石、渣）场。施工过程必须有临时防护措施，施工迹地应及时进行土地整治，恢复其利用功能。征占地面积在5公顷以上或挖填土石方总量在五万立方米以上的</w:t>
      </w:r>
      <w:r>
        <w:rPr>
          <w:rFonts w:hint="eastAsia" w:cs="Times New Roman"/>
          <w:color w:val="auto"/>
          <w:highlight w:val="none"/>
          <w:lang w:eastAsia="zh-CN"/>
        </w:rPr>
        <w:t>生产建设</w:t>
      </w:r>
      <w:r>
        <w:rPr>
          <w:rFonts w:cs="Times New Roman"/>
          <w:color w:val="auto"/>
          <w:highlight w:val="none"/>
        </w:rPr>
        <w:t>项目，应当编报水土保持方案报告书；征占地面积在0.5公顷以上5公顷以下或挖填土石方总量在一千立方米以上五万立方米以下的</w:t>
      </w:r>
      <w:r>
        <w:rPr>
          <w:rFonts w:hint="eastAsia" w:cs="Times New Roman"/>
          <w:color w:val="auto"/>
          <w:highlight w:val="none"/>
          <w:lang w:eastAsia="zh-CN"/>
        </w:rPr>
        <w:t>生产建设</w:t>
      </w:r>
      <w:r>
        <w:rPr>
          <w:rFonts w:cs="Times New Roman"/>
          <w:color w:val="auto"/>
          <w:highlight w:val="none"/>
        </w:rPr>
        <w:t>项目，编报水土保持方案报告表。</w:t>
      </w:r>
    </w:p>
    <w:p>
      <w:pPr>
        <w:pStyle w:val="3"/>
        <w:spacing w:before="156"/>
        <w:ind w:firstLine="602"/>
        <w:rPr>
          <w:color w:val="auto"/>
          <w:highlight w:val="none"/>
          <w:lang w:val="en-US"/>
        </w:rPr>
      </w:pPr>
      <w:bookmarkStart w:id="396" w:name="_Toc90399108"/>
      <w:bookmarkStart w:id="397" w:name="_Toc119515917"/>
      <w:bookmarkStart w:id="398" w:name="_Toc529775036"/>
      <w:bookmarkStart w:id="399" w:name="_Toc529461429"/>
      <w:bookmarkStart w:id="400" w:name="_Toc529774385"/>
      <w:bookmarkStart w:id="401" w:name="_Toc529774163"/>
      <w:bookmarkStart w:id="402" w:name="_Toc529774812"/>
      <w:bookmarkStart w:id="403" w:name="_Toc31009"/>
      <w:r>
        <w:rPr>
          <w:color w:val="auto"/>
          <w:highlight w:val="none"/>
          <w:lang w:val="en-US"/>
        </w:rPr>
        <w:t>7.3重点治理工程规划</w:t>
      </w:r>
      <w:bookmarkEnd w:id="396"/>
      <w:bookmarkEnd w:id="397"/>
      <w:bookmarkEnd w:id="398"/>
      <w:bookmarkEnd w:id="399"/>
      <w:bookmarkEnd w:id="400"/>
      <w:bookmarkEnd w:id="401"/>
      <w:bookmarkEnd w:id="402"/>
      <w:bookmarkEnd w:id="403"/>
    </w:p>
    <w:p>
      <w:pPr>
        <w:rPr>
          <w:rFonts w:cs="Times New Roman"/>
          <w:color w:val="auto"/>
          <w:highlight w:val="none"/>
        </w:rPr>
      </w:pPr>
      <w:r>
        <w:rPr>
          <w:rFonts w:cs="Times New Roman"/>
          <w:color w:val="auto"/>
          <w:highlight w:val="none"/>
        </w:rPr>
        <w:t>本次规划的水土保持重点工程均为生态清洁型小流域综合治理工程。</w:t>
      </w:r>
    </w:p>
    <w:p>
      <w:pPr>
        <w:numPr>
          <w:ilvl w:val="0"/>
          <w:numId w:val="4"/>
        </w:numPr>
        <w:rPr>
          <w:rFonts w:cs="Times New Roman"/>
          <w:color w:val="auto"/>
          <w:highlight w:val="none"/>
        </w:rPr>
      </w:pPr>
      <w:r>
        <w:rPr>
          <w:rFonts w:cs="Times New Roman"/>
          <w:color w:val="auto"/>
          <w:highlight w:val="none"/>
        </w:rPr>
        <w:t>布局原则</w:t>
      </w:r>
    </w:p>
    <w:p>
      <w:pPr>
        <w:rPr>
          <w:rFonts w:cs="Times New Roman"/>
          <w:color w:val="auto"/>
          <w:highlight w:val="none"/>
        </w:rPr>
      </w:pPr>
      <w:r>
        <w:rPr>
          <w:rFonts w:cs="Times New Roman"/>
          <w:color w:val="auto"/>
          <w:highlight w:val="none"/>
        </w:rPr>
        <w:t>重点治理项目布局范围应优先考虑以下条件：</w:t>
      </w:r>
    </w:p>
    <w:p>
      <w:pPr>
        <w:rPr>
          <w:rFonts w:cs="Times New Roman"/>
          <w:color w:val="auto"/>
          <w:highlight w:val="none"/>
        </w:rPr>
      </w:pPr>
      <w:r>
        <w:rPr>
          <w:rFonts w:hint="eastAsia" w:ascii="宋体" w:hAnsi="宋体" w:eastAsia="宋体" w:cs="宋体"/>
          <w:color w:val="auto"/>
          <w:highlight w:val="none"/>
        </w:rPr>
        <w:t>①</w:t>
      </w:r>
      <w:r>
        <w:rPr>
          <w:rFonts w:cs="Times New Roman"/>
          <w:color w:val="auto"/>
          <w:highlight w:val="none"/>
        </w:rPr>
        <w:t>水土流失分布相对集中，可进行规模治理，治理需求迫切的水土流失地区；</w:t>
      </w:r>
    </w:p>
    <w:p>
      <w:pPr>
        <w:ind w:firstLineChars="0"/>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2 \* GB3 </w:instrText>
      </w:r>
      <w:r>
        <w:rPr>
          <w:rFonts w:cs="Times New Roman"/>
          <w:color w:val="auto"/>
          <w:highlight w:val="none"/>
        </w:rPr>
        <w:fldChar w:fldCharType="separate"/>
      </w:r>
      <w:r>
        <w:rPr>
          <w:rFonts w:hint="eastAsia" w:ascii="宋体" w:hAnsi="宋体" w:eastAsia="宋体" w:cs="宋体"/>
          <w:color w:val="auto"/>
          <w:highlight w:val="none"/>
        </w:rPr>
        <w:t>②</w:t>
      </w:r>
      <w:r>
        <w:rPr>
          <w:rFonts w:cs="Times New Roman"/>
          <w:color w:val="auto"/>
          <w:highlight w:val="none"/>
        </w:rPr>
        <w:fldChar w:fldCharType="end"/>
      </w:r>
      <w:r>
        <w:rPr>
          <w:rFonts w:cs="Times New Roman"/>
          <w:color w:val="auto"/>
          <w:highlight w:val="none"/>
        </w:rPr>
        <w:t>向基础设施不完善，群众生产生活条件较差的地区；</w:t>
      </w:r>
    </w:p>
    <w:p>
      <w:pPr>
        <w:jc w:val="left"/>
        <w:rPr>
          <w:rFonts w:cs="Times New Roman"/>
          <w:color w:val="auto"/>
          <w:highlight w:val="none"/>
        </w:rPr>
      </w:pPr>
      <w:r>
        <w:rPr>
          <w:rFonts w:hint="eastAsia" w:ascii="宋体" w:hAnsi="宋体" w:eastAsia="宋体" w:cs="宋体"/>
          <w:color w:val="auto"/>
          <w:highlight w:val="none"/>
        </w:rPr>
        <w:t>③</w:t>
      </w:r>
      <w:r>
        <w:rPr>
          <w:rFonts w:cs="Times New Roman"/>
          <w:color w:val="auto"/>
          <w:highlight w:val="none"/>
        </w:rPr>
        <w:t>选择有前期工作基础、治理需求迫切、实施积极性高的地区。</w:t>
      </w:r>
    </w:p>
    <w:p>
      <w:pPr>
        <w:ind w:left="560" w:leftChars="200" w:firstLine="0" w:firstLineChars="0"/>
        <w:rPr>
          <w:rFonts w:cs="Times New Roman"/>
          <w:color w:val="auto"/>
          <w:highlight w:val="none"/>
        </w:rPr>
      </w:pPr>
      <w:r>
        <w:rPr>
          <w:rFonts w:cs="Times New Roman"/>
          <w:color w:val="auto"/>
          <w:highlight w:val="none"/>
        </w:rPr>
        <w:t>（2）治理规模及任务</w:t>
      </w:r>
    </w:p>
    <w:p>
      <w:pPr>
        <w:rPr>
          <w:rFonts w:cs="Times New Roman"/>
          <w:color w:val="auto"/>
          <w:highlight w:val="none"/>
        </w:rPr>
      </w:pPr>
      <w:r>
        <w:rPr>
          <w:rFonts w:cs="Times New Roman"/>
          <w:color w:val="auto"/>
          <w:highlight w:val="none"/>
        </w:rPr>
        <w:t>本次规划确定，近期（2022</w:t>
      </w:r>
      <w:r>
        <w:rPr>
          <w:rFonts w:hint="eastAsia" w:cs="Times New Roman"/>
          <w:color w:val="auto"/>
          <w:highlight w:val="none"/>
          <w:lang w:eastAsia="zh-CN"/>
        </w:rPr>
        <w:t>—</w:t>
      </w:r>
      <w:r>
        <w:rPr>
          <w:rFonts w:cs="Times New Roman"/>
          <w:color w:val="auto"/>
          <w:highlight w:val="none"/>
        </w:rPr>
        <w:t>2025年）在里高镇、成团镇等2个镇实施2个小流域水土流失综合治理工程，全部采用生态清洁型的治理模式，计划完成水土流失治理面积</w:t>
      </w:r>
      <w:r>
        <w:rPr>
          <w:rFonts w:hint="eastAsia" w:cs="Times New Roman"/>
          <w:color w:val="auto"/>
          <w:highlight w:val="none"/>
          <w:lang w:val="en-US" w:eastAsia="zh-CN"/>
        </w:rPr>
        <w:t>2</w:t>
      </w:r>
      <w:r>
        <w:rPr>
          <w:rFonts w:cs="Times New Roman"/>
          <w:color w:val="auto"/>
          <w:highlight w:val="none"/>
        </w:rPr>
        <w:t>0km</w:t>
      </w:r>
      <w:r>
        <w:rPr>
          <w:rFonts w:cs="Times New Roman"/>
          <w:color w:val="auto"/>
          <w:highlight w:val="none"/>
          <w:vertAlign w:val="superscript"/>
        </w:rPr>
        <w:t>2</w:t>
      </w:r>
      <w:r>
        <w:rPr>
          <w:rFonts w:cs="Times New Roman"/>
          <w:color w:val="auto"/>
          <w:highlight w:val="none"/>
        </w:rPr>
        <w:t>。近期规划治理项目建设规模及任务详见表7-2。</w:t>
      </w:r>
    </w:p>
    <w:p>
      <w:pPr>
        <w:rPr>
          <w:rFonts w:cs="Times New Roman"/>
          <w:color w:val="auto"/>
          <w:highlight w:val="none"/>
        </w:rPr>
      </w:pPr>
      <w:r>
        <w:rPr>
          <w:rFonts w:cs="Times New Roman"/>
          <w:color w:val="auto"/>
          <w:highlight w:val="none"/>
        </w:rPr>
        <w:t>（3）措施配置</w:t>
      </w:r>
    </w:p>
    <w:p>
      <w:pPr>
        <w:rPr>
          <w:rFonts w:cs="Times New Roman"/>
          <w:color w:val="auto"/>
          <w:highlight w:val="none"/>
        </w:rPr>
      </w:pPr>
      <w:r>
        <w:rPr>
          <w:rFonts w:cs="Times New Roman"/>
          <w:color w:val="auto"/>
          <w:highlight w:val="none"/>
        </w:rPr>
        <w:t>本次规划将柳江区细分为</w:t>
      </w:r>
      <w:r>
        <w:rPr>
          <w:rFonts w:hint="eastAsia" w:cs="Times New Roman"/>
          <w:color w:val="auto"/>
          <w:highlight w:val="none"/>
          <w:lang w:val="en-US" w:eastAsia="zh-CN"/>
        </w:rPr>
        <w:t>3</w:t>
      </w:r>
      <w:r>
        <w:rPr>
          <w:rFonts w:cs="Times New Roman"/>
          <w:color w:val="auto"/>
          <w:highlight w:val="none"/>
        </w:rPr>
        <w:t>个不同类型的水土保持区，根据各分区的自然特点和功能定位，确定不同分区内的重点治理工程措施配置布设方向。</w:t>
      </w:r>
    </w:p>
    <w:p>
      <w:pPr>
        <w:pStyle w:val="45"/>
        <w:numPr>
          <w:ilvl w:val="0"/>
          <w:numId w:val="5"/>
        </w:numPr>
        <w:ind w:firstLineChars="0"/>
        <w:rPr>
          <w:rFonts w:cs="Times New Roman"/>
          <w:color w:val="auto"/>
          <w:highlight w:val="none"/>
        </w:rPr>
      </w:pPr>
      <w:r>
        <w:rPr>
          <w:rFonts w:hint="eastAsia"/>
          <w:color w:val="auto"/>
          <w:highlight w:val="none"/>
          <w:lang w:val="en-US" w:eastAsia="zh-CN"/>
        </w:rPr>
        <w:t>东部低山丘陵植被维护保土区</w:t>
      </w:r>
    </w:p>
    <w:p>
      <w:pPr>
        <w:rPr>
          <w:rFonts w:cs="Times New Roman"/>
          <w:color w:val="auto"/>
          <w:highlight w:val="none"/>
        </w:rPr>
      </w:pPr>
      <w:r>
        <w:rPr>
          <w:rFonts w:hint="eastAsia"/>
          <w:color w:val="auto"/>
          <w:highlight w:val="none"/>
          <w:lang w:val="en-US" w:eastAsia="zh-CN"/>
        </w:rPr>
        <w:t>东部低山丘陵植被维护保土区</w:t>
      </w:r>
      <w:r>
        <w:rPr>
          <w:rFonts w:cs="Times New Roman"/>
          <w:color w:val="auto"/>
          <w:highlight w:val="none"/>
        </w:rPr>
        <w:t>涉及</w:t>
      </w:r>
      <w:r>
        <w:rPr>
          <w:rFonts w:hint="eastAsia" w:cs="Times New Roman"/>
          <w:color w:val="auto"/>
          <w:highlight w:val="none"/>
          <w:lang w:val="en-US" w:eastAsia="zh-CN"/>
        </w:rPr>
        <w:t>穿山</w:t>
      </w:r>
      <w:r>
        <w:rPr>
          <w:rFonts w:cs="Times New Roman"/>
          <w:color w:val="auto"/>
          <w:highlight w:val="none"/>
        </w:rPr>
        <w:t>镇、</w:t>
      </w:r>
      <w:r>
        <w:rPr>
          <w:rFonts w:hint="eastAsia" w:cs="Times New Roman"/>
          <w:color w:val="auto"/>
          <w:highlight w:val="none"/>
          <w:lang w:val="en-US" w:eastAsia="zh-CN"/>
        </w:rPr>
        <w:t>百朋</w:t>
      </w:r>
      <w:r>
        <w:rPr>
          <w:rFonts w:cs="Times New Roman"/>
          <w:color w:val="auto"/>
          <w:highlight w:val="none"/>
        </w:rPr>
        <w:t>镇等</w:t>
      </w:r>
      <w:r>
        <w:rPr>
          <w:rFonts w:hint="eastAsia" w:cs="Times New Roman"/>
          <w:color w:val="auto"/>
          <w:highlight w:val="none"/>
          <w:lang w:val="en-US" w:eastAsia="zh-CN"/>
        </w:rPr>
        <w:t>2</w:t>
      </w:r>
      <w:r>
        <w:rPr>
          <w:rFonts w:cs="Times New Roman"/>
          <w:color w:val="auto"/>
          <w:highlight w:val="none"/>
        </w:rPr>
        <w:t>个镇。</w:t>
      </w:r>
      <w:r>
        <w:rPr>
          <w:rFonts w:hint="eastAsia" w:cs="Times New Roman"/>
          <w:color w:val="auto"/>
          <w:highlight w:val="none"/>
          <w:lang w:val="en-US" w:eastAsia="zh-CN"/>
        </w:rPr>
        <w:t>本区含有较多的林地和耕地，农林开发活动较为频繁</w:t>
      </w:r>
      <w:r>
        <w:rPr>
          <w:rFonts w:hint="eastAsia" w:cs="Times New Roman"/>
          <w:color w:val="auto"/>
          <w:highlight w:val="none"/>
          <w:lang w:eastAsia="zh-CN"/>
        </w:rPr>
        <w:t>。</w:t>
      </w:r>
      <w:r>
        <w:rPr>
          <w:rFonts w:hint="eastAsia" w:cs="Times New Roman"/>
          <w:color w:val="auto"/>
          <w:highlight w:val="none"/>
          <w:lang w:val="en-US" w:eastAsia="zh-CN"/>
        </w:rPr>
        <w:t>本区水土流失治理应联合农业部门的高标准农田建设和林业部门的造林工作</w:t>
      </w:r>
      <w:r>
        <w:rPr>
          <w:rFonts w:cs="Times New Roman"/>
          <w:color w:val="auto"/>
          <w:highlight w:val="none"/>
        </w:rPr>
        <w:t>，对</w:t>
      </w:r>
      <w:r>
        <w:rPr>
          <w:rFonts w:hint="eastAsia" w:cs="Times New Roman"/>
          <w:color w:val="auto"/>
          <w:highlight w:val="none"/>
          <w:lang w:val="en-US" w:eastAsia="zh-CN"/>
        </w:rPr>
        <w:t>农田生态</w:t>
      </w:r>
      <w:r>
        <w:rPr>
          <w:rFonts w:cs="Times New Roman"/>
          <w:color w:val="auto"/>
          <w:highlight w:val="none"/>
        </w:rPr>
        <w:t>、</w:t>
      </w:r>
      <w:r>
        <w:rPr>
          <w:rFonts w:hint="eastAsia" w:cs="Times New Roman"/>
          <w:color w:val="auto"/>
          <w:highlight w:val="none"/>
          <w:lang w:val="en-US" w:eastAsia="zh-CN"/>
        </w:rPr>
        <w:t>森林</w:t>
      </w:r>
      <w:r>
        <w:rPr>
          <w:rFonts w:cs="Times New Roman"/>
          <w:color w:val="auto"/>
          <w:highlight w:val="none"/>
        </w:rPr>
        <w:t>生态进行合理规划和科学治理，协同推进流域水系整治、生态环境修复、人居环境改善。</w:t>
      </w:r>
      <w:r>
        <w:rPr>
          <w:rFonts w:hint="eastAsia" w:cs="Times New Roman"/>
          <w:color w:val="auto"/>
          <w:highlight w:val="none"/>
          <w:lang w:val="en-US" w:eastAsia="zh-CN"/>
        </w:rPr>
        <w:t>同时积极利用以奖代补、以工代赈等方式统筹</w:t>
      </w:r>
      <w:r>
        <w:rPr>
          <w:rFonts w:cs="Times New Roman"/>
          <w:color w:val="auto"/>
          <w:highlight w:val="none"/>
        </w:rPr>
        <w:t>社会力量</w:t>
      </w:r>
      <w:r>
        <w:rPr>
          <w:rFonts w:hint="eastAsia" w:cs="Times New Roman"/>
          <w:color w:val="auto"/>
          <w:highlight w:val="none"/>
          <w:lang w:val="en-US" w:eastAsia="zh-CN"/>
        </w:rPr>
        <w:t>共同</w:t>
      </w:r>
      <w:r>
        <w:rPr>
          <w:rFonts w:cs="Times New Roman"/>
          <w:color w:val="auto"/>
          <w:highlight w:val="none"/>
        </w:rPr>
        <w:t>进行治理水土流失。</w:t>
      </w:r>
    </w:p>
    <w:p>
      <w:pPr>
        <w:pStyle w:val="45"/>
        <w:numPr>
          <w:ilvl w:val="0"/>
          <w:numId w:val="5"/>
        </w:numPr>
        <w:ind w:firstLineChars="0"/>
        <w:rPr>
          <w:rFonts w:cs="Times New Roman"/>
          <w:color w:val="auto"/>
          <w:highlight w:val="none"/>
        </w:rPr>
      </w:pPr>
      <w:r>
        <w:rPr>
          <w:rFonts w:cs="Times New Roman"/>
          <w:color w:val="auto"/>
          <w:highlight w:val="none"/>
        </w:rPr>
        <w:t>中部平原人居环境维护区</w:t>
      </w:r>
    </w:p>
    <w:p>
      <w:pPr>
        <w:rPr>
          <w:rFonts w:cs="Times New Roman"/>
          <w:color w:val="auto"/>
          <w:highlight w:val="none"/>
        </w:rPr>
      </w:pPr>
      <w:r>
        <w:rPr>
          <w:rFonts w:cs="Times New Roman"/>
          <w:color w:val="auto"/>
          <w:highlight w:val="none"/>
        </w:rPr>
        <w:t>中部平原人居环境维护区涉及拉堡镇、进德镇、成团镇等</w:t>
      </w:r>
      <w:r>
        <w:rPr>
          <w:rFonts w:hint="eastAsia" w:cs="Times New Roman"/>
          <w:color w:val="auto"/>
          <w:highlight w:val="none"/>
          <w:lang w:val="en-US" w:eastAsia="zh-CN"/>
        </w:rPr>
        <w:t>3</w:t>
      </w:r>
      <w:r>
        <w:rPr>
          <w:rFonts w:cs="Times New Roman"/>
          <w:color w:val="auto"/>
          <w:highlight w:val="none"/>
        </w:rPr>
        <w:t>个镇，在成团镇规划实施的1个水土流失重点治理工程位于该区范围内。根据项目区特点和群众需求，实施生态清洁小流域水土流失治理工程，以水系和村屯为重点，统筹农村生产、生活、生态要素，遵循自然规律和生态法则，实现“山水林田湖草沙”全要素综合规划，把水资源保护、生态环境改善、乡村振兴等相结合，通过水源保护林、林草生物缓冲带、生态护岸、生态植草砖、村屯美化亮化工程等措施，对河滨库岸环境、山地生态环境、人居生活环境等进行合理规划和科学治理，协同推进流域水系整治、生态环境修复、人居环境改善。此区其他乡镇的水土流失治理主要以自然资源局、农业农村局等部门实施的生态建设项目以及社会力量进行的水土流失治理为主。</w:t>
      </w:r>
    </w:p>
    <w:p>
      <w:pPr>
        <w:pStyle w:val="45"/>
        <w:numPr>
          <w:ilvl w:val="0"/>
          <w:numId w:val="5"/>
        </w:numPr>
        <w:ind w:firstLineChars="0"/>
        <w:rPr>
          <w:rFonts w:cs="Times New Roman"/>
          <w:color w:val="auto"/>
          <w:highlight w:val="none"/>
        </w:rPr>
      </w:pPr>
      <w:r>
        <w:rPr>
          <w:rFonts w:hint="eastAsia"/>
          <w:color w:val="auto"/>
          <w:highlight w:val="none"/>
          <w:lang w:val="en-US"/>
        </w:rPr>
        <w:t>西部低山丘陵生态维护区</w:t>
      </w:r>
    </w:p>
    <w:p>
      <w:pPr>
        <w:rPr>
          <w:rFonts w:cs="Times New Roman"/>
          <w:color w:val="auto"/>
          <w:highlight w:val="none"/>
        </w:rPr>
      </w:pPr>
      <w:r>
        <w:rPr>
          <w:rFonts w:hint="eastAsia"/>
          <w:color w:val="auto"/>
          <w:highlight w:val="none"/>
          <w:lang w:val="en-US"/>
        </w:rPr>
        <w:t>西部低山丘陵生态维护区</w:t>
      </w:r>
      <w:r>
        <w:rPr>
          <w:rFonts w:cs="Times New Roman"/>
          <w:color w:val="auto"/>
          <w:highlight w:val="none"/>
        </w:rPr>
        <w:t>包括土博镇、里高镇、三都镇等</w:t>
      </w:r>
      <w:r>
        <w:rPr>
          <w:rFonts w:hint="eastAsia" w:cs="Times New Roman"/>
          <w:color w:val="auto"/>
          <w:highlight w:val="none"/>
          <w:lang w:val="en-US" w:eastAsia="zh-CN"/>
        </w:rPr>
        <w:t>3</w:t>
      </w:r>
      <w:r>
        <w:rPr>
          <w:rFonts w:cs="Times New Roman"/>
          <w:color w:val="auto"/>
          <w:highlight w:val="none"/>
        </w:rPr>
        <w:t>个镇，在里高镇规划实施的1个水土流失重点治理工程位于该区范围内。主要以小流域为单元，科学布置人工造林植草、封禁抚育等传统治理措施，适当辅以小型水利水保工程，加强林草植被的保护与修复，涵蓄水源，沟坡兼治，防治水土流失。同时根据项目区特点和群众需求，改善人居环境和提高土地生产力，促进乡村振兴。此区其他乡镇的水土流失治理主要以自然资源局、农业农村局等部门实施的生态建设项目以及社会力量进行的水土流失治理为主。</w:t>
      </w:r>
    </w:p>
    <w:p>
      <w:pPr>
        <w:pStyle w:val="49"/>
        <w:spacing w:before="156"/>
        <w:ind w:firstLine="0" w:firstLineChars="0"/>
        <w:rPr>
          <w:color w:val="auto"/>
          <w:highlight w:val="none"/>
        </w:rPr>
      </w:pPr>
      <w:r>
        <w:rPr>
          <w:color w:val="auto"/>
          <w:highlight w:val="none"/>
        </w:rPr>
        <w:t>表7.3-1   近期重点治理项目规划表</w:t>
      </w:r>
    </w:p>
    <w:tbl>
      <w:tblPr>
        <w:tblStyle w:val="30"/>
        <w:tblW w:w="7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304"/>
        <w:gridCol w:w="1308"/>
        <w:gridCol w:w="109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623"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序号</w:t>
            </w:r>
          </w:p>
        </w:tc>
        <w:tc>
          <w:tcPr>
            <w:tcW w:w="3304"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项目名称</w:t>
            </w:r>
          </w:p>
        </w:tc>
        <w:tc>
          <w:tcPr>
            <w:tcW w:w="1308"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拟实施年度</w:t>
            </w:r>
          </w:p>
        </w:tc>
        <w:tc>
          <w:tcPr>
            <w:tcW w:w="1097"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建设地点</w:t>
            </w:r>
          </w:p>
        </w:tc>
        <w:tc>
          <w:tcPr>
            <w:tcW w:w="1381"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拟治理面积</w:t>
            </w:r>
          </w:p>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（km</w:t>
            </w:r>
            <w:r>
              <w:rPr>
                <w:rFonts w:eastAsia="黑体" w:cs="Times New Roman"/>
                <w:color w:val="auto"/>
                <w:sz w:val="21"/>
                <w:szCs w:val="21"/>
                <w:highlight w:val="none"/>
                <w:vertAlign w:val="superscript"/>
              </w:rPr>
              <w:t>2</w:t>
            </w:r>
            <w:r>
              <w:rPr>
                <w:rFonts w:eastAsia="黑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exact"/>
          <w:jc w:val="center"/>
        </w:trPr>
        <w:tc>
          <w:tcPr>
            <w:tcW w:w="623"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w:t>
            </w:r>
          </w:p>
        </w:tc>
        <w:tc>
          <w:tcPr>
            <w:tcW w:w="3304"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柳江区里高镇牛腊河清洁型小流域水土保持治理工程</w:t>
            </w:r>
          </w:p>
        </w:tc>
        <w:tc>
          <w:tcPr>
            <w:tcW w:w="1308"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2023</w:t>
            </w:r>
          </w:p>
        </w:tc>
        <w:tc>
          <w:tcPr>
            <w:tcW w:w="1097"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里高镇</w:t>
            </w:r>
          </w:p>
        </w:tc>
        <w:tc>
          <w:tcPr>
            <w:tcW w:w="1381"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623" w:type="dxa"/>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w:t>
            </w:r>
          </w:p>
        </w:tc>
        <w:tc>
          <w:tcPr>
            <w:tcW w:w="3304" w:type="dxa"/>
            <w:vAlign w:val="center"/>
          </w:tcPr>
          <w:p>
            <w:pPr>
              <w:snapToGrid w:val="0"/>
              <w:spacing w:line="240" w:lineRule="auto"/>
              <w:ind w:firstLine="0" w:firstLineChars="0"/>
              <w:jc w:val="center"/>
              <w:rPr>
                <w:rFonts w:cs="Times New Roman"/>
                <w:color w:val="auto"/>
                <w:sz w:val="22"/>
                <w:szCs w:val="22"/>
                <w:highlight w:val="none"/>
              </w:rPr>
            </w:pPr>
            <w:r>
              <w:rPr>
                <w:rFonts w:cs="Times New Roman"/>
                <w:color w:val="auto"/>
                <w:sz w:val="22"/>
                <w:szCs w:val="22"/>
                <w:highlight w:val="none"/>
              </w:rPr>
              <w:t>柳江区成团镇莲花河清洁型小流域水土保持治理工程</w:t>
            </w:r>
          </w:p>
        </w:tc>
        <w:tc>
          <w:tcPr>
            <w:tcW w:w="1308" w:type="dxa"/>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2025</w:t>
            </w:r>
          </w:p>
        </w:tc>
        <w:tc>
          <w:tcPr>
            <w:tcW w:w="1097"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hint="eastAsia" w:cs="Times New Roman"/>
                <w:color w:val="auto"/>
                <w:sz w:val="21"/>
                <w:szCs w:val="21"/>
                <w:highlight w:val="none"/>
              </w:rPr>
              <w:t>成团镇</w:t>
            </w:r>
          </w:p>
        </w:tc>
        <w:tc>
          <w:tcPr>
            <w:tcW w:w="1381" w:type="dxa"/>
            <w:shd w:val="clear" w:color="auto" w:fill="auto"/>
            <w:vAlign w:val="center"/>
          </w:tcPr>
          <w:p>
            <w:pPr>
              <w:snapToGrid w:val="0"/>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6332" w:type="dxa"/>
            <w:gridSpan w:val="4"/>
            <w:vAlign w:val="center"/>
          </w:tcPr>
          <w:p>
            <w:pPr>
              <w:snapToGrid w:val="0"/>
              <w:spacing w:line="240" w:lineRule="auto"/>
              <w:ind w:firstLine="0" w:firstLineChars="0"/>
              <w:jc w:val="center"/>
              <w:rPr>
                <w:rFonts w:cs="Times New Roman"/>
                <w:b/>
                <w:bCs/>
                <w:color w:val="auto"/>
                <w:sz w:val="21"/>
                <w:szCs w:val="21"/>
                <w:highlight w:val="none"/>
              </w:rPr>
            </w:pPr>
            <w:r>
              <w:rPr>
                <w:rFonts w:cs="Times New Roman"/>
                <w:b/>
                <w:bCs/>
                <w:color w:val="auto"/>
                <w:sz w:val="21"/>
                <w:szCs w:val="21"/>
                <w:highlight w:val="none"/>
              </w:rPr>
              <w:t>合计</w:t>
            </w:r>
          </w:p>
        </w:tc>
        <w:tc>
          <w:tcPr>
            <w:tcW w:w="1381" w:type="dxa"/>
            <w:shd w:val="clear" w:color="auto" w:fill="auto"/>
            <w:vAlign w:val="center"/>
          </w:tcPr>
          <w:p>
            <w:pPr>
              <w:snapToGrid w:val="0"/>
              <w:spacing w:line="240" w:lineRule="auto"/>
              <w:ind w:firstLine="0" w:firstLineChars="0"/>
              <w:jc w:val="center"/>
              <w:rPr>
                <w:rFonts w:hint="default" w:eastAsia="仿宋"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20</w:t>
            </w:r>
          </w:p>
        </w:tc>
      </w:tr>
    </w:tbl>
    <w:p>
      <w:pPr>
        <w:pStyle w:val="3"/>
        <w:spacing w:before="156"/>
        <w:ind w:firstLine="602"/>
        <w:rPr>
          <w:color w:val="auto"/>
          <w:highlight w:val="none"/>
          <w:lang w:val="en-US"/>
        </w:rPr>
      </w:pPr>
      <w:bookmarkStart w:id="404" w:name="_Toc3640"/>
      <w:r>
        <w:rPr>
          <w:color w:val="auto"/>
          <w:highlight w:val="none"/>
          <w:lang w:val="en-US"/>
        </w:rPr>
        <w:t>7.</w:t>
      </w:r>
      <w:r>
        <w:rPr>
          <w:rFonts w:hint="eastAsia"/>
          <w:color w:val="auto"/>
          <w:highlight w:val="none"/>
          <w:lang w:val="en-US" w:eastAsia="zh-CN"/>
        </w:rPr>
        <w:t>4试点</w:t>
      </w:r>
      <w:r>
        <w:rPr>
          <w:color w:val="auto"/>
          <w:highlight w:val="none"/>
          <w:lang w:val="en-US"/>
        </w:rPr>
        <w:t>工程规划</w:t>
      </w:r>
      <w:bookmarkEnd w:id="404"/>
    </w:p>
    <w:p>
      <w:pPr>
        <w:rPr>
          <w:rFonts w:cs="Times New Roman"/>
          <w:color w:val="auto"/>
          <w:highlight w:val="none"/>
        </w:rPr>
      </w:pPr>
      <w:r>
        <w:rPr>
          <w:rFonts w:hint="eastAsia" w:cs="Times New Roman"/>
          <w:color w:val="auto"/>
          <w:highlight w:val="none"/>
          <w:lang w:val="en-US" w:eastAsia="zh-CN"/>
        </w:rPr>
        <w:t>《广西壮族自治区人民政府办公厅关于印发〈广西加强新时代水土保持工作实施方案〉的通知》（桂政办发〔2023〕28号）要求要</w:t>
      </w:r>
      <w:r>
        <w:rPr>
          <w:rFonts w:hint="eastAsia" w:cs="Times New Roman"/>
          <w:color w:val="auto"/>
          <w:highlight w:val="none"/>
        </w:rPr>
        <w:t>强化部门协同、“两手发力”，引导社会力量广泛参与，注重治山、治水、治污协同推进，统筹水土保持工程、中小河流治理、水美乡村建设、文旅开发建设、高标准农田建设、乡村小微湿地保护修复、黑臭水体整治、农村生活污水和垃圾处理以及其他基础设施、生态保护修复等项目，合力建设生态旅游型、绿色产业型、和谐宜居型、休闲康养型等各具特色的水土保持产业综合体，将改善水环境、治理水生态和发展乡村优势产业有机结合，打造山青、水净、村美、民富的美丽乡村。</w:t>
      </w:r>
    </w:p>
    <w:p>
      <w:pPr>
        <w:rPr>
          <w:rFonts w:hint="default" w:ascii="Times New Roman" w:hAnsi="Times New Roman" w:eastAsia="仿宋"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积极</w:t>
      </w:r>
      <w:r>
        <w:rPr>
          <w:rFonts w:hint="default" w:ascii="Times New Roman" w:hAnsi="Times New Roman" w:eastAsia="仿宋" w:cs="Times New Roman"/>
          <w:color w:val="auto"/>
          <w:kern w:val="2"/>
          <w:sz w:val="28"/>
          <w:szCs w:val="28"/>
          <w:highlight w:val="none"/>
          <w:lang w:val="en-US" w:eastAsia="zh-CN" w:bidi="ar-SA"/>
        </w:rPr>
        <w:t>开展小流域综合治理提质增效试点。</w:t>
      </w:r>
      <w:r>
        <w:rPr>
          <w:rFonts w:hint="eastAsia" w:cs="Times New Roman"/>
          <w:color w:val="auto"/>
          <w:kern w:val="2"/>
          <w:sz w:val="28"/>
          <w:szCs w:val="28"/>
          <w:highlight w:val="none"/>
          <w:lang w:val="en-US" w:eastAsia="zh-CN" w:bidi="ar-SA"/>
        </w:rPr>
        <w:t>以中部平原人居环境维护区、</w:t>
      </w:r>
      <w:r>
        <w:rPr>
          <w:rFonts w:hint="eastAsia"/>
          <w:color w:val="auto"/>
          <w:highlight w:val="none"/>
          <w:lang w:val="en-US"/>
        </w:rPr>
        <w:t>西部低山丘陵生态维护区</w:t>
      </w:r>
      <w:r>
        <w:rPr>
          <w:rFonts w:hint="eastAsia"/>
          <w:color w:val="auto"/>
          <w:highlight w:val="none"/>
          <w:lang w:val="en-US" w:eastAsia="zh-CN"/>
        </w:rPr>
        <w:t>涉及的6个乡镇（</w:t>
      </w:r>
      <w:r>
        <w:rPr>
          <w:rFonts w:cs="Times New Roman"/>
          <w:color w:val="auto"/>
          <w:highlight w:val="none"/>
        </w:rPr>
        <w:t>拉堡镇、进德镇、成团镇</w:t>
      </w:r>
      <w:r>
        <w:rPr>
          <w:rFonts w:hint="eastAsia" w:cs="Times New Roman"/>
          <w:color w:val="auto"/>
          <w:highlight w:val="none"/>
          <w:lang w:eastAsia="zh-CN"/>
        </w:rPr>
        <w:t>、</w:t>
      </w:r>
      <w:r>
        <w:rPr>
          <w:rFonts w:cs="Times New Roman"/>
          <w:color w:val="auto"/>
          <w:highlight w:val="none"/>
        </w:rPr>
        <w:t>土博镇、里高镇、三都镇</w:t>
      </w:r>
      <w:r>
        <w:rPr>
          <w:rFonts w:hint="eastAsia"/>
          <w:color w:val="auto"/>
          <w:highlight w:val="none"/>
          <w:lang w:val="en-US" w:eastAsia="zh-CN"/>
        </w:rPr>
        <w:t>）为重点，</w:t>
      </w:r>
      <w:r>
        <w:rPr>
          <w:rFonts w:hint="default" w:ascii="Times New Roman" w:hAnsi="Times New Roman" w:eastAsia="仿宋" w:cs="Times New Roman"/>
          <w:color w:val="auto"/>
          <w:kern w:val="2"/>
          <w:sz w:val="28"/>
          <w:szCs w:val="28"/>
          <w:highlight w:val="none"/>
          <w:lang w:val="en-US" w:eastAsia="zh-CN" w:bidi="ar-SA"/>
        </w:rPr>
        <w:t>以流域水系为单元，选取条件较成熟的</w:t>
      </w:r>
      <w:r>
        <w:rPr>
          <w:rFonts w:hint="eastAsia" w:cs="Times New Roman"/>
          <w:color w:val="auto"/>
          <w:kern w:val="2"/>
          <w:sz w:val="28"/>
          <w:szCs w:val="28"/>
          <w:highlight w:val="none"/>
          <w:lang w:val="en-US" w:eastAsia="zh-CN" w:bidi="ar-SA"/>
        </w:rPr>
        <w:t>小流域</w:t>
      </w:r>
      <w:r>
        <w:rPr>
          <w:rFonts w:hint="default" w:ascii="Times New Roman" w:hAnsi="Times New Roman" w:eastAsia="仿宋" w:cs="Times New Roman"/>
          <w:color w:val="auto"/>
          <w:kern w:val="2"/>
          <w:sz w:val="28"/>
          <w:szCs w:val="28"/>
          <w:highlight w:val="none"/>
          <w:lang w:val="en-US" w:eastAsia="zh-CN" w:bidi="ar-SA"/>
        </w:rPr>
        <w:t>作为试点，以村庄和城镇周边为</w:t>
      </w:r>
      <w:r>
        <w:rPr>
          <w:rFonts w:hint="eastAsia" w:cs="Times New Roman"/>
          <w:color w:val="auto"/>
          <w:kern w:val="2"/>
          <w:sz w:val="28"/>
          <w:szCs w:val="28"/>
          <w:highlight w:val="none"/>
          <w:lang w:val="en-US" w:eastAsia="zh-CN" w:bidi="ar-SA"/>
        </w:rPr>
        <w:t>抓手</w:t>
      </w:r>
      <w:r>
        <w:rPr>
          <w:rFonts w:hint="default" w:ascii="Times New Roman" w:hAnsi="Times New Roman" w:eastAsia="仿宋" w:cs="Times New Roman"/>
          <w:color w:val="auto"/>
          <w:kern w:val="2"/>
          <w:sz w:val="28"/>
          <w:szCs w:val="28"/>
          <w:highlight w:val="none"/>
          <w:lang w:val="en-US" w:eastAsia="zh-CN" w:bidi="ar-SA"/>
        </w:rPr>
        <w:t>，</w:t>
      </w:r>
      <w:r>
        <w:rPr>
          <w:rFonts w:hint="eastAsia" w:cs="Times New Roman"/>
          <w:color w:val="auto"/>
          <w:kern w:val="2"/>
          <w:sz w:val="28"/>
          <w:szCs w:val="28"/>
          <w:highlight w:val="none"/>
          <w:lang w:val="en-US" w:eastAsia="zh-CN" w:bidi="ar-SA"/>
        </w:rPr>
        <w:t>统筹</w:t>
      </w:r>
      <w:r>
        <w:rPr>
          <w:rFonts w:hint="eastAsia" w:cs="Times New Roman"/>
          <w:color w:val="auto"/>
          <w:highlight w:val="none"/>
        </w:rPr>
        <w:t>中小河流治理、水美乡村建设、文旅开发建设、高标准农田建设、乡村小微湿地保护修复、黑臭水体整治、农村生活污水和垃圾处理以及其他基础设施、生态保护修复等项目</w:t>
      </w:r>
      <w:r>
        <w:rPr>
          <w:rFonts w:hint="eastAsia" w:cs="Times New Roman"/>
          <w:color w:val="auto"/>
          <w:highlight w:val="none"/>
          <w:lang w:eastAsia="zh-CN"/>
        </w:rPr>
        <w:t>，</w:t>
      </w:r>
      <w:r>
        <w:rPr>
          <w:rFonts w:hint="eastAsia" w:cs="Times New Roman"/>
          <w:color w:val="auto"/>
          <w:kern w:val="2"/>
          <w:sz w:val="28"/>
          <w:szCs w:val="28"/>
          <w:highlight w:val="none"/>
          <w:lang w:val="en-US" w:eastAsia="zh-CN" w:bidi="ar-SA"/>
        </w:rPr>
        <w:t>推进</w:t>
      </w:r>
      <w:r>
        <w:rPr>
          <w:rFonts w:hint="default" w:ascii="Times New Roman" w:hAnsi="Times New Roman" w:eastAsia="仿宋" w:cs="Times New Roman"/>
          <w:color w:val="auto"/>
          <w:kern w:val="2"/>
          <w:sz w:val="28"/>
          <w:szCs w:val="28"/>
          <w:highlight w:val="none"/>
          <w:lang w:val="en-US" w:eastAsia="zh-CN" w:bidi="ar-SA"/>
        </w:rPr>
        <w:t>生态清洁小流域整县一体化建设，打造整村、整乡、整县一体化治理样板。</w:t>
      </w:r>
    </w:p>
    <w:p>
      <w:pPr>
        <w:rPr>
          <w:rFonts w:cs="Times New Roman"/>
          <w:color w:val="auto"/>
          <w:highlight w:val="none"/>
        </w:rPr>
      </w:pPr>
    </w:p>
    <w:p>
      <w:pPr>
        <w:ind w:left="0" w:leftChars="0" w:firstLine="0" w:firstLineChars="0"/>
        <w:rPr>
          <w:rFonts w:cs="Times New Roman"/>
          <w:color w:val="auto"/>
          <w:highlight w:val="none"/>
        </w:rPr>
      </w:pPr>
    </w:p>
    <w:p>
      <w:pPr>
        <w:pStyle w:val="2"/>
        <w:rPr>
          <w:color w:val="auto"/>
          <w:highlight w:val="none"/>
          <w:lang w:val="en-GB"/>
        </w:rPr>
      </w:pPr>
      <w:bookmarkStart w:id="405" w:name="_Toc404087086"/>
      <w:bookmarkStart w:id="406" w:name="_Toc482812789"/>
      <w:bookmarkStart w:id="407" w:name="_Toc90399109"/>
      <w:bookmarkStart w:id="408" w:name="_Toc25193"/>
      <w:bookmarkStart w:id="409" w:name="_Toc119515918"/>
      <w:bookmarkStart w:id="410" w:name="_Toc27150"/>
      <w:bookmarkStart w:id="411" w:name="_Toc528946014"/>
      <w:r>
        <w:rPr>
          <w:color w:val="auto"/>
          <w:highlight w:val="none"/>
          <w:lang w:val="en-US"/>
        </w:rPr>
        <w:t>8</w:t>
      </w:r>
      <w:r>
        <w:rPr>
          <w:color w:val="auto"/>
          <w:highlight w:val="none"/>
          <w:lang w:val="en-GB"/>
        </w:rPr>
        <w:t>监测</w:t>
      </w:r>
      <w:bookmarkEnd w:id="405"/>
      <w:r>
        <w:rPr>
          <w:color w:val="auto"/>
          <w:highlight w:val="none"/>
          <w:lang w:val="en-GB"/>
        </w:rPr>
        <w:t>规划</w:t>
      </w:r>
      <w:bookmarkEnd w:id="406"/>
      <w:bookmarkEnd w:id="407"/>
      <w:bookmarkEnd w:id="408"/>
      <w:bookmarkEnd w:id="409"/>
      <w:bookmarkEnd w:id="410"/>
      <w:bookmarkEnd w:id="411"/>
    </w:p>
    <w:p>
      <w:pPr>
        <w:pStyle w:val="3"/>
        <w:spacing w:before="156"/>
        <w:ind w:firstLine="602"/>
        <w:rPr>
          <w:color w:val="auto"/>
          <w:highlight w:val="none"/>
          <w:lang w:val="en-US"/>
        </w:rPr>
      </w:pPr>
      <w:bookmarkStart w:id="412" w:name="_Toc25963"/>
      <w:bookmarkStart w:id="413" w:name="_Toc90399110"/>
      <w:bookmarkStart w:id="414" w:name="_Toc119515919"/>
      <w:bookmarkStart w:id="415" w:name="_Toc6647"/>
      <w:r>
        <w:rPr>
          <w:color w:val="auto"/>
          <w:highlight w:val="none"/>
          <w:lang w:val="en-US"/>
        </w:rPr>
        <w:t>8.1监测任务</w:t>
      </w:r>
      <w:bookmarkEnd w:id="412"/>
      <w:bookmarkEnd w:id="413"/>
      <w:bookmarkEnd w:id="414"/>
      <w:bookmarkEnd w:id="415"/>
    </w:p>
    <w:p>
      <w:pPr>
        <w:rPr>
          <w:rFonts w:cs="Times New Roman"/>
          <w:color w:val="auto"/>
          <w:highlight w:val="none"/>
          <w:lang w:val="zh-CN"/>
        </w:rPr>
      </w:pPr>
      <w:r>
        <w:rPr>
          <w:rFonts w:cs="Times New Roman"/>
          <w:color w:val="auto"/>
          <w:highlight w:val="none"/>
          <w:lang w:val="zh-CN"/>
        </w:rPr>
        <w:t>水土保持监测是防治水土流失的一项基础性工作。根据《水利部关于加强水土保持监测工作的通知》（水保〔2017〕36号），为深入贯彻党中央、国务院关于生态文明建设的决策部署，推进落实水土保持法和《全</w:t>
      </w:r>
      <w:r>
        <w:rPr>
          <w:rFonts w:cs="Times New Roman"/>
          <w:color w:val="auto"/>
          <w:highlight w:val="none"/>
        </w:rPr>
        <w:t>国</w:t>
      </w:r>
      <w:r>
        <w:rPr>
          <w:rFonts w:cs="Times New Roman"/>
          <w:color w:val="auto"/>
          <w:highlight w:val="none"/>
          <w:lang w:val="zh-CN"/>
        </w:rPr>
        <w:t>水土保持规划（2015</w:t>
      </w:r>
      <w:r>
        <w:rPr>
          <w:rFonts w:hint="eastAsia" w:cs="Times New Roman"/>
          <w:color w:val="auto"/>
          <w:highlight w:val="none"/>
          <w:lang w:val="zh-CN"/>
        </w:rPr>
        <w:t>—</w:t>
      </w:r>
      <w:r>
        <w:rPr>
          <w:rFonts w:cs="Times New Roman"/>
          <w:color w:val="auto"/>
          <w:highlight w:val="none"/>
          <w:lang w:val="zh-CN"/>
        </w:rPr>
        <w:t>2030年）</w:t>
      </w:r>
      <w:r>
        <w:rPr>
          <w:rFonts w:hint="eastAsia" w:cs="Times New Roman"/>
          <w:color w:val="auto"/>
          <w:highlight w:val="none"/>
          <w:lang w:val="zh-CN"/>
        </w:rPr>
        <w:t>》《</w:t>
      </w:r>
      <w:r>
        <w:rPr>
          <w:rFonts w:cs="Times New Roman"/>
          <w:color w:val="auto"/>
          <w:highlight w:val="none"/>
        </w:rPr>
        <w:t>广西水土保持规划（2016</w:t>
      </w:r>
      <w:r>
        <w:rPr>
          <w:rFonts w:hint="eastAsia" w:cs="Times New Roman"/>
          <w:color w:val="auto"/>
          <w:highlight w:val="none"/>
          <w:lang w:eastAsia="zh-CN"/>
        </w:rPr>
        <w:t>～</w:t>
      </w:r>
      <w:r>
        <w:rPr>
          <w:rFonts w:cs="Times New Roman"/>
          <w:color w:val="auto"/>
          <w:highlight w:val="none"/>
        </w:rPr>
        <w:t>2030年）</w:t>
      </w:r>
      <w:r>
        <w:rPr>
          <w:rFonts w:hint="eastAsia" w:cs="Times New Roman"/>
          <w:color w:val="auto"/>
          <w:highlight w:val="none"/>
          <w:lang w:eastAsia="zh-CN"/>
        </w:rPr>
        <w:t>》《</w:t>
      </w:r>
      <w:r>
        <w:rPr>
          <w:rFonts w:cs="Times New Roman"/>
          <w:color w:val="auto"/>
          <w:highlight w:val="none"/>
          <w:lang w:val="zh-CN"/>
        </w:rPr>
        <w:t>广西“十四五”水土保持实施方案</w:t>
      </w:r>
      <w:r>
        <w:rPr>
          <w:rFonts w:hint="eastAsia" w:cs="Times New Roman"/>
          <w:color w:val="auto"/>
          <w:highlight w:val="none"/>
          <w:lang w:val="zh-CN"/>
        </w:rPr>
        <w:t>》《</w:t>
      </w:r>
      <w:r>
        <w:rPr>
          <w:rFonts w:cs="Times New Roman"/>
          <w:color w:val="auto"/>
          <w:highlight w:val="none"/>
          <w:lang w:val="zh-CN"/>
        </w:rPr>
        <w:t>柳州市水土保持规划（2019</w:t>
      </w:r>
      <w:r>
        <w:rPr>
          <w:rFonts w:hint="eastAsia" w:cs="Times New Roman"/>
          <w:color w:val="auto"/>
          <w:highlight w:val="none"/>
          <w:lang w:val="en-US" w:eastAsia="zh-CN"/>
        </w:rPr>
        <w:t>~</w:t>
      </w:r>
      <w:r>
        <w:rPr>
          <w:rFonts w:cs="Times New Roman"/>
          <w:color w:val="auto"/>
          <w:highlight w:val="none"/>
          <w:lang w:val="zh-CN"/>
        </w:rPr>
        <w:t>2030）》，更好地发挥水土保持监测在政府决策、经济社会发展和社会公众服务中的作用，各级水保部门和监测机构应加强水土保持监测工作。</w:t>
      </w:r>
    </w:p>
    <w:p>
      <w:pPr>
        <w:rPr>
          <w:rFonts w:cs="Times New Roman"/>
          <w:color w:val="auto"/>
          <w:highlight w:val="none"/>
          <w:lang w:val="zh-CN"/>
        </w:rPr>
      </w:pPr>
      <w:r>
        <w:rPr>
          <w:rFonts w:cs="Times New Roman"/>
          <w:color w:val="auto"/>
          <w:highlight w:val="none"/>
        </w:rPr>
        <w:t>不断</w:t>
      </w:r>
      <w:r>
        <w:rPr>
          <w:rFonts w:cs="Times New Roman"/>
          <w:color w:val="auto"/>
          <w:highlight w:val="none"/>
          <w:lang w:val="zh-CN"/>
        </w:rPr>
        <w:t>完善水土保持</w:t>
      </w:r>
      <w:r>
        <w:rPr>
          <w:rFonts w:cs="Times New Roman"/>
          <w:color w:val="auto"/>
          <w:highlight w:val="none"/>
        </w:rPr>
        <w:t>动态</w:t>
      </w:r>
      <w:r>
        <w:rPr>
          <w:rFonts w:cs="Times New Roman"/>
          <w:color w:val="auto"/>
          <w:highlight w:val="none"/>
          <w:lang w:val="zh-CN"/>
        </w:rPr>
        <w:t>监测网络，运用</w:t>
      </w:r>
      <w:r>
        <w:rPr>
          <w:rFonts w:cs="Times New Roman"/>
          <w:color w:val="auto"/>
          <w:highlight w:val="none"/>
        </w:rPr>
        <w:t>现代化技术和</w:t>
      </w:r>
      <w:r>
        <w:rPr>
          <w:rFonts w:cs="Times New Roman"/>
          <w:color w:val="auto"/>
          <w:highlight w:val="none"/>
          <w:lang w:val="zh-CN"/>
        </w:rPr>
        <w:t>手段</w:t>
      </w:r>
      <w:r>
        <w:rPr>
          <w:rFonts w:cs="Times New Roman"/>
          <w:color w:val="auto"/>
          <w:highlight w:val="none"/>
        </w:rPr>
        <w:t>及时</w:t>
      </w:r>
      <w:r>
        <w:rPr>
          <w:rFonts w:cs="Times New Roman"/>
          <w:color w:val="auto"/>
          <w:highlight w:val="none"/>
          <w:lang w:val="zh-CN"/>
        </w:rPr>
        <w:t>掌握</w:t>
      </w:r>
      <w:r>
        <w:rPr>
          <w:rFonts w:cs="Times New Roman"/>
          <w:color w:val="auto"/>
          <w:highlight w:val="none"/>
        </w:rPr>
        <w:t>柳江区</w:t>
      </w:r>
      <w:r>
        <w:rPr>
          <w:rFonts w:cs="Times New Roman"/>
          <w:color w:val="auto"/>
          <w:highlight w:val="none"/>
          <w:lang w:val="zh-CN"/>
        </w:rPr>
        <w:t>水土流失</w:t>
      </w:r>
      <w:r>
        <w:rPr>
          <w:rFonts w:cs="Times New Roman"/>
          <w:color w:val="auto"/>
          <w:highlight w:val="none"/>
        </w:rPr>
        <w:t>状况</w:t>
      </w:r>
      <w:r>
        <w:rPr>
          <w:rFonts w:cs="Times New Roman"/>
          <w:color w:val="auto"/>
          <w:highlight w:val="none"/>
          <w:lang w:val="zh-CN"/>
        </w:rPr>
        <w:t>和消长情况，</w:t>
      </w:r>
      <w:r>
        <w:rPr>
          <w:rFonts w:cs="Times New Roman"/>
          <w:color w:val="auto"/>
          <w:highlight w:val="none"/>
        </w:rPr>
        <w:t>分析其变化趋势，评价水土流失防治效果，</w:t>
      </w:r>
      <w:r>
        <w:rPr>
          <w:rFonts w:cs="Times New Roman"/>
          <w:color w:val="auto"/>
          <w:highlight w:val="none"/>
          <w:lang w:val="zh-CN"/>
        </w:rPr>
        <w:t>为政府决策、社会经济发展和社会公众服务等提供科学依据。</w:t>
      </w:r>
    </w:p>
    <w:p>
      <w:pPr>
        <w:pStyle w:val="3"/>
        <w:spacing w:before="156"/>
        <w:ind w:firstLine="602"/>
        <w:rPr>
          <w:color w:val="auto"/>
          <w:highlight w:val="none"/>
        </w:rPr>
      </w:pPr>
      <w:bookmarkStart w:id="416" w:name="_Toc90399111"/>
      <w:bookmarkStart w:id="417" w:name="_Toc119515920"/>
      <w:bookmarkStart w:id="418" w:name="_Toc26145"/>
      <w:r>
        <w:rPr>
          <w:color w:val="auto"/>
          <w:highlight w:val="none"/>
          <w:lang w:val="en-US"/>
        </w:rPr>
        <w:t>8.2监测站网</w:t>
      </w:r>
      <w:bookmarkEnd w:id="416"/>
      <w:bookmarkEnd w:id="417"/>
      <w:bookmarkEnd w:id="418"/>
    </w:p>
    <w:p>
      <w:pPr>
        <w:pStyle w:val="4"/>
        <w:spacing w:before="156"/>
        <w:ind w:firstLine="562"/>
        <w:rPr>
          <w:color w:val="auto"/>
          <w:highlight w:val="none"/>
        </w:rPr>
      </w:pPr>
      <w:bookmarkStart w:id="419" w:name="_Toc27979"/>
      <w:bookmarkStart w:id="420" w:name="_Toc119515921"/>
      <w:r>
        <w:rPr>
          <w:color w:val="auto"/>
          <w:highlight w:val="none"/>
          <w:lang w:val="en-US"/>
        </w:rPr>
        <w:t>8.2.1监测站点现状</w:t>
      </w:r>
      <w:bookmarkEnd w:id="419"/>
      <w:bookmarkEnd w:id="420"/>
    </w:p>
    <w:p>
      <w:pPr>
        <w:rPr>
          <w:rFonts w:cs="Times New Roman"/>
          <w:color w:val="auto"/>
          <w:highlight w:val="none"/>
        </w:rPr>
      </w:pPr>
      <w:bookmarkStart w:id="421" w:name="_Toc119515922"/>
      <w:r>
        <w:rPr>
          <w:rFonts w:cs="Times New Roman"/>
          <w:color w:val="auto"/>
          <w:highlight w:val="none"/>
        </w:rPr>
        <w:t>目前，</w:t>
      </w:r>
      <w:r>
        <w:rPr>
          <w:rFonts w:hint="eastAsia" w:cs="Times New Roman"/>
          <w:color w:val="auto"/>
          <w:highlight w:val="none"/>
          <w:lang w:val="en-US" w:eastAsia="zh-CN"/>
        </w:rPr>
        <w:t>柳江区</w:t>
      </w:r>
      <w:r>
        <w:rPr>
          <w:rFonts w:cs="Times New Roman"/>
          <w:color w:val="auto"/>
          <w:highlight w:val="none"/>
        </w:rPr>
        <w:t>境内未设有水土保持监测站点。但从当前经济社会发展形势和生态文明建设要求来看，</w:t>
      </w:r>
      <w:r>
        <w:rPr>
          <w:rFonts w:hint="eastAsia" w:cs="Times New Roman"/>
          <w:color w:val="auto"/>
          <w:highlight w:val="none"/>
          <w:lang w:val="en-US" w:eastAsia="zh-CN"/>
        </w:rPr>
        <w:t>柳江区</w:t>
      </w:r>
      <w:r>
        <w:rPr>
          <w:rFonts w:cs="Times New Roman"/>
          <w:color w:val="auto"/>
          <w:highlight w:val="none"/>
        </w:rPr>
        <w:t>水土保持监测网络体系仍需进一步优化、完善。</w:t>
      </w:r>
    </w:p>
    <w:p>
      <w:pPr>
        <w:pStyle w:val="4"/>
        <w:spacing w:before="156"/>
        <w:ind w:firstLine="562"/>
        <w:rPr>
          <w:color w:val="auto"/>
          <w:highlight w:val="none"/>
        </w:rPr>
      </w:pPr>
      <w:bookmarkStart w:id="422" w:name="_Toc22240"/>
      <w:r>
        <w:rPr>
          <w:color w:val="auto"/>
          <w:highlight w:val="none"/>
          <w:lang w:val="en-US"/>
        </w:rPr>
        <w:t>8.2.2监测站网规划</w:t>
      </w:r>
      <w:bookmarkEnd w:id="421"/>
      <w:bookmarkEnd w:id="422"/>
    </w:p>
    <w:p>
      <w:pPr>
        <w:rPr>
          <w:rFonts w:cs="Times New Roman"/>
          <w:color w:val="auto"/>
          <w:highlight w:val="none"/>
          <w:lang w:val="zh-CN"/>
        </w:rPr>
      </w:pPr>
      <w:r>
        <w:rPr>
          <w:rFonts w:hint="eastAsia" w:cs="Times New Roman"/>
          <w:color w:val="auto"/>
          <w:highlight w:val="none"/>
          <w:lang w:val="en-US" w:eastAsia="zh-CN"/>
        </w:rPr>
        <w:t>拟在规划期内依托水土保持治理项目布设水土保持监测点，同时针对重要江河源头区即</w:t>
      </w:r>
      <w:r>
        <w:rPr>
          <w:rFonts w:cs="Times New Roman"/>
          <w:color w:val="auto"/>
          <w:highlight w:val="none"/>
        </w:rPr>
        <w:t>北之江柳江</w:t>
      </w:r>
      <w:r>
        <w:rPr>
          <w:rFonts w:hint="eastAsia" w:cs="Times New Roman"/>
          <w:color w:val="auto"/>
          <w:highlight w:val="none"/>
          <w:lang w:eastAsia="zh-CN"/>
        </w:rPr>
        <w:t>－</w:t>
      </w:r>
      <w:r>
        <w:rPr>
          <w:rFonts w:cs="Times New Roman"/>
          <w:color w:val="auto"/>
          <w:highlight w:val="none"/>
        </w:rPr>
        <w:t>忻城源头水保护区</w:t>
      </w:r>
      <w:r>
        <w:rPr>
          <w:rFonts w:hint="eastAsia" w:cs="Times New Roman"/>
          <w:color w:val="auto"/>
          <w:highlight w:val="none"/>
          <w:lang w:val="en-US" w:eastAsia="zh-CN"/>
        </w:rPr>
        <w:t>设立重点监测区域。</w:t>
      </w:r>
      <w:r>
        <w:rPr>
          <w:rFonts w:cs="Times New Roman"/>
          <w:color w:val="auto"/>
          <w:highlight w:val="none"/>
        </w:rPr>
        <w:t>并在此基础上，积极利用现有水文监测站点，采用升级改造监测设备的方式，增加水文监测站点的水土流失监测功能，争取纳入全国和自治区水土保持监测站网体系中。力争到2030年，全</w:t>
      </w:r>
      <w:r>
        <w:rPr>
          <w:rFonts w:hint="eastAsia" w:cs="Times New Roman"/>
          <w:color w:val="auto"/>
          <w:highlight w:val="none"/>
          <w:lang w:val="en-US" w:eastAsia="zh-CN"/>
        </w:rPr>
        <w:t>区</w:t>
      </w:r>
      <w:r>
        <w:rPr>
          <w:rFonts w:cs="Times New Roman"/>
          <w:color w:val="auto"/>
          <w:highlight w:val="none"/>
        </w:rPr>
        <w:t>建成科学合理、功能完备的水土保持监测站网。</w:t>
      </w:r>
    </w:p>
    <w:p>
      <w:pPr>
        <w:pStyle w:val="3"/>
        <w:spacing w:before="156"/>
        <w:ind w:firstLine="602"/>
        <w:rPr>
          <w:color w:val="auto"/>
          <w:highlight w:val="none"/>
          <w:lang w:val="en-US"/>
        </w:rPr>
      </w:pPr>
      <w:bookmarkStart w:id="423" w:name="_Toc3098"/>
      <w:bookmarkStart w:id="424" w:name="_Toc6442"/>
      <w:bookmarkStart w:id="425" w:name="_Toc90399112"/>
      <w:bookmarkStart w:id="426" w:name="_Toc119515923"/>
      <w:bookmarkStart w:id="427" w:name="_Hlk527127756"/>
      <w:r>
        <w:rPr>
          <w:color w:val="auto"/>
          <w:highlight w:val="none"/>
          <w:lang w:val="en-US"/>
        </w:rPr>
        <w:t>8.3</w:t>
      </w:r>
      <w:r>
        <w:rPr>
          <w:color w:val="auto"/>
          <w:highlight w:val="none"/>
        </w:rPr>
        <w:t>监测</w:t>
      </w:r>
      <w:r>
        <w:rPr>
          <w:color w:val="auto"/>
          <w:highlight w:val="none"/>
          <w:lang w:val="en-US"/>
        </w:rPr>
        <w:t>项目</w:t>
      </w:r>
      <w:bookmarkEnd w:id="423"/>
      <w:bookmarkEnd w:id="424"/>
      <w:bookmarkEnd w:id="425"/>
      <w:bookmarkEnd w:id="426"/>
    </w:p>
    <w:bookmarkEnd w:id="427"/>
    <w:p>
      <w:pPr>
        <w:pStyle w:val="4"/>
        <w:spacing w:before="156"/>
        <w:ind w:firstLine="562"/>
        <w:rPr>
          <w:color w:val="auto"/>
          <w:highlight w:val="none"/>
          <w:lang w:val="en-US"/>
        </w:rPr>
      </w:pPr>
      <w:bookmarkStart w:id="428" w:name="_Toc26032"/>
      <w:bookmarkStart w:id="429" w:name="_Toc119515924"/>
      <w:bookmarkStart w:id="430" w:name="_Toc2285"/>
      <w:r>
        <w:rPr>
          <w:color w:val="auto"/>
          <w:highlight w:val="none"/>
          <w:lang w:val="en-US"/>
        </w:rPr>
        <w:t>8.3.1</w:t>
      </w:r>
      <w:bookmarkEnd w:id="428"/>
      <w:bookmarkStart w:id="431" w:name="_Toc24865"/>
      <w:r>
        <w:rPr>
          <w:color w:val="auto"/>
          <w:highlight w:val="none"/>
        </w:rPr>
        <w:t>生产建设项目水土保持监督性监测</w:t>
      </w:r>
      <w:bookmarkEnd w:id="429"/>
      <w:bookmarkEnd w:id="430"/>
      <w:bookmarkEnd w:id="431"/>
    </w:p>
    <w:p>
      <w:pPr>
        <w:rPr>
          <w:rFonts w:cs="Times New Roman"/>
          <w:color w:val="auto"/>
          <w:highlight w:val="none"/>
        </w:rPr>
      </w:pPr>
      <w:r>
        <w:rPr>
          <w:rFonts w:cs="Times New Roman"/>
          <w:color w:val="auto"/>
          <w:highlight w:val="none"/>
        </w:rPr>
        <w:t>根据《广西壮族自治区生产建设项目水土保持监测管理办法》的要求，县级水行政主管部门应有计划、有重点地对生产建设项目集中区域或重大生产建设项目开展监督性监测。</w:t>
      </w:r>
    </w:p>
    <w:p>
      <w:pPr>
        <w:rPr>
          <w:rFonts w:cs="Times New Roman"/>
          <w:color w:val="auto"/>
          <w:highlight w:val="none"/>
        </w:rPr>
      </w:pPr>
      <w:r>
        <w:rPr>
          <w:rFonts w:cs="Times New Roman"/>
          <w:color w:val="auto"/>
          <w:highlight w:val="none"/>
        </w:rPr>
        <w:t>根据责任主体终身负责制的原则，在辖区范围内采用遥感、无人机遥测等多种手段和方法，对生产建设项目集中区、重大生产建设项目和其他建设或运行过程中水土流失危害较严重的项目，有计划、有重点地开展监督性监测工作。掌握生产建设项目扰动情况，比对水土保持方案确定的防治责任范围及措施布局，分析生产建设活动和防治措施的合规性，为监督执法提供数据支撑，为生产建设项目水土保持监测评价提供依据。</w:t>
      </w:r>
    </w:p>
    <w:p>
      <w:pPr>
        <w:rPr>
          <w:rFonts w:cs="Times New Roman"/>
          <w:color w:val="auto"/>
          <w:highlight w:val="none"/>
        </w:rPr>
      </w:pPr>
      <w:r>
        <w:rPr>
          <w:rFonts w:cs="Times New Roman"/>
          <w:color w:val="auto"/>
          <w:highlight w:val="none"/>
        </w:rPr>
        <w:t>生产建设项目水土保持监督性监测主要通过购买服务的方式，委托有相应监测能力的第三方机构配合进行。</w:t>
      </w:r>
    </w:p>
    <w:p>
      <w:pPr>
        <w:pStyle w:val="4"/>
        <w:spacing w:before="156"/>
        <w:ind w:firstLine="562"/>
        <w:rPr>
          <w:color w:val="auto"/>
          <w:highlight w:val="none"/>
        </w:rPr>
      </w:pPr>
      <w:bookmarkStart w:id="432" w:name="_Toc9629"/>
      <w:bookmarkStart w:id="433" w:name="_Toc119515925"/>
      <w:r>
        <w:rPr>
          <w:color w:val="auto"/>
          <w:highlight w:val="none"/>
          <w:lang w:val="en-US"/>
        </w:rPr>
        <w:t>8.3.2重点工程项目区治理成效监测</w:t>
      </w:r>
      <w:bookmarkEnd w:id="432"/>
      <w:bookmarkEnd w:id="433"/>
    </w:p>
    <w:p>
      <w:pPr>
        <w:snapToGrid w:val="0"/>
        <w:spacing w:line="360" w:lineRule="auto"/>
        <w:ind w:firstLine="560" w:firstLineChars="200"/>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规划期内</w:t>
      </w:r>
      <w:r>
        <w:rPr>
          <w:rFonts w:hint="eastAsia" w:cs="Times New Roman"/>
          <w:color w:val="auto"/>
          <w:highlight w:val="none"/>
          <w:lang w:val="en-US" w:eastAsia="zh-CN"/>
        </w:rPr>
        <w:t>依托柳江区里高镇牛腊河清洁型小流域水土保持治理工程和柳江区成团镇莲花河清洁型小流域水土保持治理工程设立水土保持监测点。水土保持监测点主要布设在水土保持工程措施所在的地块，以及小流域的水系出入口，例如经果林地块，以及护岸的起点和终点处。水土保持监测方法按水利部《生产建设项目水土保持监测与评价标准》（GB51240-2018）监测方法主要采用调查监测（现场巡查法、遥感监测法、标准地调查法）等方法。监测内容包括基本情况监测、水土保持措施监测、</w:t>
      </w:r>
      <w:r>
        <w:rPr>
          <w:rFonts w:hint="eastAsia" w:ascii="Times New Roman" w:hAnsi="Times New Roman" w:cs="Times New Roman"/>
          <w:color w:val="auto"/>
          <w:highlight w:val="none"/>
          <w:lang w:val="en-US" w:eastAsia="zh-CN"/>
        </w:rPr>
        <w:t>社会效益监测、经济效益监测、生态效益监测、水土保持措施增产效益监测。</w:t>
      </w:r>
    </w:p>
    <w:p>
      <w:pPr>
        <w:pStyle w:val="4"/>
        <w:spacing w:before="156"/>
        <w:ind w:firstLine="562"/>
        <w:rPr>
          <w:color w:val="auto"/>
          <w:highlight w:val="none"/>
        </w:rPr>
      </w:pPr>
      <w:bookmarkStart w:id="434" w:name="_Toc7171"/>
      <w:bookmarkStart w:id="435" w:name="_Toc119515926"/>
      <w:r>
        <w:rPr>
          <w:color w:val="auto"/>
          <w:highlight w:val="none"/>
          <w:lang w:val="en-US"/>
        </w:rPr>
        <w:t>8.3.3水土保持特定区域监测</w:t>
      </w:r>
      <w:bookmarkEnd w:id="434"/>
      <w:bookmarkEnd w:id="435"/>
    </w:p>
    <w:p>
      <w:pPr>
        <w:rPr>
          <w:rFonts w:cs="Times New Roman"/>
          <w:color w:val="auto"/>
          <w:highlight w:val="none"/>
        </w:rPr>
      </w:pPr>
      <w:r>
        <w:rPr>
          <w:rFonts w:cs="Times New Roman"/>
          <w:color w:val="auto"/>
          <w:highlight w:val="none"/>
        </w:rPr>
        <w:t>根据社会关注重点和实际工作需要，有针对性地开展生态脆弱地区、禁止开垦陡坡地、重点水源地和水库周边植物保护带等区域的监测工作，采用遥感技术开展不同土壤侵蚀类型的面积、强度和分布的监测，并根据需要进行不同阶段的动态监测成果对比分析，评价水土流失变化情况。</w:t>
      </w:r>
      <w:r>
        <w:rPr>
          <w:rFonts w:hint="eastAsia" w:cs="Times New Roman"/>
          <w:color w:val="auto"/>
          <w:highlight w:val="none"/>
          <w:lang w:val="en-US" w:eastAsia="zh-CN"/>
        </w:rPr>
        <w:t>拟在规划期内针对</w:t>
      </w:r>
      <w:r>
        <w:rPr>
          <w:rFonts w:cs="Times New Roman"/>
          <w:color w:val="auto"/>
          <w:highlight w:val="none"/>
        </w:rPr>
        <w:t>北之江柳江</w:t>
      </w:r>
      <w:r>
        <w:rPr>
          <w:rFonts w:hint="eastAsia" w:cs="Times New Roman"/>
          <w:color w:val="auto"/>
          <w:highlight w:val="none"/>
          <w:lang w:eastAsia="zh-CN"/>
        </w:rPr>
        <w:t>－</w:t>
      </w:r>
      <w:r>
        <w:rPr>
          <w:rFonts w:cs="Times New Roman"/>
          <w:color w:val="auto"/>
          <w:highlight w:val="none"/>
        </w:rPr>
        <w:t>忻城源头水保护区</w:t>
      </w:r>
      <w:r>
        <w:rPr>
          <w:rFonts w:hint="eastAsia" w:cs="Times New Roman"/>
          <w:color w:val="auto"/>
          <w:highlight w:val="none"/>
          <w:lang w:eastAsia="zh-CN"/>
        </w:rPr>
        <w:t>，</w:t>
      </w:r>
      <w:r>
        <w:rPr>
          <w:rFonts w:hint="eastAsia" w:cs="Times New Roman"/>
          <w:color w:val="auto"/>
          <w:highlight w:val="none"/>
          <w:lang w:val="en-US" w:eastAsia="zh-CN"/>
        </w:rPr>
        <w:t>结合</w:t>
      </w:r>
      <w:r>
        <w:rPr>
          <w:rFonts w:cs="Times New Roman"/>
          <w:color w:val="auto"/>
          <w:highlight w:val="none"/>
        </w:rPr>
        <w:t>现有水文监测站点，采用升级改造监测设备的方式，增加水文监测站点的水土流失监测功能，常态化观测</w:t>
      </w:r>
      <w:r>
        <w:rPr>
          <w:rFonts w:hint="eastAsia" w:cs="Times New Roman"/>
          <w:color w:val="auto"/>
          <w:highlight w:val="none"/>
          <w:lang w:val="en-US" w:eastAsia="zh-CN"/>
        </w:rPr>
        <w:t>重要江河源头区</w:t>
      </w:r>
      <w:r>
        <w:rPr>
          <w:rFonts w:cs="Times New Roman"/>
          <w:color w:val="auto"/>
          <w:highlight w:val="none"/>
        </w:rPr>
        <w:t>的自然情况，保障</w:t>
      </w:r>
      <w:r>
        <w:rPr>
          <w:rFonts w:hint="eastAsia" w:cs="Times New Roman"/>
          <w:color w:val="auto"/>
          <w:highlight w:val="none"/>
          <w:lang w:val="en-US" w:eastAsia="zh-CN"/>
        </w:rPr>
        <w:t>重要江河源头区</w:t>
      </w:r>
      <w:r>
        <w:rPr>
          <w:rFonts w:cs="Times New Roman"/>
          <w:color w:val="auto"/>
          <w:highlight w:val="none"/>
        </w:rPr>
        <w:t>不遭受破坏、陡坡地面积不增加、植物保护带生态功能不降低，为区域生态建设提供决策依据。</w:t>
      </w:r>
    </w:p>
    <w:p>
      <w:pPr>
        <w:rPr>
          <w:rFonts w:cs="Times New Roman"/>
          <w:color w:val="auto"/>
          <w:highlight w:val="none"/>
        </w:rPr>
      </w:pPr>
      <w:r>
        <w:rPr>
          <w:rFonts w:cs="Times New Roman"/>
          <w:color w:val="auto"/>
          <w:highlight w:val="none"/>
        </w:rPr>
        <w:t>水土保持特定区域监测主要通过购买服务的方式，委托有相应监测能力的第三方机构配合进行。</w:t>
      </w:r>
    </w:p>
    <w:p>
      <w:pPr>
        <w:pStyle w:val="4"/>
        <w:spacing w:before="156"/>
        <w:ind w:firstLine="562"/>
        <w:rPr>
          <w:rFonts w:eastAsia="仿宋_GB2312"/>
          <w:color w:val="auto"/>
          <w:highlight w:val="none"/>
        </w:rPr>
      </w:pPr>
      <w:bookmarkStart w:id="436" w:name="_Toc119515927"/>
      <w:bookmarkStart w:id="437" w:name="_Toc417"/>
      <w:r>
        <w:rPr>
          <w:color w:val="auto"/>
          <w:highlight w:val="none"/>
          <w:lang w:val="en-US"/>
        </w:rPr>
        <w:t>8.3.4</w:t>
      </w:r>
      <w:r>
        <w:rPr>
          <w:rFonts w:ascii="Times New Roman" w:hAnsi="Times New Roman" w:cs="Times New Roman"/>
          <w:color w:val="auto"/>
          <w:highlight w:val="none"/>
          <w:lang w:val="en-US"/>
        </w:rPr>
        <w:t>重大水土流失事件监测</w:t>
      </w:r>
      <w:bookmarkEnd w:id="436"/>
      <w:bookmarkEnd w:id="437"/>
    </w:p>
    <w:p>
      <w:pPr>
        <w:rPr>
          <w:rFonts w:cs="Times New Roman"/>
          <w:color w:val="auto"/>
          <w:highlight w:val="none"/>
        </w:rPr>
      </w:pPr>
      <w:r>
        <w:rPr>
          <w:rFonts w:cs="Times New Roman"/>
          <w:color w:val="auto"/>
          <w:highlight w:val="none"/>
        </w:rPr>
        <w:t>配合市级以上水土保持行政主管部门，根据不同区域水土流失影像因素信息，参与制定重大水土流失事件监测预案，利用高分遥感、全息摄影和无人机遥测等技术手段，快速采集、实时传输水土流失事件的视频和图像等信息，及时调查水土流失灾害及其影响范围、影响程度，提出意见和建议，为应急处理、减灾救灾和防治对策制定提供技术支撑。</w:t>
      </w:r>
    </w:p>
    <w:p>
      <w:pPr>
        <w:pStyle w:val="4"/>
        <w:spacing w:before="156"/>
        <w:ind w:firstLine="562"/>
        <w:rPr>
          <w:color w:val="auto"/>
          <w:highlight w:val="none"/>
          <w:lang w:val="en-US"/>
        </w:rPr>
      </w:pPr>
      <w:bookmarkStart w:id="438" w:name="_Toc11209"/>
      <w:bookmarkStart w:id="439" w:name="_Toc119515928"/>
      <w:r>
        <w:rPr>
          <w:color w:val="auto"/>
          <w:highlight w:val="none"/>
          <w:lang w:val="en-US"/>
        </w:rPr>
        <w:t>8.3.5水土流失违法事实监测</w:t>
      </w:r>
      <w:bookmarkEnd w:id="438"/>
      <w:bookmarkEnd w:id="439"/>
    </w:p>
    <w:p>
      <w:pPr>
        <w:rPr>
          <w:rFonts w:cs="Times New Roman"/>
          <w:color w:val="auto"/>
          <w:highlight w:val="none"/>
        </w:rPr>
      </w:pPr>
      <w:r>
        <w:rPr>
          <w:rFonts w:cs="Times New Roman"/>
          <w:color w:val="auto"/>
          <w:highlight w:val="none"/>
        </w:rPr>
        <w:t>按照水土保持相关法律法规的规定，组织监测技术服务机构对造成严重水土流失或存在重大水土流失隐患的违法行为进行监测，鉴定违法事实，为及时消除水土流失隐患、避免人为水土流失灾害、纠纷责任认定和监督执法提供依据，全面提升监督执法效力。重点监测在弃渣场外倾倒砂石土、未编制水土保持方案擅自开工建设等违法行为。</w:t>
      </w:r>
    </w:p>
    <w:p>
      <w:pPr>
        <w:pStyle w:val="3"/>
        <w:spacing w:before="156"/>
        <w:ind w:firstLine="602"/>
        <w:rPr>
          <w:color w:val="auto"/>
          <w:highlight w:val="none"/>
          <w:lang w:val="en-US"/>
        </w:rPr>
      </w:pPr>
      <w:bookmarkStart w:id="440" w:name="_Toc15349"/>
      <w:bookmarkStart w:id="441" w:name="_Toc119515929"/>
      <w:bookmarkStart w:id="442" w:name="_Toc90399113"/>
      <w:bookmarkStart w:id="443" w:name="_Toc5609"/>
      <w:r>
        <w:rPr>
          <w:color w:val="auto"/>
          <w:highlight w:val="none"/>
          <w:lang w:val="en-US"/>
        </w:rPr>
        <w:t>8.4监测内容和方法</w:t>
      </w:r>
      <w:bookmarkEnd w:id="440"/>
      <w:bookmarkEnd w:id="441"/>
      <w:bookmarkEnd w:id="442"/>
    </w:p>
    <w:p>
      <w:pPr>
        <w:pStyle w:val="4"/>
        <w:spacing w:before="156"/>
        <w:ind w:firstLine="562"/>
        <w:rPr>
          <w:color w:val="auto"/>
          <w:highlight w:val="none"/>
          <w:lang w:val="en-US"/>
        </w:rPr>
      </w:pPr>
      <w:bookmarkStart w:id="444" w:name="_Toc119515930"/>
      <w:bookmarkStart w:id="445" w:name="_Toc16504"/>
      <w:r>
        <w:rPr>
          <w:color w:val="auto"/>
          <w:highlight w:val="none"/>
          <w:lang w:val="en-US"/>
        </w:rPr>
        <w:t>8.4.1</w:t>
      </w:r>
      <w:r>
        <w:rPr>
          <w:color w:val="auto"/>
          <w:highlight w:val="none"/>
        </w:rPr>
        <w:t>生产建设项目水土保持监督性监测</w:t>
      </w:r>
      <w:bookmarkEnd w:id="444"/>
      <w:bookmarkEnd w:id="445"/>
    </w:p>
    <w:p>
      <w:pPr>
        <w:numPr>
          <w:ilvl w:val="0"/>
          <w:numId w:val="6"/>
        </w:numPr>
        <w:rPr>
          <w:rFonts w:cs="Times New Roman"/>
          <w:color w:val="auto"/>
          <w:highlight w:val="none"/>
        </w:rPr>
      </w:pPr>
      <w:r>
        <w:rPr>
          <w:rFonts w:cs="Times New Roman"/>
          <w:color w:val="auto"/>
          <w:highlight w:val="none"/>
        </w:rPr>
        <w:t>监测内容</w:t>
      </w:r>
    </w:p>
    <w:p>
      <w:pPr>
        <w:rPr>
          <w:rFonts w:cs="Times New Roman"/>
          <w:color w:val="auto"/>
          <w:highlight w:val="none"/>
        </w:rPr>
      </w:pPr>
      <w:r>
        <w:rPr>
          <w:rFonts w:cs="Times New Roman"/>
          <w:color w:val="auto"/>
          <w:highlight w:val="none"/>
        </w:rPr>
        <w:t>主要包括生产建设区水土流失影响因子，扰动土地面积、挖方填方量、弃土弃渣量、弃渣场和料场变化等情况，水土保持防治措施效果及水土流失危害等。</w:t>
      </w:r>
    </w:p>
    <w:p>
      <w:pPr>
        <w:numPr>
          <w:ilvl w:val="0"/>
          <w:numId w:val="6"/>
        </w:numPr>
        <w:rPr>
          <w:rFonts w:cs="Times New Roman"/>
          <w:color w:val="auto"/>
          <w:highlight w:val="none"/>
        </w:rPr>
      </w:pPr>
      <w:r>
        <w:rPr>
          <w:rFonts w:cs="Times New Roman"/>
          <w:color w:val="auto"/>
          <w:highlight w:val="none"/>
        </w:rPr>
        <w:t>监测方法</w:t>
      </w:r>
    </w:p>
    <w:p>
      <w:pPr>
        <w:rPr>
          <w:rFonts w:cs="Times New Roman"/>
          <w:color w:val="auto"/>
          <w:highlight w:val="none"/>
        </w:rPr>
      </w:pPr>
      <w:r>
        <w:rPr>
          <w:rFonts w:cs="Times New Roman"/>
          <w:color w:val="auto"/>
          <w:highlight w:val="none"/>
        </w:rPr>
        <w:t>按照《水土保持监测技术规程》（SL277-2002）和《生产建设项目水土保持技术标准》（GB50433-2018）的规定，结合《生产建设项目监管技术规定》的要求，监测方法主要采用高分遥感影像解译监测、无人机监测、实地调查、巡查监测，并辅以地面观测方法。地面观测包括径流小区法、沉沙池法、坡面侵蚀沟量测法等，用于各种类型的挖填边坡、临时堆放场、弃渣场坡面以及施工临时场地等水土流失量的监测。监测频次按相关规定执行。</w:t>
      </w:r>
    </w:p>
    <w:p>
      <w:pPr>
        <w:pStyle w:val="4"/>
        <w:spacing w:before="156"/>
        <w:ind w:firstLine="562"/>
        <w:rPr>
          <w:color w:val="auto"/>
          <w:highlight w:val="none"/>
          <w:lang w:val="en-US"/>
        </w:rPr>
      </w:pPr>
      <w:bookmarkStart w:id="446" w:name="_Toc12558"/>
      <w:bookmarkStart w:id="447" w:name="_Toc119515931"/>
      <w:r>
        <w:rPr>
          <w:color w:val="auto"/>
          <w:highlight w:val="none"/>
          <w:lang w:val="en-US"/>
        </w:rPr>
        <w:t>8.4.2</w:t>
      </w:r>
      <w:r>
        <w:rPr>
          <w:color w:val="auto"/>
          <w:highlight w:val="none"/>
        </w:rPr>
        <w:t>重点工程项目区治理成效监测</w:t>
      </w:r>
      <w:bookmarkEnd w:id="446"/>
      <w:bookmarkEnd w:id="447"/>
    </w:p>
    <w:p>
      <w:pPr>
        <w:spacing w:line="600" w:lineRule="exact"/>
        <w:rPr>
          <w:rFonts w:cs="Times New Roman"/>
          <w:color w:val="auto"/>
          <w:highlight w:val="none"/>
        </w:rPr>
      </w:pPr>
      <w:r>
        <w:rPr>
          <w:rFonts w:cs="Times New Roman"/>
          <w:color w:val="auto"/>
          <w:highlight w:val="none"/>
        </w:rPr>
        <w:t>（1）监测内容</w:t>
      </w:r>
    </w:p>
    <w:p>
      <w:pPr>
        <w:snapToGrid w:val="0"/>
        <w:spacing w:line="360" w:lineRule="auto"/>
        <w:ind w:firstLine="560" w:firstLineChars="200"/>
        <w:jc w:val="left"/>
        <w:rPr>
          <w:rFonts w:hint="eastAsia" w:ascii="Times New Roman" w:hAnsi="Times New Roman" w:cs="Times New Roman"/>
          <w:color w:val="auto"/>
          <w:highlight w:val="none"/>
          <w:lang w:val="en-US" w:eastAsia="zh-CN"/>
        </w:rPr>
      </w:pPr>
      <w:r>
        <w:rPr>
          <w:rFonts w:cs="Times New Roman"/>
          <w:color w:val="auto"/>
          <w:highlight w:val="none"/>
        </w:rPr>
        <w:t>现场抽查图斑的数字正射影像数据，解译分析抽查图斑的实施措施类型、数量（面积、范围）矢量数据，对照项目区水土保持措施设计图，与抽查图斑的措施类型、边界、范围进行对比分析，核实措施设计和实际实施情况，做出具体效益分析</w:t>
      </w:r>
      <w:r>
        <w:rPr>
          <w:rFonts w:hint="eastAsia" w:cs="Times New Roman"/>
          <w:color w:val="auto"/>
          <w:highlight w:val="none"/>
          <w:lang w:eastAsia="zh-CN"/>
        </w:rPr>
        <w:t>。</w:t>
      </w:r>
      <w:r>
        <w:rPr>
          <w:rFonts w:cs="Times New Roman"/>
          <w:color w:val="auto"/>
          <w:highlight w:val="none"/>
        </w:rPr>
        <w:t>主要包括</w:t>
      </w:r>
      <w:r>
        <w:rPr>
          <w:rFonts w:hint="eastAsia" w:cs="Times New Roman"/>
          <w:color w:val="auto"/>
          <w:highlight w:val="none"/>
          <w:lang w:val="en-US" w:eastAsia="zh-CN"/>
        </w:rPr>
        <w:t>基本情况监测、水土保持措施监测、</w:t>
      </w:r>
      <w:r>
        <w:rPr>
          <w:rFonts w:hint="eastAsia" w:ascii="Times New Roman" w:hAnsi="Times New Roman" w:cs="Times New Roman"/>
          <w:color w:val="auto"/>
          <w:highlight w:val="none"/>
          <w:lang w:val="en-US" w:eastAsia="zh-CN"/>
        </w:rPr>
        <w:t>社会效益监测、经济效益监测、生态效益监测、水土保持措施增产效益监测。</w:t>
      </w:r>
    </w:p>
    <w:p>
      <w:pPr>
        <w:spacing w:line="600" w:lineRule="exact"/>
        <w:rPr>
          <w:rFonts w:cs="Times New Roman"/>
          <w:color w:val="auto"/>
          <w:highlight w:val="none"/>
        </w:rPr>
      </w:pPr>
      <w:r>
        <w:rPr>
          <w:rFonts w:cs="Times New Roman"/>
          <w:color w:val="auto"/>
          <w:highlight w:val="none"/>
        </w:rPr>
        <w:t>（2）监测方法</w:t>
      </w:r>
    </w:p>
    <w:p>
      <w:pPr>
        <w:spacing w:line="600" w:lineRule="exact"/>
        <w:rPr>
          <w:rFonts w:cs="Times New Roman"/>
          <w:color w:val="auto"/>
          <w:highlight w:val="none"/>
        </w:rPr>
      </w:pPr>
      <w:r>
        <w:rPr>
          <w:rFonts w:cs="Times New Roman"/>
          <w:color w:val="auto"/>
          <w:highlight w:val="none"/>
        </w:rPr>
        <w:t>按照《水土保持综合治理效益计算方法》《国家水土保持重点工程信息化监管技术规定（试行）》和相关技术标准规范要求，充分运用全国水土保持信息管理系统，在全面收集项目建设资料的基础上，利用高分遥感影像解译、无人机遥测和现场调查等方法，对水土保持重点工程实施“图斑精细化”监管。全过程跟踪监测水保措施的位置、数量、工程量等进度情况，重点分析土地利用、植被盖度、水土流失面积及强度等变化情况，并在工程完工后对治理成效进行监测评价，系统分析项目产生的生态效益、经济效益和社会效益。</w:t>
      </w:r>
    </w:p>
    <w:p>
      <w:pPr>
        <w:pStyle w:val="4"/>
        <w:spacing w:before="156" w:line="600" w:lineRule="exact"/>
        <w:ind w:firstLine="562"/>
        <w:rPr>
          <w:color w:val="auto"/>
          <w:highlight w:val="none"/>
        </w:rPr>
      </w:pPr>
      <w:bookmarkStart w:id="448" w:name="_Toc19804"/>
      <w:bookmarkStart w:id="449" w:name="_Toc119515932"/>
      <w:r>
        <w:rPr>
          <w:color w:val="auto"/>
          <w:highlight w:val="none"/>
          <w:lang w:val="en-US"/>
        </w:rPr>
        <w:t>8.4.3水土保持特定区域监测</w:t>
      </w:r>
      <w:bookmarkEnd w:id="448"/>
      <w:bookmarkEnd w:id="449"/>
    </w:p>
    <w:p>
      <w:pPr>
        <w:spacing w:line="600" w:lineRule="exact"/>
        <w:rPr>
          <w:rFonts w:cs="Times New Roman"/>
          <w:color w:val="auto"/>
          <w:highlight w:val="none"/>
        </w:rPr>
      </w:pPr>
      <w:r>
        <w:rPr>
          <w:rFonts w:cs="Times New Roman"/>
          <w:color w:val="auto"/>
          <w:highlight w:val="none"/>
        </w:rPr>
        <w:t>（1）监测内容</w:t>
      </w:r>
    </w:p>
    <w:p>
      <w:pPr>
        <w:spacing w:line="600" w:lineRule="exact"/>
        <w:rPr>
          <w:rFonts w:cs="Times New Roman"/>
          <w:color w:val="auto"/>
          <w:highlight w:val="none"/>
        </w:rPr>
      </w:pPr>
      <w:r>
        <w:rPr>
          <w:rFonts w:cs="Times New Roman"/>
          <w:color w:val="auto"/>
          <w:highlight w:val="none"/>
        </w:rPr>
        <w:t>常态化观测特定区域的自然情况，主要包括生态脆弱区域的土地利用情况、水土流失情况、生态环境状况、各类水土保持措施及其效益情况、面源污染控制指标、河流水沙情况等动态变化。保障生态脆弱地区不遭受破坏、陡坡地面积不增加、植物保护带生态功能不降低，为区域生态建设提供决策依据。</w:t>
      </w:r>
    </w:p>
    <w:p>
      <w:pPr>
        <w:spacing w:line="600" w:lineRule="exact"/>
        <w:rPr>
          <w:rFonts w:cs="Times New Roman"/>
          <w:color w:val="auto"/>
          <w:highlight w:val="none"/>
        </w:rPr>
      </w:pPr>
      <w:r>
        <w:rPr>
          <w:rFonts w:cs="Times New Roman"/>
          <w:color w:val="auto"/>
          <w:highlight w:val="none"/>
        </w:rPr>
        <w:t>（2）监测方法</w:t>
      </w:r>
    </w:p>
    <w:p>
      <w:pPr>
        <w:spacing w:line="600" w:lineRule="exact"/>
        <w:rPr>
          <w:rFonts w:cs="Times New Roman"/>
          <w:color w:val="auto"/>
          <w:highlight w:val="none"/>
        </w:rPr>
      </w:pPr>
      <w:r>
        <w:rPr>
          <w:rFonts w:cs="Times New Roman"/>
          <w:color w:val="auto"/>
          <w:highlight w:val="none"/>
        </w:rPr>
        <w:t>采用遥感监测与现场调查复核相结合的方法进行监测。利用遥感监测快速、宏观、客观的特点，监测区域植被、土地利用和措施等情况，并根据区域土壤和地形地貌成果，采取综合评价方法，对区域水土流失状况及其动态变化进行分析。</w:t>
      </w:r>
    </w:p>
    <w:p>
      <w:pPr>
        <w:spacing w:line="600" w:lineRule="exact"/>
        <w:rPr>
          <w:rFonts w:cs="Times New Roman"/>
          <w:color w:val="auto"/>
          <w:highlight w:val="none"/>
        </w:rPr>
      </w:pPr>
      <w:r>
        <w:rPr>
          <w:rFonts w:cs="Times New Roman"/>
          <w:color w:val="auto"/>
          <w:highlight w:val="none"/>
        </w:rPr>
        <w:t>采用地面观测和抽样调查相结合的复核方法，掌握水土保持措施数量、质量及分布状况。并通过统计分析，评价该水土流失重点预防区的水土流失、生态环境状况、水土保持措施治理效果。</w:t>
      </w:r>
    </w:p>
    <w:p>
      <w:pPr>
        <w:pStyle w:val="4"/>
        <w:spacing w:before="156" w:line="600" w:lineRule="exact"/>
        <w:ind w:firstLine="562"/>
        <w:rPr>
          <w:color w:val="auto"/>
          <w:highlight w:val="none"/>
          <w:lang w:val="en-US"/>
        </w:rPr>
      </w:pPr>
      <w:bookmarkStart w:id="450" w:name="_Toc13549"/>
      <w:bookmarkStart w:id="451" w:name="_Toc119515933"/>
      <w:r>
        <w:rPr>
          <w:color w:val="auto"/>
          <w:highlight w:val="none"/>
          <w:lang w:val="en-US"/>
        </w:rPr>
        <w:t>8.4.4重大水土流失事件监测</w:t>
      </w:r>
      <w:bookmarkEnd w:id="450"/>
      <w:bookmarkEnd w:id="451"/>
    </w:p>
    <w:p>
      <w:pPr>
        <w:spacing w:line="600" w:lineRule="exact"/>
        <w:rPr>
          <w:rFonts w:cs="Times New Roman"/>
          <w:color w:val="auto"/>
          <w:highlight w:val="none"/>
        </w:rPr>
      </w:pPr>
      <w:r>
        <w:rPr>
          <w:rFonts w:cs="Times New Roman"/>
          <w:color w:val="auto"/>
          <w:highlight w:val="none"/>
        </w:rPr>
        <w:t>按照《水土保持监测技术规程》（SL277-2002）和《生产建设项目水土保持技术标准》（GB50433-2018）的规定，监测方法主要采用无人机监测、实地调查、地面观测方法。地面观测包括径流小区法、沉沙池法、坡面侵蚀沟量测法等，用于各种类型的挖填边坡、临时堆放场、弃渣场坡面以及施工临时场地等水土流失量的监测。</w:t>
      </w:r>
    </w:p>
    <w:p>
      <w:pPr>
        <w:pStyle w:val="4"/>
        <w:spacing w:before="156" w:line="600" w:lineRule="exact"/>
        <w:ind w:firstLine="562"/>
        <w:rPr>
          <w:color w:val="auto"/>
          <w:highlight w:val="none"/>
          <w:lang w:val="en-US"/>
        </w:rPr>
      </w:pPr>
      <w:bookmarkStart w:id="452" w:name="_Toc29885"/>
      <w:bookmarkStart w:id="453" w:name="_Toc119515934"/>
      <w:r>
        <w:rPr>
          <w:color w:val="auto"/>
          <w:highlight w:val="none"/>
          <w:lang w:val="en-US"/>
        </w:rPr>
        <w:t>8.4.5水土流失违法事实监测</w:t>
      </w:r>
      <w:bookmarkEnd w:id="452"/>
      <w:bookmarkEnd w:id="453"/>
    </w:p>
    <w:p>
      <w:pPr>
        <w:spacing w:line="600" w:lineRule="exact"/>
        <w:rPr>
          <w:rFonts w:cs="Times New Roman"/>
          <w:color w:val="auto"/>
          <w:highlight w:val="none"/>
        </w:rPr>
      </w:pPr>
      <w:r>
        <w:rPr>
          <w:rFonts w:cs="Times New Roman"/>
          <w:color w:val="auto"/>
          <w:highlight w:val="none"/>
        </w:rPr>
        <w:t>按照水土保持相关法律法规的规定，水土流失违法事实监测重点监测在弃渣场外倾倒砂石土、未编制水土保持方案擅自开工建设等违法行为，监测方法主要采用无人机监测、实地调查、地面观测方法。地面观测包括径流小区法、沉沙池法、坡面侵蚀沟量测法等。</w:t>
      </w:r>
    </w:p>
    <w:p>
      <w:pPr>
        <w:pStyle w:val="3"/>
        <w:spacing w:before="156" w:line="600" w:lineRule="exact"/>
        <w:ind w:firstLine="602"/>
        <w:rPr>
          <w:color w:val="auto"/>
          <w:highlight w:val="none"/>
        </w:rPr>
      </w:pPr>
      <w:bookmarkStart w:id="454" w:name="_Toc3575"/>
      <w:bookmarkStart w:id="455" w:name="_Toc119515935"/>
      <w:bookmarkStart w:id="456" w:name="_Toc90399114"/>
      <w:r>
        <w:rPr>
          <w:color w:val="auto"/>
          <w:highlight w:val="none"/>
        </w:rPr>
        <w:t>8.5监测成果</w:t>
      </w:r>
      <w:r>
        <w:rPr>
          <w:color w:val="auto"/>
          <w:highlight w:val="none"/>
          <w:lang w:val="en-US"/>
        </w:rPr>
        <w:t>管理与</w:t>
      </w:r>
      <w:r>
        <w:rPr>
          <w:color w:val="auto"/>
          <w:highlight w:val="none"/>
        </w:rPr>
        <w:t>应用</w:t>
      </w:r>
      <w:bookmarkEnd w:id="443"/>
      <w:bookmarkEnd w:id="454"/>
      <w:bookmarkEnd w:id="455"/>
      <w:bookmarkEnd w:id="456"/>
    </w:p>
    <w:p>
      <w:pPr>
        <w:spacing w:line="600" w:lineRule="exact"/>
        <w:rPr>
          <w:rFonts w:cs="Times New Roman"/>
          <w:color w:val="auto"/>
          <w:highlight w:val="none"/>
        </w:rPr>
      </w:pPr>
      <w:r>
        <w:rPr>
          <w:rFonts w:cs="Times New Roman"/>
          <w:color w:val="auto"/>
          <w:highlight w:val="none"/>
        </w:rPr>
        <w:t>水土保持监测工作应确保监测成果的准确性、真实性和客观性，对生产建设项目水土保持监督性监测、水土保持重点工程区监测、水土保持特点区域监测等形成的数据成果进行整编和存档。利用全国水土保持信息管理系统加强监测成果的报送管理，将监测成果广泛应用于水土保持预防保护、监督管理、综合治理等工作中，充分发挥水土保持监测工作的基础性指导作用，大力提升监督检查效能。</w:t>
      </w:r>
    </w:p>
    <w:p>
      <w:pPr>
        <w:pStyle w:val="2"/>
        <w:rPr>
          <w:color w:val="auto"/>
          <w:highlight w:val="none"/>
          <w:lang w:val="en-GB"/>
        </w:rPr>
      </w:pPr>
      <w:bookmarkStart w:id="457" w:name="_Toc119515936"/>
      <w:bookmarkStart w:id="458" w:name="_Toc528946022"/>
      <w:bookmarkStart w:id="459" w:name="_Toc17332"/>
      <w:bookmarkStart w:id="460" w:name="_Toc90399115"/>
      <w:bookmarkStart w:id="461" w:name="_Toc482812796"/>
      <w:bookmarkStart w:id="462" w:name="_Toc30199"/>
      <w:r>
        <w:rPr>
          <w:color w:val="auto"/>
          <w:highlight w:val="none"/>
          <w:lang w:val="en-US"/>
        </w:rPr>
        <w:t>9</w:t>
      </w:r>
      <w:r>
        <w:rPr>
          <w:color w:val="auto"/>
          <w:highlight w:val="none"/>
          <w:lang w:val="en-GB"/>
        </w:rPr>
        <w:t>综合监管</w:t>
      </w:r>
      <w:bookmarkEnd w:id="457"/>
      <w:bookmarkEnd w:id="458"/>
      <w:bookmarkEnd w:id="459"/>
      <w:bookmarkEnd w:id="460"/>
      <w:bookmarkEnd w:id="461"/>
      <w:bookmarkEnd w:id="462"/>
    </w:p>
    <w:p>
      <w:pPr>
        <w:spacing w:line="560" w:lineRule="exact"/>
        <w:rPr>
          <w:rFonts w:cs="Times New Roman"/>
          <w:color w:val="auto"/>
          <w:highlight w:val="none"/>
        </w:rPr>
      </w:pPr>
      <w:r>
        <w:rPr>
          <w:rFonts w:cs="Times New Roman"/>
          <w:color w:val="auto"/>
          <w:highlight w:val="none"/>
        </w:rPr>
        <w:t>《中共中央国务院关于加快推进生态文明建设的意见》明确提出要加强生态文明建设统计监测和执法监督、</w:t>
      </w:r>
      <w:r>
        <w:rPr>
          <w:rFonts w:hint="eastAsia" w:cs="Times New Roman"/>
          <w:color w:val="auto"/>
          <w:highlight w:val="none"/>
          <w:lang w:eastAsia="zh-CN"/>
        </w:rPr>
        <w:t>增强</w:t>
      </w:r>
      <w:r>
        <w:rPr>
          <w:rFonts w:cs="Times New Roman"/>
          <w:color w:val="auto"/>
          <w:highlight w:val="none"/>
        </w:rPr>
        <w:t>全民生态文明意识；并明确要求“加快推进对水土流失等的统计监测核算能力建设，提升信息化水平，提高准确性、及时性，实现信息共享”。《水利部关于加强水土保持监测工作的通知》（水保〔2017〕36号）要求积极推进水土保持监管重点监测，各地应结合实际，每年有计划、有重点地组织开展在建生产建设项目水土流失防治的监督性监测，为水土保持“三同时”制度落实提供执法及决策依据。</w:t>
      </w:r>
      <w:r>
        <w:rPr>
          <w:rFonts w:hint="eastAsia" w:cs="Times New Roman"/>
          <w:color w:val="auto"/>
          <w:highlight w:val="none"/>
          <w:lang w:eastAsia="zh-CN"/>
        </w:rPr>
        <w:t>《</w:t>
      </w:r>
      <w:r>
        <w:rPr>
          <w:rFonts w:hint="eastAsia" w:cs="Times New Roman"/>
          <w:color w:val="auto"/>
          <w:highlight w:val="none"/>
        </w:rPr>
        <w:t>广西壮族自治区人民政府办公厅关于印发</w:t>
      </w:r>
      <w:r>
        <w:rPr>
          <w:rFonts w:hint="eastAsia" w:cs="Times New Roman"/>
          <w:color w:val="auto"/>
          <w:highlight w:val="none"/>
          <w:lang w:val="en-US" w:eastAsia="zh-CN"/>
        </w:rPr>
        <w:t>〈</w:t>
      </w:r>
      <w:r>
        <w:rPr>
          <w:rFonts w:hint="eastAsia" w:cs="Times New Roman"/>
          <w:color w:val="auto"/>
          <w:highlight w:val="none"/>
        </w:rPr>
        <w:t>广西加强新时代水土保持工作实施方案的通知</w:t>
      </w:r>
      <w:r>
        <w:rPr>
          <w:rFonts w:hint="eastAsia" w:cs="Times New Roman"/>
          <w:color w:val="auto"/>
          <w:highlight w:val="none"/>
          <w:lang w:val="en-US" w:eastAsia="zh-CN"/>
        </w:rPr>
        <w:t>〉》</w:t>
      </w:r>
      <w:r>
        <w:rPr>
          <w:rFonts w:hint="eastAsia" w:cs="Times New Roman"/>
          <w:color w:val="auto"/>
          <w:highlight w:val="none"/>
        </w:rPr>
        <w:t>（桂政办发〔2023〕28号）</w:t>
      </w:r>
      <w:r>
        <w:rPr>
          <w:rFonts w:hint="eastAsia" w:cs="Times New Roman"/>
          <w:color w:val="auto"/>
          <w:highlight w:val="none"/>
          <w:lang w:val="en-US" w:eastAsia="zh-CN"/>
        </w:rPr>
        <w:t>要求强化人为水土流失全链条全过程监管</w:t>
      </w:r>
      <w:r>
        <w:rPr>
          <w:rFonts w:cs="Times New Roman"/>
          <w:color w:val="auto"/>
          <w:highlight w:val="none"/>
        </w:rPr>
        <w:t>。</w:t>
      </w:r>
    </w:p>
    <w:p>
      <w:pPr>
        <w:spacing w:line="560" w:lineRule="exact"/>
        <w:rPr>
          <w:rFonts w:hint="eastAsia" w:cs="Times New Roman"/>
          <w:color w:val="auto"/>
          <w:highlight w:val="none"/>
          <w:lang w:eastAsia="zh-CN"/>
        </w:rPr>
      </w:pPr>
      <w:r>
        <w:rPr>
          <w:rFonts w:cs="Times New Roman"/>
          <w:color w:val="auto"/>
          <w:highlight w:val="none"/>
        </w:rPr>
        <w:t>柳江区在新时期要强化人为水土流失监管，以</w:t>
      </w:r>
      <w:r>
        <w:rPr>
          <w:rFonts w:hint="eastAsia" w:cs="Times New Roman"/>
          <w:color w:val="auto"/>
          <w:highlight w:val="none"/>
        </w:rPr>
        <w:t>完善监管制度和标准体系</w:t>
      </w:r>
      <w:r>
        <w:rPr>
          <w:rFonts w:cs="Times New Roman"/>
          <w:color w:val="auto"/>
          <w:highlight w:val="none"/>
        </w:rPr>
        <w:t>为重点，</w:t>
      </w:r>
      <w:r>
        <w:rPr>
          <w:rFonts w:hint="eastAsia" w:cs="Times New Roman"/>
          <w:color w:val="auto"/>
          <w:highlight w:val="none"/>
        </w:rPr>
        <w:t>创新改进监管方式</w:t>
      </w:r>
      <w:r>
        <w:rPr>
          <w:rFonts w:cs="Times New Roman"/>
          <w:color w:val="auto"/>
          <w:highlight w:val="none"/>
        </w:rPr>
        <w:t>，</w:t>
      </w:r>
      <w:r>
        <w:rPr>
          <w:rFonts w:hint="eastAsia" w:cs="Times New Roman"/>
          <w:color w:val="auto"/>
          <w:highlight w:val="none"/>
        </w:rPr>
        <w:t>构建完善协同监管机制</w:t>
      </w:r>
      <w:r>
        <w:rPr>
          <w:rFonts w:hint="eastAsia" w:cs="Times New Roman"/>
          <w:color w:val="auto"/>
          <w:highlight w:val="none"/>
          <w:lang w:eastAsia="zh-CN"/>
        </w:rPr>
        <w:t>，加强部门间协同监管和联动执法。</w:t>
      </w:r>
      <w:r>
        <w:rPr>
          <w:rFonts w:hint="eastAsia" w:cs="Times New Roman"/>
          <w:color w:val="auto"/>
          <w:highlight w:val="none"/>
        </w:rPr>
        <w:t>依法强化企业责任落实</w:t>
      </w:r>
      <w:r>
        <w:rPr>
          <w:rFonts w:hint="eastAsia" w:cs="Times New Roman"/>
          <w:color w:val="auto"/>
          <w:highlight w:val="none"/>
          <w:lang w:eastAsia="zh-CN"/>
        </w:rPr>
        <w:t>，严格生产建设项目水土保持方案审批，加强生产建设项目水土保持全链条全过程监管。健全水行政主管部门与各生产建设项目行业主管部门的沟通协调机制，协同做好生产建设项目水土保持监管和指导。</w:t>
      </w:r>
    </w:p>
    <w:p>
      <w:pPr>
        <w:spacing w:line="600" w:lineRule="exact"/>
        <w:ind w:firstLine="560" w:firstLineChars="200"/>
        <w:rPr>
          <w:rFonts w:hint="eastAsia" w:cs="Times New Roman"/>
          <w:color w:val="auto"/>
          <w:highlight w:val="none"/>
          <w:lang w:eastAsia="zh-CN"/>
        </w:rPr>
      </w:pPr>
      <w:r>
        <w:rPr>
          <w:rFonts w:hint="eastAsia" w:cs="Times New Roman"/>
          <w:color w:val="auto"/>
          <w:highlight w:val="none"/>
          <w:lang w:val="en-US" w:eastAsia="zh-CN"/>
        </w:rPr>
        <w:t>由柳江区人民政府牵头，</w:t>
      </w:r>
      <w:r>
        <w:rPr>
          <w:rFonts w:hint="eastAsia" w:cs="Times New Roman"/>
          <w:color w:val="auto"/>
          <w:highlight w:val="none"/>
          <w:lang w:eastAsia="zh-CN"/>
        </w:rPr>
        <w:t>成立</w:t>
      </w:r>
      <w:r>
        <w:rPr>
          <w:rFonts w:hint="eastAsia" w:cs="Times New Roman"/>
          <w:color w:val="auto"/>
          <w:highlight w:val="none"/>
          <w:lang w:val="en-US" w:eastAsia="zh-CN"/>
        </w:rPr>
        <w:t>柳江区</w:t>
      </w:r>
      <w:r>
        <w:rPr>
          <w:rFonts w:hint="eastAsia" w:cs="Times New Roman"/>
          <w:color w:val="auto"/>
          <w:highlight w:val="none"/>
          <w:lang w:eastAsia="zh-CN"/>
        </w:rPr>
        <w:t>水土保持工作委员会，</w:t>
      </w:r>
      <w:r>
        <w:rPr>
          <w:rFonts w:hint="eastAsia" w:cs="Times New Roman"/>
          <w:color w:val="auto"/>
          <w:highlight w:val="none"/>
          <w:lang w:val="en-US" w:eastAsia="zh-CN"/>
        </w:rPr>
        <w:t>由柳州市柳江区政府主要领导人任会长，柳州市柳江区</w:t>
      </w:r>
      <w:r>
        <w:rPr>
          <w:rFonts w:hint="eastAsia" w:cs="Times New Roman"/>
          <w:color w:val="auto"/>
          <w:highlight w:val="none"/>
          <w:lang w:eastAsia="zh-CN"/>
        </w:rPr>
        <w:t>发展改革局、财政局、自然资源局、住房城乡建设局、水利局、农业农村局、乡村振兴局、生态环境局、林业局</w:t>
      </w:r>
      <w:r>
        <w:rPr>
          <w:rFonts w:hint="eastAsia" w:cs="Times New Roman"/>
          <w:color w:val="auto"/>
          <w:highlight w:val="none"/>
          <w:lang w:val="en-US" w:eastAsia="zh-CN"/>
        </w:rPr>
        <w:t>等部门任成员单位。</w:t>
      </w:r>
      <w:r>
        <w:rPr>
          <w:rFonts w:hint="eastAsia" w:cs="Times New Roman"/>
          <w:color w:val="auto"/>
          <w:highlight w:val="none"/>
          <w:lang w:eastAsia="zh-CN"/>
        </w:rPr>
        <w:t>水土保持工作委员会</w:t>
      </w:r>
      <w:r>
        <w:rPr>
          <w:rFonts w:hint="eastAsia" w:cs="Times New Roman"/>
          <w:color w:val="auto"/>
          <w:highlight w:val="none"/>
          <w:lang w:val="en-US" w:eastAsia="zh-CN"/>
        </w:rPr>
        <w:t>负责</w:t>
      </w:r>
      <w:r>
        <w:rPr>
          <w:rFonts w:hint="eastAsia" w:cs="Times New Roman"/>
          <w:color w:val="auto"/>
          <w:highlight w:val="none"/>
          <w:lang w:eastAsia="zh-CN"/>
        </w:rPr>
        <w:t>组织协调</w:t>
      </w:r>
      <w:r>
        <w:rPr>
          <w:rFonts w:hint="eastAsia" w:cs="Times New Roman"/>
          <w:color w:val="auto"/>
          <w:highlight w:val="none"/>
          <w:lang w:val="en-US" w:eastAsia="zh-CN"/>
        </w:rPr>
        <w:t>县区</w:t>
      </w:r>
      <w:r>
        <w:rPr>
          <w:rFonts w:hint="eastAsia" w:cs="Times New Roman"/>
          <w:color w:val="auto"/>
          <w:highlight w:val="none"/>
          <w:lang w:eastAsia="zh-CN"/>
        </w:rPr>
        <w:t>水土保持工作，研究重大水土保持改革和发展政策，制定相应措施；组织制定并实施</w:t>
      </w:r>
      <w:r>
        <w:rPr>
          <w:rFonts w:hint="eastAsia" w:cs="Times New Roman"/>
          <w:color w:val="auto"/>
          <w:highlight w:val="none"/>
          <w:lang w:val="en-US" w:eastAsia="zh-CN"/>
        </w:rPr>
        <w:t>柳江区</w:t>
      </w:r>
      <w:r>
        <w:rPr>
          <w:rFonts w:hint="eastAsia" w:cs="Times New Roman"/>
          <w:color w:val="auto"/>
          <w:highlight w:val="none"/>
          <w:lang w:eastAsia="zh-CN"/>
        </w:rPr>
        <w:t>水土保持规划；分解落实各乡镇及各部门年度水土流失防治任务；积极筹措水土保持资金，加快推进水土流失综合治理；加强水土保持综合监管，组织全</w:t>
      </w:r>
      <w:r>
        <w:rPr>
          <w:rFonts w:hint="eastAsia" w:cs="Times New Roman"/>
          <w:color w:val="auto"/>
          <w:highlight w:val="none"/>
          <w:lang w:val="en-US" w:eastAsia="zh-CN"/>
        </w:rPr>
        <w:t>区</w:t>
      </w:r>
      <w:r>
        <w:rPr>
          <w:rFonts w:hint="eastAsia" w:cs="Times New Roman"/>
          <w:color w:val="auto"/>
          <w:highlight w:val="none"/>
          <w:lang w:eastAsia="zh-CN"/>
        </w:rPr>
        <w:t>水土保持预防监督执法检查等有关工作。</w:t>
      </w:r>
    </w:p>
    <w:p>
      <w:pPr>
        <w:pStyle w:val="3"/>
        <w:spacing w:before="156"/>
        <w:ind w:firstLineChars="186"/>
        <w:rPr>
          <w:color w:val="auto"/>
          <w:highlight w:val="none"/>
        </w:rPr>
      </w:pPr>
      <w:bookmarkStart w:id="463" w:name="_Toc29324"/>
      <w:bookmarkStart w:id="464" w:name="_Toc15338"/>
      <w:bookmarkStart w:id="465" w:name="_Toc119515937"/>
      <w:bookmarkStart w:id="466" w:name="_Toc482812797"/>
      <w:bookmarkStart w:id="467" w:name="_Toc528946023"/>
      <w:bookmarkStart w:id="468" w:name="_Toc90399116"/>
      <w:r>
        <w:rPr>
          <w:color w:val="auto"/>
          <w:highlight w:val="none"/>
          <w:lang w:val="en-US"/>
        </w:rPr>
        <w:t>9.</w:t>
      </w:r>
      <w:r>
        <w:rPr>
          <w:color w:val="auto"/>
          <w:highlight w:val="none"/>
        </w:rPr>
        <w:t>1监督管理</w:t>
      </w:r>
      <w:bookmarkEnd w:id="463"/>
      <w:bookmarkEnd w:id="464"/>
      <w:bookmarkEnd w:id="465"/>
      <w:bookmarkEnd w:id="466"/>
      <w:bookmarkEnd w:id="467"/>
      <w:bookmarkEnd w:id="468"/>
    </w:p>
    <w:p>
      <w:pPr>
        <w:spacing w:before="156" w:beforeLines="50" w:after="156" w:afterLines="50" w:line="480" w:lineRule="auto"/>
        <w:ind w:firstLine="602"/>
        <w:outlineLvl w:val="2"/>
        <w:rPr>
          <w:rFonts w:eastAsia="黑体" w:cs="Times New Roman"/>
          <w:b/>
          <w:color w:val="auto"/>
          <w:sz w:val="30"/>
          <w:szCs w:val="30"/>
          <w:highlight w:val="none"/>
        </w:rPr>
      </w:pPr>
      <w:bookmarkStart w:id="469" w:name="_Toc7870"/>
      <w:bookmarkStart w:id="470" w:name="_Toc28146"/>
      <w:bookmarkStart w:id="471" w:name="_Toc119515938"/>
      <w:bookmarkStart w:id="472" w:name="_Toc529774185"/>
      <w:bookmarkStart w:id="473" w:name="_Toc529774407"/>
      <w:r>
        <w:rPr>
          <w:rFonts w:eastAsia="黑体" w:cs="Times New Roman"/>
          <w:b/>
          <w:color w:val="auto"/>
          <w:sz w:val="30"/>
          <w:szCs w:val="30"/>
          <w:highlight w:val="none"/>
        </w:rPr>
        <w:t>9.1.1重点区域管理</w:t>
      </w:r>
      <w:bookmarkEnd w:id="469"/>
      <w:bookmarkEnd w:id="470"/>
      <w:bookmarkEnd w:id="471"/>
    </w:p>
    <w:p>
      <w:pPr>
        <w:rPr>
          <w:rFonts w:cs="Times New Roman"/>
          <w:color w:val="auto"/>
          <w:highlight w:val="none"/>
        </w:rPr>
      </w:pPr>
      <w:r>
        <w:rPr>
          <w:rFonts w:cs="Times New Roman"/>
          <w:color w:val="auto"/>
          <w:highlight w:val="none"/>
        </w:rPr>
        <w:t>及时向社会公布柳江区水土流失重点防治区划定情况，提出生产建设项目水土保持准入的控制性指标与总体要求。结合生态红线管理要求，加强水土保持生态红线管控，推动完善水土保持生态补偿制度。严格落实水土保持目标责任制考核制度，按照自治区每年下发给柳江区的水土流失治理任务，统筹各部门抓好区域内水土保持生态建设目标完成。</w:t>
      </w:r>
    </w:p>
    <w:p>
      <w:pPr>
        <w:spacing w:before="156" w:beforeLines="50" w:after="156" w:afterLines="50" w:line="480" w:lineRule="auto"/>
        <w:ind w:firstLine="602"/>
        <w:outlineLvl w:val="2"/>
        <w:rPr>
          <w:rFonts w:eastAsia="黑体" w:cs="Times New Roman"/>
          <w:b/>
          <w:color w:val="auto"/>
          <w:sz w:val="30"/>
          <w:szCs w:val="30"/>
          <w:highlight w:val="none"/>
        </w:rPr>
      </w:pPr>
      <w:bookmarkStart w:id="474" w:name="_Toc119515939"/>
      <w:bookmarkStart w:id="475" w:name="_Toc4879"/>
      <w:r>
        <w:rPr>
          <w:rFonts w:eastAsia="黑体" w:cs="Times New Roman"/>
          <w:b/>
          <w:color w:val="auto"/>
          <w:sz w:val="30"/>
          <w:szCs w:val="30"/>
          <w:highlight w:val="none"/>
        </w:rPr>
        <w:t>9.1.2水土流失预防工作的监管</w:t>
      </w:r>
      <w:bookmarkEnd w:id="472"/>
      <w:bookmarkEnd w:id="473"/>
      <w:bookmarkEnd w:id="474"/>
      <w:bookmarkEnd w:id="475"/>
    </w:p>
    <w:p>
      <w:pPr>
        <w:rPr>
          <w:rFonts w:cs="Times New Roman"/>
          <w:color w:val="auto"/>
          <w:highlight w:val="none"/>
        </w:rPr>
      </w:pPr>
      <w:r>
        <w:rPr>
          <w:rFonts w:cs="Times New Roman"/>
          <w:color w:val="auto"/>
          <w:highlight w:val="none"/>
        </w:rPr>
        <w:t>利用“全国水土保持监督管理系统平台”，根据新上传的、交换及共享的管理信息对特定的区域水土流失预防工作进行监管。</w:t>
      </w:r>
    </w:p>
    <w:p>
      <w:pPr>
        <w:rPr>
          <w:rFonts w:cs="Times New Roman"/>
          <w:color w:val="auto"/>
          <w:highlight w:val="none"/>
        </w:rPr>
      </w:pPr>
      <w:r>
        <w:rPr>
          <w:rFonts w:cs="Times New Roman"/>
          <w:color w:val="auto"/>
          <w:highlight w:val="none"/>
        </w:rPr>
        <w:t>(1) 崩塌、滑坡危险区和泥石流易发区划定及管理</w:t>
      </w:r>
    </w:p>
    <w:p>
      <w:pPr>
        <w:rPr>
          <w:rFonts w:cs="Times New Roman"/>
          <w:color w:val="auto"/>
          <w:highlight w:val="none"/>
        </w:rPr>
      </w:pPr>
      <w:r>
        <w:rPr>
          <w:rFonts w:cs="Times New Roman"/>
          <w:color w:val="auto"/>
          <w:highlight w:val="none"/>
        </w:rPr>
        <w:t>应根据水土保持法有关规定，由柳江区人民政府开展崩塌、滑坡危险区和泥石流易发区划定，并向社会公告。研究制定崩塌、滑坡危险区和泥石流易发区管理制度，禁止在崩塌、滑坡危险区和泥石流易发区从事取土、挖沙、采石等可能造成水土流失的活动。</w:t>
      </w:r>
    </w:p>
    <w:p>
      <w:pPr>
        <w:rPr>
          <w:rFonts w:cs="Times New Roman"/>
          <w:color w:val="auto"/>
          <w:highlight w:val="none"/>
        </w:rPr>
      </w:pPr>
      <w:r>
        <w:rPr>
          <w:rFonts w:cs="Times New Roman"/>
          <w:color w:val="auto"/>
          <w:highlight w:val="none"/>
        </w:rPr>
        <w:t>(2) 加强生产建设项目监管</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1 \* GB3 </w:instrText>
      </w:r>
      <w:r>
        <w:rPr>
          <w:rFonts w:cs="Times New Roman"/>
          <w:color w:val="auto"/>
          <w:highlight w:val="none"/>
        </w:rPr>
        <w:fldChar w:fldCharType="separate"/>
      </w:r>
      <w:r>
        <w:rPr>
          <w:rFonts w:hint="eastAsia" w:ascii="宋体" w:hAnsi="宋体" w:eastAsia="宋体" w:cs="宋体"/>
          <w:color w:val="auto"/>
          <w:highlight w:val="none"/>
        </w:rPr>
        <w:t>①</w:t>
      </w:r>
      <w:r>
        <w:rPr>
          <w:rFonts w:cs="Times New Roman"/>
          <w:color w:val="auto"/>
          <w:highlight w:val="none"/>
        </w:rPr>
        <w:fldChar w:fldCharType="end"/>
      </w:r>
      <w:r>
        <w:rPr>
          <w:rFonts w:cs="Times New Roman"/>
          <w:color w:val="auto"/>
          <w:highlight w:val="none"/>
        </w:rPr>
        <w:t>健全生产建设项目水土保持方案编报、审批和水土保持设施自主验收制度。</w:t>
      </w:r>
    </w:p>
    <w:p>
      <w:pPr>
        <w:rPr>
          <w:rFonts w:cs="Times New Roman"/>
          <w:color w:val="auto"/>
          <w:highlight w:val="none"/>
        </w:rPr>
      </w:pPr>
      <w:r>
        <w:rPr>
          <w:rFonts w:cs="Times New Roman"/>
          <w:color w:val="auto"/>
          <w:highlight w:val="none"/>
        </w:rPr>
        <w:t>制定水土保持监察、督导、检查及处理等制度，柳江区水行政主管部门应加强水土保持方案落实情况的监督检查，严厉查处违法违规行为。确保水土保持设施与主体工程同时设计、同时施工、同时投产使用，水土保持设施未经验收或验收不合格的，生产建设项目不得投入运行。积极落实国家和自治区简政放权相关制度，应在柳江区积极推广开展园区区域评估及购买中介机构服务政策。</w:t>
      </w:r>
    </w:p>
    <w:p>
      <w:pPr>
        <w:rPr>
          <w:rFonts w:cs="Times New Roman"/>
          <w:color w:val="auto"/>
          <w:highlight w:val="none"/>
        </w:rPr>
      </w:pPr>
      <w:r>
        <w:rPr>
          <w:rFonts w:cs="Times New Roman"/>
          <w:color w:val="auto"/>
          <w:highlight w:val="none"/>
        </w:rPr>
        <w:fldChar w:fldCharType="begin"/>
      </w:r>
      <w:r>
        <w:rPr>
          <w:rFonts w:cs="Times New Roman"/>
          <w:color w:val="auto"/>
          <w:highlight w:val="none"/>
        </w:rPr>
        <w:instrText xml:space="preserve"> = 2 \* GB3 </w:instrText>
      </w:r>
      <w:r>
        <w:rPr>
          <w:rFonts w:cs="Times New Roman"/>
          <w:color w:val="auto"/>
          <w:highlight w:val="none"/>
        </w:rPr>
        <w:fldChar w:fldCharType="separate"/>
      </w:r>
      <w:r>
        <w:rPr>
          <w:rFonts w:hint="eastAsia" w:ascii="宋体" w:hAnsi="宋体" w:eastAsia="宋体" w:cs="宋体"/>
          <w:color w:val="auto"/>
          <w:highlight w:val="none"/>
        </w:rPr>
        <w:t>②</w:t>
      </w:r>
      <w:r>
        <w:rPr>
          <w:rFonts w:cs="Times New Roman"/>
          <w:color w:val="auto"/>
          <w:highlight w:val="none"/>
        </w:rPr>
        <w:fldChar w:fldCharType="end"/>
      </w:r>
      <w:r>
        <w:rPr>
          <w:rFonts w:cs="Times New Roman"/>
          <w:color w:val="auto"/>
          <w:highlight w:val="none"/>
        </w:rPr>
        <w:t>加强大中型生产建设项目水土保持监管。</w:t>
      </w:r>
    </w:p>
    <w:p>
      <w:pPr>
        <w:rPr>
          <w:rFonts w:cs="Times New Roman"/>
          <w:color w:val="auto"/>
          <w:highlight w:val="none"/>
        </w:rPr>
      </w:pPr>
      <w:r>
        <w:rPr>
          <w:rFonts w:cs="Times New Roman"/>
          <w:color w:val="auto"/>
          <w:highlight w:val="none"/>
        </w:rPr>
        <w:t>柳江区水利部门要深入贯彻落实水利改革发展总基调，实行生产建设项目水土保持监测三色评价，进一步加强大中型生产建设项目水土保持监管。具体措施有以下几个方面。</w:t>
      </w:r>
    </w:p>
    <w:p>
      <w:pPr>
        <w:rPr>
          <w:rFonts w:cs="Times New Roman"/>
          <w:color w:val="auto"/>
          <w:highlight w:val="none"/>
        </w:rPr>
      </w:pPr>
      <w:r>
        <w:rPr>
          <w:rFonts w:cs="Times New Roman"/>
          <w:color w:val="auto"/>
          <w:highlight w:val="none"/>
        </w:rPr>
        <w:t>对监测季报和总结报告三色评价为“绿色”的，可不进行现场检查和验收核查。对监测季报和总结报告三色评价为“黄”色的，应随机抽取不少于20%的项目开展现场检查和验收核查。对监测季报和总结报告三色评价结论为“红”色的，应进行现场和验收核查。</w:t>
      </w:r>
    </w:p>
    <w:p>
      <w:pPr>
        <w:rPr>
          <w:rFonts w:cs="Times New Roman"/>
          <w:color w:val="auto"/>
          <w:highlight w:val="none"/>
        </w:rPr>
      </w:pPr>
      <w:r>
        <w:rPr>
          <w:rFonts w:cs="Times New Roman"/>
          <w:color w:val="auto"/>
          <w:highlight w:val="none"/>
        </w:rPr>
        <w:t>重点抽取三色评价结论为“绿”色的生产建设项目，对其监测成果的真实性进行检查，核实三色评价结论，为监督执法、责任追究、信用惩戒等提供依据。</w:t>
      </w:r>
    </w:p>
    <w:p>
      <w:pPr>
        <w:rPr>
          <w:rFonts w:cs="Times New Roman"/>
          <w:color w:val="auto"/>
          <w:highlight w:val="none"/>
        </w:rPr>
      </w:pPr>
      <w:r>
        <w:rPr>
          <w:rFonts w:cs="Times New Roman"/>
          <w:color w:val="auto"/>
          <w:highlight w:val="none"/>
        </w:rPr>
        <w:t>对存在未按时报送监测季报、监测季报不符合规定、作出不实三色评价结论以及监测工作未按规定开展等情形，依法依规追究生产建设单位、监测单位及相关人员的责任，列入水土保持“重点关注名单”及“黑名单”，纳入全国及全省水利建设市场监管服务平台及信用平台。</w:t>
      </w:r>
    </w:p>
    <w:p>
      <w:pPr>
        <w:rPr>
          <w:rFonts w:cs="Times New Roman"/>
          <w:color w:val="auto"/>
          <w:highlight w:val="none"/>
        </w:rPr>
      </w:pPr>
      <w:r>
        <w:rPr>
          <w:rFonts w:cs="Times New Roman"/>
          <w:color w:val="auto"/>
          <w:highlight w:val="none"/>
        </w:rPr>
        <w:t>(3) 加强水土保持重点工程项目监管</w:t>
      </w:r>
    </w:p>
    <w:p>
      <w:pPr>
        <w:rPr>
          <w:rFonts w:cs="Times New Roman"/>
          <w:color w:val="auto"/>
          <w:highlight w:val="none"/>
        </w:rPr>
      </w:pPr>
      <w:r>
        <w:rPr>
          <w:rFonts w:cs="Times New Roman"/>
          <w:color w:val="auto"/>
          <w:highlight w:val="none"/>
        </w:rPr>
        <w:t>加强水土保持重点工程项目建设和运行管护的日常管理。完善水土保持重点工程建设管理制度，对项目规划、设计、施工、监理、验收、管护等阶段进行全过程监管。全面应用全国水土保持信息管理系统，结合遥感和无人机手段对国家水土保持重点工程实现“图斑精细化”管理。创新水土保持投入及建设机制，全面推广以奖代补、以工代赈制定先建后补，鼓励村民自建和民间资本参与，吸纳全社会资源共同完成水土流失的治理任务。开展水土保持重点工程实施效果评价，落实工程建后管护责任，确保工程正常运行和持续发挥效益。</w:t>
      </w:r>
    </w:p>
    <w:p>
      <w:pPr>
        <w:rPr>
          <w:rFonts w:cs="Times New Roman"/>
          <w:color w:val="auto"/>
          <w:highlight w:val="none"/>
        </w:rPr>
      </w:pPr>
      <w:r>
        <w:rPr>
          <w:rFonts w:cs="Times New Roman"/>
          <w:color w:val="auto"/>
          <w:highlight w:val="none"/>
        </w:rPr>
        <w:t>(4) 加强特定区域监管</w:t>
      </w:r>
    </w:p>
    <w:p>
      <w:pPr>
        <w:rPr>
          <w:rFonts w:cs="Times New Roman"/>
          <w:color w:val="auto"/>
          <w:highlight w:val="none"/>
        </w:rPr>
      </w:pPr>
      <w:r>
        <w:rPr>
          <w:rFonts w:cs="Times New Roman"/>
          <w:color w:val="auto"/>
          <w:highlight w:val="none"/>
        </w:rPr>
        <w:t>柳江区人民政府应当对饮用水源保护区、大型水库综合利用工程上游区域的水源涵养区、重点生态功能区以及水土流失严重、生态脆弱的地区加强监管。加强山体保护和开发利用的监督管理，明确山体保护的范围，严格控制开挖山体。确需开挖的，应办理相关审批手续，采取有效措施做好水土保持工作。制定在侵蚀沟的沟坡和沟岸、河流两岸、湖泊和水库的周边，土地所有人、使用权人或者有关管理单位应当营造植物保护带的具体办法。加强林木采伐管理，有效预防水土流失。加强坡地造林及开垦种植农作物的管理，采取有效的水土保持措施，预防和减轻水土流失。</w:t>
      </w:r>
    </w:p>
    <w:p>
      <w:pPr>
        <w:spacing w:before="156" w:beforeLines="50" w:after="156" w:afterLines="50" w:line="480" w:lineRule="auto"/>
        <w:ind w:firstLine="643"/>
        <w:outlineLvl w:val="2"/>
        <w:rPr>
          <w:rFonts w:eastAsia="仿宋_GB2312" w:cs="Times New Roman"/>
          <w:b/>
          <w:color w:val="auto"/>
          <w:sz w:val="32"/>
          <w:szCs w:val="32"/>
          <w:highlight w:val="none"/>
        </w:rPr>
      </w:pPr>
      <w:bookmarkStart w:id="476" w:name="_Toc4235"/>
      <w:bookmarkStart w:id="477" w:name="_Toc119515940"/>
      <w:bookmarkStart w:id="478" w:name="_Toc529774409"/>
      <w:bookmarkStart w:id="479" w:name="_Toc529774187"/>
      <w:r>
        <w:rPr>
          <w:rFonts w:eastAsia="仿宋_GB2312" w:cs="Times New Roman"/>
          <w:b/>
          <w:color w:val="auto"/>
          <w:sz w:val="32"/>
          <w:szCs w:val="32"/>
          <w:highlight w:val="none"/>
        </w:rPr>
        <w:t>9.1.3水土保持监测工作的监管</w:t>
      </w:r>
      <w:bookmarkEnd w:id="476"/>
      <w:bookmarkEnd w:id="477"/>
      <w:bookmarkEnd w:id="478"/>
      <w:bookmarkEnd w:id="479"/>
    </w:p>
    <w:p>
      <w:pPr>
        <w:rPr>
          <w:rFonts w:cs="Times New Roman"/>
          <w:color w:val="auto"/>
          <w:highlight w:val="none"/>
        </w:rPr>
      </w:pPr>
      <w:r>
        <w:rPr>
          <w:rFonts w:cs="Times New Roman"/>
          <w:color w:val="auto"/>
          <w:highlight w:val="none"/>
        </w:rPr>
        <w:t>加强各级政府有关水土保持监测经费落实情况的监督，确保监测经费纳入同级预算，保障监测工作开展。加强水土流失动态监测及公告情况的监管，按照上级人民政府水行政主管部门统一部署，组织开展县区的水土流失调查，编制包括水土流失类型、面积、强度、分布状况和变化趋势、水土流失造成的危害、水土流失预防和治理情况的水土保持公报，并按照规定程序向社会公示。有计划、有重点</w:t>
      </w:r>
      <w:r>
        <w:rPr>
          <w:rFonts w:hint="eastAsia" w:cs="Times New Roman"/>
          <w:color w:val="auto"/>
          <w:highlight w:val="none"/>
          <w:lang w:eastAsia="zh-CN"/>
        </w:rPr>
        <w:t>地</w:t>
      </w:r>
      <w:r>
        <w:rPr>
          <w:rFonts w:cs="Times New Roman"/>
          <w:color w:val="auto"/>
          <w:highlight w:val="none"/>
        </w:rPr>
        <w:t>开展生产建设项目水土保持监督性监测。</w:t>
      </w:r>
    </w:p>
    <w:p>
      <w:pPr>
        <w:spacing w:before="156" w:beforeLines="50" w:after="156" w:afterLines="50" w:line="480" w:lineRule="auto"/>
        <w:ind w:firstLine="643"/>
        <w:outlineLvl w:val="2"/>
        <w:rPr>
          <w:rFonts w:eastAsia="仿宋_GB2312" w:cs="Times New Roman"/>
          <w:b/>
          <w:color w:val="auto"/>
          <w:sz w:val="32"/>
          <w:szCs w:val="32"/>
          <w:highlight w:val="none"/>
        </w:rPr>
      </w:pPr>
      <w:bookmarkStart w:id="480" w:name="_Toc529774188"/>
      <w:bookmarkStart w:id="481" w:name="_Toc13905"/>
      <w:bookmarkStart w:id="482" w:name="_Toc529774410"/>
      <w:bookmarkStart w:id="483" w:name="_Toc119515941"/>
      <w:r>
        <w:rPr>
          <w:rFonts w:eastAsia="仿宋_GB2312" w:cs="Times New Roman"/>
          <w:b/>
          <w:color w:val="auto"/>
          <w:sz w:val="32"/>
          <w:szCs w:val="32"/>
          <w:highlight w:val="none"/>
        </w:rPr>
        <w:t>9.1.4水土保持监督执法情况的监管</w:t>
      </w:r>
      <w:bookmarkEnd w:id="480"/>
      <w:bookmarkEnd w:id="481"/>
      <w:bookmarkEnd w:id="482"/>
      <w:bookmarkEnd w:id="483"/>
    </w:p>
    <w:p>
      <w:pPr>
        <w:rPr>
          <w:rFonts w:cs="Times New Roman"/>
          <w:color w:val="auto"/>
          <w:highlight w:val="none"/>
        </w:rPr>
      </w:pPr>
      <w:r>
        <w:rPr>
          <w:rFonts w:cs="Times New Roman"/>
          <w:color w:val="auto"/>
          <w:highlight w:val="none"/>
        </w:rPr>
        <w:t>(1) 推进执法监督规范化</w:t>
      </w:r>
    </w:p>
    <w:p>
      <w:pPr>
        <w:rPr>
          <w:rFonts w:cs="Times New Roman"/>
          <w:color w:val="auto"/>
          <w:highlight w:val="none"/>
        </w:rPr>
      </w:pPr>
      <w:r>
        <w:rPr>
          <w:rFonts w:cs="Times New Roman"/>
          <w:color w:val="auto"/>
          <w:highlight w:val="none"/>
        </w:rPr>
        <w:t>进一步完善水土保持监督执法配套规定和制度，研究建立水土保持监督管理的程序化制度，进一步规范生产建设项目水土保持方案审批、水土保持设施验收、水土保持补偿费征收、监督检查以及行政处罚等执法行为。</w:t>
      </w:r>
    </w:p>
    <w:p>
      <w:pPr>
        <w:rPr>
          <w:rFonts w:cs="Times New Roman"/>
          <w:color w:val="auto"/>
          <w:highlight w:val="none"/>
        </w:rPr>
      </w:pPr>
      <w:r>
        <w:rPr>
          <w:rFonts w:cs="Times New Roman"/>
          <w:color w:val="auto"/>
          <w:highlight w:val="none"/>
        </w:rPr>
        <w:t>(2) 依法查处违法行为</w:t>
      </w:r>
    </w:p>
    <w:p>
      <w:pPr>
        <w:rPr>
          <w:rFonts w:cs="Times New Roman"/>
          <w:color w:val="auto"/>
          <w:highlight w:val="none"/>
        </w:rPr>
      </w:pPr>
      <w:r>
        <w:rPr>
          <w:rFonts w:cs="Times New Roman"/>
          <w:color w:val="auto"/>
          <w:highlight w:val="none"/>
        </w:rPr>
        <w:t>建立违法行为查处追究制度，健全水土保持违法行为举报受理和处理工作机制。柳江区人民政府水行政主管部门应当建立投诉、举报受理制度，公开投诉、举报电话和电子邮箱，对投诉、举报依法及时处理。</w:t>
      </w:r>
    </w:p>
    <w:p>
      <w:pPr>
        <w:spacing w:before="156" w:beforeLines="50" w:after="156" w:afterLines="50" w:line="480" w:lineRule="auto"/>
        <w:ind w:firstLine="602"/>
        <w:outlineLvl w:val="2"/>
        <w:rPr>
          <w:rFonts w:eastAsia="黑体" w:cs="Times New Roman"/>
          <w:color w:val="auto"/>
          <w:sz w:val="30"/>
          <w:szCs w:val="30"/>
          <w:highlight w:val="none"/>
        </w:rPr>
      </w:pPr>
      <w:bookmarkStart w:id="484" w:name="_Toc529774411"/>
      <w:bookmarkStart w:id="485" w:name="_Toc31804"/>
      <w:bookmarkStart w:id="486" w:name="_Toc529774189"/>
      <w:bookmarkStart w:id="487" w:name="_Toc119515942"/>
      <w:r>
        <w:rPr>
          <w:rFonts w:eastAsia="黑体" w:cs="Times New Roman"/>
          <w:b/>
          <w:color w:val="auto"/>
          <w:sz w:val="30"/>
          <w:szCs w:val="30"/>
          <w:highlight w:val="none"/>
        </w:rPr>
        <w:t>9.1.5水土保持技术服务情况的监管</w:t>
      </w:r>
      <w:bookmarkEnd w:id="484"/>
      <w:bookmarkEnd w:id="485"/>
      <w:bookmarkEnd w:id="486"/>
      <w:bookmarkEnd w:id="487"/>
    </w:p>
    <w:p>
      <w:pPr>
        <w:rPr>
          <w:rFonts w:cs="Times New Roman"/>
          <w:color w:val="auto"/>
          <w:highlight w:val="none"/>
        </w:rPr>
      </w:pPr>
      <w:r>
        <w:rPr>
          <w:rFonts w:cs="Times New Roman"/>
          <w:color w:val="auto"/>
          <w:highlight w:val="none"/>
        </w:rPr>
        <w:t>对在柳江区范围内开展水土保持技术服务的单位进行质量监管，对有弄虚作假、伪造虚报瞒报数据、拒绝接受监督检查等行为的单位，由柳江区人民政府水行政主管部门责令改正并作出处罚。情节严重的，按照水利部“两单”制度，向社会公布曝光。</w:t>
      </w:r>
    </w:p>
    <w:p>
      <w:pPr>
        <w:pStyle w:val="3"/>
        <w:spacing w:before="156"/>
        <w:ind w:firstLine="602"/>
        <w:rPr>
          <w:color w:val="auto"/>
          <w:highlight w:val="none"/>
        </w:rPr>
      </w:pPr>
      <w:bookmarkStart w:id="488" w:name="_Toc90399117"/>
      <w:bookmarkStart w:id="489" w:name="_Toc119515943"/>
      <w:bookmarkStart w:id="490" w:name="_Toc3830"/>
      <w:bookmarkStart w:id="491" w:name="_Toc528946025"/>
      <w:bookmarkStart w:id="492" w:name="_Toc482812799"/>
      <w:bookmarkStart w:id="493" w:name="_Toc13582"/>
      <w:r>
        <w:rPr>
          <w:color w:val="auto"/>
          <w:highlight w:val="none"/>
          <w:lang w:val="en-US"/>
        </w:rPr>
        <w:t>9.2</w:t>
      </w:r>
      <w:r>
        <w:rPr>
          <w:color w:val="auto"/>
          <w:highlight w:val="none"/>
        </w:rPr>
        <w:t>科技支撑</w:t>
      </w:r>
      <w:bookmarkEnd w:id="488"/>
      <w:bookmarkEnd w:id="489"/>
      <w:bookmarkEnd w:id="490"/>
      <w:bookmarkEnd w:id="491"/>
      <w:bookmarkEnd w:id="492"/>
      <w:bookmarkEnd w:id="493"/>
    </w:p>
    <w:p>
      <w:pPr>
        <w:rPr>
          <w:rFonts w:cs="Times New Roman"/>
          <w:color w:val="auto"/>
          <w:highlight w:val="none"/>
        </w:rPr>
      </w:pPr>
      <w:r>
        <w:rPr>
          <w:rFonts w:cs="Times New Roman"/>
          <w:color w:val="auto"/>
          <w:highlight w:val="none"/>
        </w:rPr>
        <w:t>当前柳江区开展水土保持生态环境建设工作中还面临着一些亟待解决的问题，需要紧密依靠科技创新。为了更好地发挥水土保持生态建设的科技支撑、典型带动和示范辐射作用，达到以点带面，全面推广，需强化水土保持的科技支撑工作。</w:t>
      </w:r>
    </w:p>
    <w:p>
      <w:pPr>
        <w:rPr>
          <w:rFonts w:cs="Times New Roman"/>
          <w:color w:val="auto"/>
          <w:highlight w:val="none"/>
        </w:rPr>
      </w:pPr>
      <w:r>
        <w:rPr>
          <w:rFonts w:cs="Times New Roman"/>
          <w:color w:val="auto"/>
          <w:highlight w:val="none"/>
        </w:rPr>
        <w:t>（1）高新技术推广运用。</w:t>
      </w:r>
    </w:p>
    <w:p>
      <w:pPr>
        <w:rPr>
          <w:rFonts w:cs="Times New Roman"/>
          <w:color w:val="auto"/>
          <w:highlight w:val="none"/>
        </w:rPr>
      </w:pPr>
      <w:r>
        <w:rPr>
          <w:rFonts w:cs="Times New Roman"/>
          <w:color w:val="auto"/>
          <w:highlight w:val="none"/>
        </w:rPr>
        <w:t>结合当地产业结构调整和经济社会发展需要，有目的、有计划地组织引进推广水土保持先进技术在生产建设活动中的应用。加速科技成果向生产力的转换，要充分利用已有的研究成果，吸取其他地区成熟的治理经验，通过引进新技术、示范技术推广和科技教育培训，普及先进的水土流失治理经验和管理模式，提高各类生产建设活动和水土保持重点工程的科技含量，充分发挥技术示范、成果推广和科普宣教的综合效应。</w:t>
      </w:r>
    </w:p>
    <w:p>
      <w:pPr>
        <w:rPr>
          <w:rFonts w:cs="Times New Roman"/>
          <w:color w:val="auto"/>
          <w:highlight w:val="none"/>
        </w:rPr>
      </w:pPr>
      <w:r>
        <w:rPr>
          <w:rFonts w:cs="Times New Roman"/>
          <w:color w:val="auto"/>
          <w:highlight w:val="none"/>
        </w:rPr>
        <w:t>（2）开展水土保持科普教育。</w:t>
      </w:r>
    </w:p>
    <w:p>
      <w:pPr>
        <w:rPr>
          <w:rFonts w:cs="Times New Roman"/>
          <w:color w:val="auto"/>
          <w:highlight w:val="none"/>
        </w:rPr>
      </w:pPr>
      <w:r>
        <w:rPr>
          <w:rFonts w:cs="Times New Roman"/>
          <w:color w:val="auto"/>
          <w:highlight w:val="none"/>
        </w:rPr>
        <w:t>柳江区水利部门应当以“世界水日</w:t>
      </w:r>
      <w:r>
        <w:rPr>
          <w:rFonts w:hint="eastAsia" w:cs="Times New Roman"/>
          <w:color w:val="auto"/>
          <w:highlight w:val="none"/>
          <w:lang w:eastAsia="zh-CN"/>
        </w:rPr>
        <w:t>”“</w:t>
      </w:r>
      <w:r>
        <w:rPr>
          <w:rFonts w:cs="Times New Roman"/>
          <w:color w:val="auto"/>
          <w:highlight w:val="none"/>
        </w:rPr>
        <w:t>中国水周”为契机，开展广播电视播放水土保持宣传片、公交站台张贴水土保持宣传标语，水土保持进学校等形式多样、内容丰富的水土保持宣传科普活动。通过一系列宣传科普活动，进一步扩大水土保持法律法规的受众面和影响力，</w:t>
      </w:r>
      <w:r>
        <w:rPr>
          <w:rFonts w:hint="eastAsia" w:cs="Times New Roman"/>
          <w:color w:val="auto"/>
          <w:highlight w:val="none"/>
          <w:lang w:eastAsia="zh-CN"/>
        </w:rPr>
        <w:t>增强</w:t>
      </w:r>
      <w:r>
        <w:rPr>
          <w:rFonts w:cs="Times New Roman"/>
          <w:color w:val="auto"/>
          <w:highlight w:val="none"/>
        </w:rPr>
        <w:t>市民的水土保持意识，增强全社会的水土保持法制观念，营造支持水土保持工作、遵守水土保持法规的良好社会氛围。</w:t>
      </w:r>
    </w:p>
    <w:p>
      <w:pPr>
        <w:rPr>
          <w:rFonts w:cs="Times New Roman"/>
          <w:color w:val="auto"/>
          <w:highlight w:val="none"/>
        </w:rPr>
      </w:pPr>
      <w:r>
        <w:rPr>
          <w:rFonts w:cs="Times New Roman"/>
          <w:color w:val="auto"/>
          <w:highlight w:val="none"/>
        </w:rPr>
        <w:t>（3）开展关键技术研究。</w:t>
      </w:r>
    </w:p>
    <w:p>
      <w:pPr>
        <w:rPr>
          <w:rFonts w:cs="Times New Roman"/>
          <w:color w:val="auto"/>
          <w:highlight w:val="none"/>
        </w:rPr>
      </w:pPr>
      <w:r>
        <w:rPr>
          <w:rFonts w:cs="Times New Roman"/>
          <w:color w:val="auto"/>
          <w:highlight w:val="none"/>
        </w:rPr>
        <w:t>结合柳江区自然条件和水土流失现状，鼓励和引导社会各界在柳江区县开展山丘区水土资源保护与高效利用、生态清洁小流域高效构建、生产建设项目水土流失高效防治、降雨径流调控与高效利用等关键技术研究，为全</w:t>
      </w:r>
      <w:r>
        <w:rPr>
          <w:rFonts w:hint="eastAsia" w:cs="Times New Roman"/>
          <w:color w:val="auto"/>
          <w:highlight w:val="none"/>
          <w:lang w:val="en-US" w:eastAsia="zh-CN"/>
        </w:rPr>
        <w:t>区</w:t>
      </w:r>
      <w:r>
        <w:rPr>
          <w:rFonts w:cs="Times New Roman"/>
          <w:color w:val="auto"/>
          <w:highlight w:val="none"/>
        </w:rPr>
        <w:t>开展水土流失治理提供坚强的技术支撑。</w:t>
      </w:r>
    </w:p>
    <w:p>
      <w:pPr>
        <w:rPr>
          <w:rFonts w:cs="Times New Roman"/>
          <w:color w:val="auto"/>
          <w:highlight w:val="none"/>
        </w:rPr>
      </w:pPr>
      <w:r>
        <w:rPr>
          <w:rFonts w:cs="Times New Roman"/>
          <w:color w:val="auto"/>
          <w:highlight w:val="none"/>
        </w:rPr>
        <w:t>（4）水土保持科技人员培养。</w:t>
      </w:r>
    </w:p>
    <w:p>
      <w:pPr>
        <w:rPr>
          <w:rFonts w:cs="Times New Roman"/>
          <w:color w:val="auto"/>
          <w:highlight w:val="none"/>
        </w:rPr>
      </w:pPr>
      <w:r>
        <w:rPr>
          <w:rFonts w:cs="Times New Roman"/>
          <w:color w:val="auto"/>
          <w:highlight w:val="none"/>
        </w:rPr>
        <w:t>水土保持科技人员培养主要从以下方面开展：</w:t>
      </w:r>
      <w:r>
        <w:rPr>
          <w:rFonts w:hint="eastAsia" w:ascii="宋体" w:hAnsi="宋体" w:eastAsia="宋体" w:cs="宋体"/>
          <w:color w:val="auto"/>
          <w:highlight w:val="none"/>
        </w:rPr>
        <w:t>①</w:t>
      </w:r>
      <w:r>
        <w:rPr>
          <w:rFonts w:cs="Times New Roman"/>
          <w:color w:val="auto"/>
          <w:highlight w:val="none"/>
        </w:rPr>
        <w:t>由柳江区水土保持行政主管部门牵头，定期组织学习考察、专家授课、学术交流研讨等活动，对相关领导和技术负责人进行培训；</w:t>
      </w:r>
      <w:r>
        <w:rPr>
          <w:rFonts w:hint="eastAsia" w:ascii="宋体" w:hAnsi="宋体" w:eastAsia="宋体" w:cs="宋体"/>
          <w:color w:val="auto"/>
          <w:highlight w:val="none"/>
        </w:rPr>
        <w:t>②</w:t>
      </w:r>
      <w:r>
        <w:rPr>
          <w:rFonts w:hint="eastAsia" w:cs="Times New Roman"/>
          <w:color w:val="auto"/>
          <w:highlight w:val="none"/>
          <w:lang w:eastAsia="zh-CN"/>
        </w:rPr>
        <w:t>采取</w:t>
      </w:r>
      <w:r>
        <w:rPr>
          <w:rFonts w:cs="Times New Roman"/>
          <w:color w:val="auto"/>
          <w:highlight w:val="none"/>
        </w:rPr>
        <w:t>讲习班、交流会、现场观摩等方式，对县级技术人员和乡镇有关领导进行针对施工管理、实用技术、先进施工方法和各种技术及管理措施的技术标准、要求等培训；</w:t>
      </w:r>
      <w:r>
        <w:rPr>
          <w:rFonts w:hint="eastAsia" w:ascii="宋体" w:hAnsi="宋体" w:eastAsia="宋体" w:cs="宋体"/>
          <w:color w:val="auto"/>
          <w:highlight w:val="none"/>
        </w:rPr>
        <w:t>③</w:t>
      </w:r>
      <w:r>
        <w:rPr>
          <w:rFonts w:hint="eastAsia" w:cs="Times New Roman"/>
          <w:color w:val="auto"/>
          <w:highlight w:val="none"/>
          <w:lang w:eastAsia="zh-CN"/>
        </w:rPr>
        <w:t>采用</w:t>
      </w:r>
      <w:r>
        <w:rPr>
          <w:rFonts w:cs="Times New Roman"/>
          <w:color w:val="auto"/>
          <w:highlight w:val="none"/>
        </w:rPr>
        <w:t>现场示范、观摩等方法，对村级群众技术骨干进行以实用技术为主的培训。</w:t>
      </w:r>
    </w:p>
    <w:p>
      <w:pPr>
        <w:pStyle w:val="3"/>
        <w:spacing w:before="156"/>
        <w:ind w:firstLine="602"/>
        <w:rPr>
          <w:color w:val="auto"/>
          <w:highlight w:val="none"/>
        </w:rPr>
      </w:pPr>
      <w:bookmarkStart w:id="494" w:name="_Toc482812800"/>
      <w:bookmarkStart w:id="495" w:name="_Toc528946026"/>
      <w:bookmarkStart w:id="496" w:name="_Toc19145"/>
      <w:bookmarkStart w:id="497" w:name="_Toc119515944"/>
      <w:bookmarkStart w:id="498" w:name="_Toc27554"/>
      <w:bookmarkStart w:id="499" w:name="_Toc90399118"/>
      <w:r>
        <w:rPr>
          <w:color w:val="auto"/>
          <w:highlight w:val="none"/>
          <w:lang w:val="en-US"/>
        </w:rPr>
        <w:t>9.3</w:t>
      </w:r>
      <w:r>
        <w:rPr>
          <w:color w:val="auto"/>
          <w:highlight w:val="none"/>
        </w:rPr>
        <w:t>能力建设</w:t>
      </w:r>
      <w:bookmarkEnd w:id="494"/>
      <w:bookmarkEnd w:id="495"/>
      <w:bookmarkEnd w:id="496"/>
      <w:bookmarkEnd w:id="497"/>
      <w:bookmarkEnd w:id="498"/>
      <w:bookmarkEnd w:id="499"/>
    </w:p>
    <w:p>
      <w:pPr>
        <w:rPr>
          <w:rFonts w:cs="Times New Roman"/>
          <w:color w:val="auto"/>
          <w:highlight w:val="none"/>
        </w:rPr>
      </w:pPr>
      <w:r>
        <w:rPr>
          <w:rFonts w:cs="Times New Roman"/>
          <w:color w:val="auto"/>
          <w:highlight w:val="none"/>
        </w:rPr>
        <w:t>近年来，柳江区加大对水土保持基础设施与能力建设的投入，“十三五”期间，在柳江区人民政府各部门的协同努力下，圆满</w:t>
      </w:r>
      <w:r>
        <w:rPr>
          <w:rFonts w:hint="eastAsia" w:cs="Times New Roman"/>
          <w:color w:val="auto"/>
          <w:highlight w:val="none"/>
          <w:lang w:eastAsia="zh-CN"/>
        </w:rPr>
        <w:t>地</w:t>
      </w:r>
      <w:r>
        <w:rPr>
          <w:rFonts w:cs="Times New Roman"/>
          <w:color w:val="auto"/>
          <w:highlight w:val="none"/>
        </w:rPr>
        <w:t>完成了自治区下达的水土流失治理任务。但总体看，柳江区水土保持综合监管能力还有待加强。</w:t>
      </w:r>
    </w:p>
    <w:p>
      <w:pPr>
        <w:pStyle w:val="4"/>
        <w:spacing w:before="156"/>
        <w:ind w:firstLine="562"/>
        <w:rPr>
          <w:color w:val="auto"/>
          <w:highlight w:val="none"/>
        </w:rPr>
      </w:pPr>
      <w:bookmarkStart w:id="500" w:name="_Toc5880"/>
      <w:bookmarkStart w:id="501" w:name="_Toc26144"/>
      <w:bookmarkStart w:id="502" w:name="_Toc119515945"/>
      <w:r>
        <w:rPr>
          <w:color w:val="auto"/>
          <w:highlight w:val="none"/>
        </w:rPr>
        <w:t>9.</w:t>
      </w:r>
      <w:r>
        <w:rPr>
          <w:color w:val="auto"/>
          <w:highlight w:val="none"/>
          <w:lang w:val="en-US"/>
        </w:rPr>
        <w:t>3</w:t>
      </w:r>
      <w:r>
        <w:rPr>
          <w:color w:val="auto"/>
          <w:highlight w:val="none"/>
        </w:rPr>
        <w:t>.1监管能力建设</w:t>
      </w:r>
      <w:bookmarkEnd w:id="500"/>
      <w:bookmarkEnd w:id="501"/>
      <w:bookmarkEnd w:id="502"/>
    </w:p>
    <w:p>
      <w:pPr>
        <w:numPr>
          <w:ilvl w:val="0"/>
          <w:numId w:val="7"/>
        </w:numPr>
        <w:rPr>
          <w:rFonts w:cs="Times New Roman"/>
          <w:color w:val="auto"/>
          <w:highlight w:val="none"/>
        </w:rPr>
      </w:pPr>
      <w:r>
        <w:rPr>
          <w:rFonts w:cs="Times New Roman"/>
          <w:color w:val="auto"/>
          <w:highlight w:val="none"/>
        </w:rPr>
        <w:t>健全水土保持强监管制度体系</w:t>
      </w:r>
    </w:p>
    <w:p>
      <w:pPr>
        <w:rPr>
          <w:rFonts w:cs="Times New Roman"/>
          <w:color w:val="auto"/>
          <w:highlight w:val="none"/>
        </w:rPr>
      </w:pPr>
      <w:r>
        <w:rPr>
          <w:rFonts w:cs="Times New Roman"/>
          <w:color w:val="auto"/>
          <w:highlight w:val="none"/>
        </w:rPr>
        <w:t>按照符合中央和自治区最新精神和法律法规要求、贴近地方和基层实际、可操作易操作的原则，出台生产建设项目水土保持相关审批和监管制度，对监管过程中发现的普遍性、关键性问题进行分析，不断健全细化“查、认、改、罚”各个环节的制度，严格制度落实，全面实施清单管理，推进水土保持监管制度化、规范化，用最严密的制度来保障最严格的监管。</w:t>
      </w:r>
    </w:p>
    <w:p>
      <w:pPr>
        <w:rPr>
          <w:rFonts w:cs="Times New Roman"/>
          <w:color w:val="auto"/>
          <w:highlight w:val="none"/>
        </w:rPr>
      </w:pPr>
      <w:r>
        <w:rPr>
          <w:rFonts w:cs="Times New Roman"/>
          <w:color w:val="auto"/>
          <w:highlight w:val="none"/>
        </w:rPr>
        <w:t>（2）建立水土保持监管长效机制</w:t>
      </w:r>
    </w:p>
    <w:p>
      <w:pPr>
        <w:rPr>
          <w:rFonts w:cs="Times New Roman"/>
          <w:color w:val="auto"/>
          <w:highlight w:val="none"/>
        </w:rPr>
      </w:pPr>
      <w:r>
        <w:rPr>
          <w:rFonts w:cs="Times New Roman"/>
          <w:color w:val="auto"/>
          <w:highlight w:val="none"/>
        </w:rPr>
        <w:t>立足法律法规要求，理顺行政审批与监管的关系，建立审批与监管的衔接机制。加强县级水行政主管部门与执法部门的沟通协调，建立完善监管与执法的联动机制，推进跨部门、跨区域联合协同执法，配合流域机构、自治区、市上下联动执法，确保水行政主管部门切实履行查处违法案件的法定职责。加强行政执法与司法的协调配合，依法惩治人为水土流失严重违法行为。</w:t>
      </w:r>
    </w:p>
    <w:p>
      <w:pPr>
        <w:rPr>
          <w:rFonts w:cs="Times New Roman"/>
          <w:color w:val="auto"/>
          <w:highlight w:val="none"/>
        </w:rPr>
      </w:pPr>
      <w:r>
        <w:rPr>
          <w:rFonts w:cs="Times New Roman"/>
          <w:color w:val="auto"/>
          <w:highlight w:val="none"/>
        </w:rPr>
        <w:t>（3）大力推行政府购买服务引入第三方机构参与水土保持管理</w:t>
      </w:r>
    </w:p>
    <w:p>
      <w:pPr>
        <w:rPr>
          <w:rFonts w:cs="Times New Roman"/>
          <w:color w:val="auto"/>
          <w:highlight w:val="none"/>
        </w:rPr>
      </w:pPr>
      <w:r>
        <w:rPr>
          <w:rFonts w:cs="Times New Roman"/>
          <w:color w:val="auto"/>
          <w:highlight w:val="none"/>
        </w:rPr>
        <w:t>对于水土保持方案技术审查、生产建设项目监督检查全覆盖等工作，逐步形成以委托第三方机构提供技术力量为主，规范、高效地开展水土保持管理的常态化模式，提高生产建设项目水土保持的实时监控能力。</w:t>
      </w:r>
    </w:p>
    <w:p>
      <w:pPr>
        <w:pStyle w:val="4"/>
        <w:spacing w:before="156"/>
        <w:ind w:firstLine="562"/>
        <w:rPr>
          <w:color w:val="auto"/>
          <w:highlight w:val="none"/>
        </w:rPr>
      </w:pPr>
      <w:bookmarkStart w:id="503" w:name="_Toc119515946"/>
      <w:bookmarkStart w:id="504" w:name="_Toc24679"/>
      <w:bookmarkStart w:id="505" w:name="_Toc23724"/>
      <w:r>
        <w:rPr>
          <w:color w:val="auto"/>
          <w:highlight w:val="none"/>
        </w:rPr>
        <w:t>9.</w:t>
      </w:r>
      <w:r>
        <w:rPr>
          <w:color w:val="auto"/>
          <w:highlight w:val="none"/>
          <w:lang w:val="en-US"/>
        </w:rPr>
        <w:t>3</w:t>
      </w:r>
      <w:r>
        <w:rPr>
          <w:color w:val="auto"/>
          <w:highlight w:val="none"/>
        </w:rPr>
        <w:t>.2监测能力建设</w:t>
      </w:r>
      <w:bookmarkEnd w:id="503"/>
      <w:bookmarkEnd w:id="504"/>
      <w:bookmarkEnd w:id="505"/>
    </w:p>
    <w:p>
      <w:pPr>
        <w:rPr>
          <w:rFonts w:cs="Times New Roman"/>
          <w:color w:val="auto"/>
          <w:highlight w:val="none"/>
        </w:rPr>
      </w:pPr>
      <w:r>
        <w:rPr>
          <w:rFonts w:cs="Times New Roman"/>
          <w:color w:val="auto"/>
          <w:highlight w:val="none"/>
        </w:rPr>
        <w:t>（1）建立科学合理的水土保持监测体系</w:t>
      </w:r>
    </w:p>
    <w:p>
      <w:pPr>
        <w:rPr>
          <w:rFonts w:cs="Times New Roman"/>
          <w:color w:val="auto"/>
          <w:highlight w:val="none"/>
        </w:rPr>
      </w:pPr>
      <w:r>
        <w:rPr>
          <w:rFonts w:cs="Times New Roman"/>
          <w:color w:val="auto"/>
          <w:highlight w:val="none"/>
        </w:rPr>
        <w:t>加快水土保持监测体系布局，开展水土保持监测机构标准化建设，加强监测人员的专业技术培训，从人员、设施、设备、经费等方面完善水土保持监测网络体系，提高监测技术水平，保证监测质量。将监测机构建设和运行经费纳入本级财政预算，充分利用政府购买服务引入第三方机构提供监测人员和技术支撑，确保水土流失监测工作正常有序地开展。</w:t>
      </w:r>
    </w:p>
    <w:p>
      <w:pPr>
        <w:numPr>
          <w:ilvl w:val="0"/>
          <w:numId w:val="7"/>
        </w:numPr>
        <w:rPr>
          <w:rFonts w:cs="Times New Roman"/>
          <w:color w:val="auto"/>
          <w:highlight w:val="none"/>
        </w:rPr>
      </w:pPr>
      <w:r>
        <w:rPr>
          <w:rFonts w:cs="Times New Roman"/>
          <w:color w:val="auto"/>
          <w:highlight w:val="none"/>
        </w:rPr>
        <w:t>强化监测成果的管理与应用</w:t>
      </w:r>
    </w:p>
    <w:p>
      <w:pPr>
        <w:numPr>
          <w:ilvl w:val="255"/>
          <w:numId w:val="0"/>
        </w:numPr>
        <w:rPr>
          <w:rFonts w:cs="Times New Roman"/>
          <w:color w:val="auto"/>
          <w:highlight w:val="none"/>
        </w:rPr>
      </w:pPr>
      <w:r>
        <w:rPr>
          <w:rFonts w:cs="Times New Roman"/>
          <w:color w:val="auto"/>
          <w:highlight w:val="none"/>
        </w:rPr>
        <w:t>围绕强化水土保持监测支撑监管的目标，规范监测成果的审核、报送、应用与发布，建立监测成果与管理紧密结合的机制，推动监测和管理有效融合，深入分析和挖掘监测成果，及时将成果应用到水土保持管理各方面，支撑水土保持政策制度制定和规划方案编制。</w:t>
      </w:r>
    </w:p>
    <w:p>
      <w:pPr>
        <w:pStyle w:val="4"/>
        <w:spacing w:before="156"/>
        <w:ind w:firstLine="562"/>
        <w:rPr>
          <w:color w:val="auto"/>
          <w:highlight w:val="none"/>
          <w:lang w:val="en-US"/>
        </w:rPr>
      </w:pPr>
      <w:bookmarkStart w:id="506" w:name="_Toc13142"/>
      <w:bookmarkStart w:id="507" w:name="_Toc17634"/>
      <w:bookmarkStart w:id="508" w:name="_Toc119515947"/>
      <w:r>
        <w:rPr>
          <w:color w:val="auto"/>
          <w:highlight w:val="none"/>
          <w:lang w:val="en-US"/>
        </w:rPr>
        <w:t>9.3.3信息化能力建设</w:t>
      </w:r>
      <w:bookmarkEnd w:id="506"/>
      <w:bookmarkEnd w:id="507"/>
      <w:bookmarkEnd w:id="508"/>
    </w:p>
    <w:p>
      <w:pPr>
        <w:rPr>
          <w:rFonts w:cs="Times New Roman"/>
          <w:color w:val="auto"/>
          <w:highlight w:val="none"/>
        </w:rPr>
      </w:pPr>
      <w:r>
        <w:rPr>
          <w:rFonts w:cs="Times New Roman"/>
          <w:color w:val="auto"/>
          <w:highlight w:val="none"/>
        </w:rPr>
        <w:t>（1）完善水土保持基础信息平台</w:t>
      </w:r>
    </w:p>
    <w:p>
      <w:pPr>
        <w:rPr>
          <w:rFonts w:cs="Times New Roman"/>
          <w:color w:val="auto"/>
          <w:highlight w:val="none"/>
        </w:rPr>
      </w:pPr>
      <w:r>
        <w:rPr>
          <w:rFonts w:cs="Times New Roman"/>
          <w:color w:val="auto"/>
          <w:highlight w:val="none"/>
        </w:rPr>
        <w:t>按照“统筹规划、需求驱动、整合资源、促进共享”的原则，积极推进柳江区监测网络布局，逐步建成县级水土保持监测网络体系，不断完善水土保持信息采集设备配置，主推智能化观测设施，提高水土保持信息采集的自动化水平和效率。</w:t>
      </w:r>
    </w:p>
    <w:p>
      <w:pPr>
        <w:rPr>
          <w:rFonts w:cs="Times New Roman"/>
          <w:color w:val="auto"/>
          <w:highlight w:val="none"/>
        </w:rPr>
      </w:pPr>
      <w:r>
        <w:rPr>
          <w:rFonts w:cs="Times New Roman"/>
          <w:color w:val="auto"/>
          <w:highlight w:val="none"/>
        </w:rPr>
        <w:t>（2）加强信息技术应用</w:t>
      </w:r>
    </w:p>
    <w:p>
      <w:pPr>
        <w:rPr>
          <w:rFonts w:cs="Times New Roman"/>
          <w:color w:val="auto"/>
          <w:highlight w:val="none"/>
        </w:rPr>
      </w:pPr>
      <w:r>
        <w:rPr>
          <w:rFonts w:cs="Times New Roman"/>
          <w:color w:val="auto"/>
          <w:highlight w:val="none"/>
        </w:rPr>
        <w:t>全面运用全国水土保持信息管理系统，对预防保护、综合治理、监督管理、监测评价等核心业务实现信息化管理。结合国家新型基础设施建设，充分利用政府购买服务引入第三方机构提供信息化技术支撑，全面推进卫星遥感技术在生产建设活动“天地一体化”动态监管全覆盖中的应用，加强无人机和移动终端等技术手段在生产建设项目现场检查工作中的应用。综合运用卫星遥感、无人机、“互联网+”等信息技术手段对水土保持重点工程实施情况进行“图斑精细化”管理，准确掌握水土保持重点工程建设管理情况。强化水土保持监测的实时采集和分析，建成面向社会公众的信息服务体系。</w:t>
      </w:r>
    </w:p>
    <w:p>
      <w:pPr>
        <w:rPr>
          <w:rFonts w:cs="Times New Roman"/>
          <w:color w:val="auto"/>
          <w:highlight w:val="none"/>
        </w:rPr>
      </w:pPr>
      <w:r>
        <w:rPr>
          <w:rFonts w:cs="Times New Roman"/>
          <w:color w:val="auto"/>
          <w:highlight w:val="none"/>
        </w:rPr>
        <w:t>（3）加强信息化技术培训</w:t>
      </w:r>
    </w:p>
    <w:p>
      <w:pPr>
        <w:rPr>
          <w:rFonts w:cs="Times New Roman"/>
          <w:color w:val="auto"/>
          <w:highlight w:val="none"/>
        </w:rPr>
      </w:pPr>
      <w:r>
        <w:rPr>
          <w:rFonts w:cs="Times New Roman"/>
          <w:color w:val="auto"/>
          <w:highlight w:val="none"/>
        </w:rPr>
        <w:t>积极联合第三方机构开展生产建设项目水土保持“天地一体化”监管和水土保持重点工程“图斑精细化”管理等关键技术培训，提高柳江区水土保持管理人员信息化工作能力和技术水平。</w:t>
      </w:r>
    </w:p>
    <w:p>
      <w:pPr>
        <w:pStyle w:val="4"/>
        <w:spacing w:before="156"/>
        <w:ind w:firstLine="562"/>
        <w:rPr>
          <w:color w:val="auto"/>
          <w:highlight w:val="none"/>
        </w:rPr>
      </w:pPr>
      <w:bookmarkStart w:id="509" w:name="_Toc28382"/>
      <w:bookmarkStart w:id="510" w:name="_Toc119515948"/>
      <w:bookmarkStart w:id="511" w:name="_Toc16714"/>
      <w:r>
        <w:rPr>
          <w:color w:val="auto"/>
          <w:highlight w:val="none"/>
        </w:rPr>
        <w:t>9.</w:t>
      </w:r>
      <w:r>
        <w:rPr>
          <w:color w:val="auto"/>
          <w:highlight w:val="none"/>
          <w:lang w:val="en-US"/>
        </w:rPr>
        <w:t>3</w:t>
      </w:r>
      <w:r>
        <w:rPr>
          <w:color w:val="auto"/>
          <w:highlight w:val="none"/>
        </w:rPr>
        <w:t>.</w:t>
      </w:r>
      <w:r>
        <w:rPr>
          <w:color w:val="auto"/>
          <w:highlight w:val="none"/>
          <w:lang w:val="en-US"/>
        </w:rPr>
        <w:t>4</w:t>
      </w:r>
      <w:r>
        <w:rPr>
          <w:color w:val="auto"/>
          <w:highlight w:val="none"/>
        </w:rPr>
        <w:t>社会服务能力建设</w:t>
      </w:r>
      <w:bookmarkEnd w:id="509"/>
      <w:bookmarkEnd w:id="510"/>
      <w:bookmarkEnd w:id="511"/>
    </w:p>
    <w:p>
      <w:pPr>
        <w:rPr>
          <w:rFonts w:cs="Times New Roman"/>
          <w:color w:val="auto"/>
          <w:highlight w:val="none"/>
        </w:rPr>
      </w:pPr>
      <w:r>
        <w:rPr>
          <w:rFonts w:cs="Times New Roman"/>
          <w:color w:val="auto"/>
          <w:highlight w:val="none"/>
        </w:rPr>
        <w:t>（1）定期向社会公告柳江区水土流失状况，包括水土流失类型、水土流失强度及水土流失面积。</w:t>
      </w:r>
    </w:p>
    <w:p>
      <w:pPr>
        <w:rPr>
          <w:rFonts w:cs="Times New Roman"/>
          <w:color w:val="auto"/>
          <w:highlight w:val="none"/>
        </w:rPr>
      </w:pPr>
      <w:r>
        <w:rPr>
          <w:rFonts w:cs="Times New Roman"/>
          <w:color w:val="auto"/>
          <w:highlight w:val="none"/>
        </w:rPr>
        <w:t>（2）完善各类社会服务机构的信用管理制度，建立咨询设计质量和信用评价体系，引入退出机制，规范水土保持相关的各类市场行为。积极配合上级水行政管理部门拟定行业技术标准、规范，及时反馈工作实践中发现的问题和建议，不断完善和提高水土保持技术标准体系。</w:t>
      </w:r>
    </w:p>
    <w:p>
      <w:pPr>
        <w:rPr>
          <w:rFonts w:cs="Times New Roman"/>
          <w:color w:val="auto"/>
          <w:highlight w:val="none"/>
        </w:rPr>
      </w:pPr>
      <w:r>
        <w:rPr>
          <w:rFonts w:cs="Times New Roman"/>
          <w:color w:val="auto"/>
          <w:highlight w:val="none"/>
        </w:rPr>
        <w:t>（3）充分发挥第三方机构的作用，加强水土保持监督管理、执法队伍人员技术培训和指导，着力提升行业调查、现场采集和网上监管能力，全面提高行政监管服务能力和水平。</w:t>
      </w:r>
    </w:p>
    <w:p>
      <w:pPr>
        <w:rPr>
          <w:rFonts w:cs="Times New Roman"/>
          <w:color w:val="auto"/>
          <w:highlight w:val="none"/>
        </w:rPr>
      </w:pPr>
      <w:r>
        <w:rPr>
          <w:rFonts w:cs="Times New Roman"/>
          <w:color w:val="auto"/>
          <w:highlight w:val="none"/>
        </w:rPr>
        <w:t>（4）加强从业人员技术培训和法规指导，强化社会服务机构的技术交流，提高水土保持行业服务质量。</w:t>
      </w:r>
    </w:p>
    <w:p>
      <w:pPr>
        <w:pStyle w:val="4"/>
        <w:spacing w:before="156"/>
        <w:ind w:firstLine="562"/>
        <w:rPr>
          <w:color w:val="auto"/>
          <w:highlight w:val="none"/>
        </w:rPr>
      </w:pPr>
      <w:bookmarkStart w:id="512" w:name="_Toc13955"/>
      <w:bookmarkStart w:id="513" w:name="_Toc119515949"/>
      <w:bookmarkStart w:id="514" w:name="_Toc1499"/>
      <w:r>
        <w:rPr>
          <w:color w:val="auto"/>
          <w:highlight w:val="none"/>
        </w:rPr>
        <w:t>9.</w:t>
      </w:r>
      <w:r>
        <w:rPr>
          <w:color w:val="auto"/>
          <w:highlight w:val="none"/>
          <w:lang w:val="en-US"/>
        </w:rPr>
        <w:t>3</w:t>
      </w:r>
      <w:r>
        <w:rPr>
          <w:color w:val="auto"/>
          <w:highlight w:val="none"/>
        </w:rPr>
        <w:t>.</w:t>
      </w:r>
      <w:r>
        <w:rPr>
          <w:color w:val="auto"/>
          <w:highlight w:val="none"/>
          <w:lang w:val="en-US"/>
        </w:rPr>
        <w:t>5</w:t>
      </w:r>
      <w:r>
        <w:rPr>
          <w:color w:val="auto"/>
          <w:highlight w:val="none"/>
        </w:rPr>
        <w:t>宣传教育能力建设</w:t>
      </w:r>
      <w:bookmarkEnd w:id="512"/>
      <w:bookmarkEnd w:id="513"/>
      <w:bookmarkEnd w:id="514"/>
    </w:p>
    <w:p>
      <w:pPr>
        <w:rPr>
          <w:rFonts w:cs="Times New Roman"/>
          <w:color w:val="auto"/>
          <w:highlight w:val="none"/>
        </w:rPr>
      </w:pPr>
      <w:r>
        <w:rPr>
          <w:rFonts w:cs="Times New Roman"/>
          <w:color w:val="auto"/>
          <w:highlight w:val="none"/>
        </w:rPr>
        <w:t>（1）充分利用传统媒体和新媒体积极开展形式丰富多彩的水土保持宣传教育活动，向社会公众普及水土保持知识、传播生态文明理念，广泛宣传保护水土资源的重要性和紧迫性，培养全民的生态保护观念和绿色价值取向。</w:t>
      </w:r>
    </w:p>
    <w:p>
      <w:pPr>
        <w:rPr>
          <w:rFonts w:cs="Times New Roman"/>
          <w:color w:val="auto"/>
          <w:highlight w:val="none"/>
        </w:rPr>
      </w:pPr>
      <w:r>
        <w:rPr>
          <w:rFonts w:cs="Times New Roman"/>
          <w:color w:val="auto"/>
          <w:highlight w:val="none"/>
        </w:rPr>
        <w:t>（2）深化水土保持国策宣传教育，积极推进“水土保持进校园</w:t>
      </w:r>
      <w:r>
        <w:rPr>
          <w:rFonts w:hint="eastAsia" w:cs="Times New Roman"/>
          <w:color w:val="auto"/>
          <w:highlight w:val="none"/>
          <w:lang w:eastAsia="zh-CN"/>
        </w:rPr>
        <w:t>”“</w:t>
      </w:r>
      <w:r>
        <w:rPr>
          <w:rFonts w:cs="Times New Roman"/>
          <w:color w:val="auto"/>
          <w:highlight w:val="none"/>
        </w:rPr>
        <w:t>水土保持进党校”等活动，重点宣传水土保持在生态文明建设中的重要作用和水土保持相关法律法规，提高各级领导干部和青少年的水土保持法治意识和生态文明意识。</w:t>
      </w:r>
    </w:p>
    <w:p>
      <w:pPr>
        <w:rPr>
          <w:rFonts w:cs="Times New Roman"/>
          <w:color w:val="auto"/>
          <w:highlight w:val="none"/>
        </w:rPr>
      </w:pPr>
      <w:r>
        <w:rPr>
          <w:rFonts w:cs="Times New Roman"/>
          <w:color w:val="auto"/>
          <w:highlight w:val="none"/>
        </w:rPr>
        <w:t>（3）积极打造生产建设项目水土保持生态文明工程，推进水土保持生态文明教育示范基地建设，发挥示范项目的宣传作用，提高水土保持生态建设成效的社会认可度。创建水土保持生态文明示范县，在柳江区范围内营造珍惜保护水土资源、保护生态的文明风尚。</w:t>
      </w: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pStyle w:val="2"/>
        <w:rPr>
          <w:color w:val="auto"/>
          <w:highlight w:val="none"/>
          <w:lang w:val="en-GB"/>
        </w:rPr>
      </w:pPr>
      <w:bookmarkStart w:id="515" w:name="_Toc119515950"/>
      <w:bookmarkStart w:id="516" w:name="_Toc90399119"/>
      <w:bookmarkStart w:id="517" w:name="_Toc1654"/>
      <w:bookmarkStart w:id="518" w:name="_Toc9423"/>
      <w:bookmarkStart w:id="519" w:name="_Toc482812801"/>
      <w:bookmarkStart w:id="520" w:name="_Toc528946027"/>
      <w:r>
        <w:rPr>
          <w:color w:val="auto"/>
          <w:highlight w:val="none"/>
          <w:lang w:val="en-GB"/>
        </w:rPr>
        <w:t>10 实施进度及投资匡算</w:t>
      </w:r>
      <w:bookmarkEnd w:id="515"/>
      <w:bookmarkEnd w:id="516"/>
      <w:bookmarkEnd w:id="517"/>
      <w:bookmarkEnd w:id="518"/>
      <w:bookmarkEnd w:id="519"/>
      <w:bookmarkEnd w:id="520"/>
    </w:p>
    <w:p>
      <w:pPr>
        <w:pStyle w:val="3"/>
        <w:spacing w:before="156"/>
        <w:ind w:firstLine="602"/>
        <w:rPr>
          <w:color w:val="auto"/>
          <w:highlight w:val="none"/>
        </w:rPr>
      </w:pPr>
      <w:bookmarkStart w:id="521" w:name="_Toc528946028"/>
      <w:bookmarkStart w:id="522" w:name="_Toc90399120"/>
      <w:bookmarkStart w:id="523" w:name="_Toc6699"/>
      <w:bookmarkStart w:id="524" w:name="_Toc119515951"/>
      <w:bookmarkStart w:id="525" w:name="_Toc31465"/>
      <w:bookmarkStart w:id="526" w:name="_Toc482812802"/>
      <w:r>
        <w:rPr>
          <w:color w:val="auto"/>
          <w:highlight w:val="none"/>
        </w:rPr>
        <w:t>10.1实施进度</w:t>
      </w:r>
      <w:bookmarkEnd w:id="521"/>
      <w:bookmarkEnd w:id="522"/>
      <w:bookmarkEnd w:id="523"/>
      <w:bookmarkEnd w:id="524"/>
      <w:bookmarkEnd w:id="525"/>
      <w:bookmarkEnd w:id="526"/>
    </w:p>
    <w:p>
      <w:pPr>
        <w:pStyle w:val="4"/>
        <w:spacing w:before="156"/>
        <w:ind w:firstLine="562"/>
        <w:rPr>
          <w:color w:val="auto"/>
          <w:highlight w:val="none"/>
          <w:lang w:val="en-GB"/>
        </w:rPr>
      </w:pPr>
      <w:bookmarkStart w:id="527" w:name="_Toc119515952"/>
      <w:bookmarkStart w:id="528" w:name="_Toc15072"/>
      <w:bookmarkStart w:id="529" w:name="_Toc9692"/>
      <w:r>
        <w:rPr>
          <w:color w:val="auto"/>
          <w:highlight w:val="none"/>
          <w:lang w:val="en-GB"/>
        </w:rPr>
        <w:t>10.1.1安排原则</w:t>
      </w:r>
      <w:bookmarkEnd w:id="527"/>
      <w:bookmarkEnd w:id="528"/>
      <w:bookmarkEnd w:id="529"/>
    </w:p>
    <w:p>
      <w:pPr>
        <w:rPr>
          <w:rFonts w:cs="Times New Roman"/>
          <w:color w:val="auto"/>
          <w:highlight w:val="none"/>
        </w:rPr>
      </w:pPr>
      <w:r>
        <w:rPr>
          <w:rFonts w:cs="Times New Roman"/>
          <w:color w:val="auto"/>
          <w:highlight w:val="none"/>
        </w:rPr>
        <w:t>为了更好发挥水土保持治理效果，按“轻重缓急、先易后难、所需投入与同期经济发展相适应”的原则，规划近期的重点项目优先安排在下列地区：</w:t>
      </w:r>
    </w:p>
    <w:p>
      <w:pPr>
        <w:numPr>
          <w:ilvl w:val="0"/>
          <w:numId w:val="8"/>
        </w:numPr>
        <w:rPr>
          <w:rFonts w:cs="Times New Roman"/>
          <w:color w:val="auto"/>
          <w:highlight w:val="none"/>
        </w:rPr>
      </w:pPr>
      <w:r>
        <w:rPr>
          <w:rFonts w:cs="Times New Roman"/>
          <w:color w:val="auto"/>
          <w:highlight w:val="none"/>
        </w:rPr>
        <w:t>对国民经济和生态系统有重大影响的重要水源区。</w:t>
      </w:r>
    </w:p>
    <w:p>
      <w:pPr>
        <w:numPr>
          <w:ilvl w:val="0"/>
          <w:numId w:val="8"/>
        </w:numPr>
        <w:rPr>
          <w:rFonts w:cs="Times New Roman"/>
          <w:color w:val="auto"/>
          <w:highlight w:val="none"/>
        </w:rPr>
      </w:pPr>
      <w:r>
        <w:rPr>
          <w:rFonts w:cs="Times New Roman"/>
          <w:color w:val="auto"/>
          <w:highlight w:val="none"/>
        </w:rPr>
        <w:t>投入少、见效快、效益明显、示范作用强的地区。</w:t>
      </w:r>
    </w:p>
    <w:p>
      <w:pPr>
        <w:numPr>
          <w:ilvl w:val="0"/>
          <w:numId w:val="8"/>
        </w:numPr>
        <w:rPr>
          <w:rFonts w:cs="Times New Roman"/>
          <w:color w:val="auto"/>
          <w:highlight w:val="none"/>
        </w:rPr>
      </w:pPr>
      <w:r>
        <w:rPr>
          <w:rFonts w:cs="Times New Roman"/>
          <w:color w:val="auto"/>
          <w:highlight w:val="none"/>
        </w:rPr>
        <w:t>其他水土流失严重的地区。</w:t>
      </w:r>
    </w:p>
    <w:p>
      <w:pPr>
        <w:pStyle w:val="4"/>
        <w:spacing w:before="156"/>
        <w:ind w:firstLine="562"/>
        <w:rPr>
          <w:color w:val="auto"/>
          <w:highlight w:val="none"/>
          <w:lang w:val="en-GB"/>
        </w:rPr>
      </w:pPr>
      <w:bookmarkStart w:id="530" w:name="_Toc11404"/>
      <w:bookmarkStart w:id="531" w:name="_Toc119515953"/>
      <w:bookmarkStart w:id="532" w:name="_Toc12305"/>
      <w:r>
        <w:rPr>
          <w:color w:val="auto"/>
          <w:highlight w:val="none"/>
          <w:lang w:val="en-GB"/>
        </w:rPr>
        <w:t>10.1.2安排进度</w:t>
      </w:r>
      <w:bookmarkEnd w:id="530"/>
      <w:bookmarkEnd w:id="531"/>
      <w:bookmarkEnd w:id="532"/>
    </w:p>
    <w:p>
      <w:pPr>
        <w:rPr>
          <w:rFonts w:cs="Times New Roman"/>
          <w:color w:val="auto"/>
          <w:highlight w:val="none"/>
        </w:rPr>
      </w:pPr>
      <w:r>
        <w:rPr>
          <w:rFonts w:cs="Times New Roman"/>
          <w:color w:val="auto"/>
          <w:highlight w:val="none"/>
        </w:rPr>
        <w:t>（1）预防进度</w:t>
      </w:r>
    </w:p>
    <w:p>
      <w:pPr>
        <w:rPr>
          <w:rFonts w:cs="Times New Roman"/>
          <w:color w:val="auto"/>
          <w:highlight w:val="none"/>
        </w:rPr>
      </w:pPr>
      <w:r>
        <w:rPr>
          <w:rFonts w:cs="Times New Roman"/>
          <w:color w:val="auto"/>
          <w:highlight w:val="none"/>
        </w:rPr>
        <w:t>规划期内完成水土流失预防保护面积</w:t>
      </w:r>
      <w:r>
        <w:rPr>
          <w:rFonts w:hint="eastAsia" w:cs="Times New Roman"/>
          <w:color w:val="auto"/>
          <w:highlight w:val="none"/>
          <w:lang w:val="en-US" w:eastAsia="zh-CN"/>
        </w:rPr>
        <w:t>56.50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，其中近期（2022</w:t>
      </w:r>
      <w:r>
        <w:rPr>
          <w:rFonts w:hint="eastAsia" w:cs="Times New Roman"/>
          <w:color w:val="auto"/>
          <w:highlight w:val="none"/>
          <w:lang w:eastAsia="zh-CN"/>
        </w:rPr>
        <w:t>—</w:t>
      </w:r>
      <w:r>
        <w:rPr>
          <w:rFonts w:cs="Times New Roman"/>
          <w:color w:val="auto"/>
          <w:highlight w:val="none"/>
        </w:rPr>
        <w:t>2025年）完成预防保护面积</w:t>
      </w:r>
      <w:r>
        <w:rPr>
          <w:rFonts w:hint="eastAsia" w:cs="Times New Roman"/>
          <w:color w:val="auto"/>
          <w:highlight w:val="none"/>
          <w:lang w:val="en-US" w:eastAsia="zh-CN"/>
        </w:rPr>
        <w:t>24.65</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，远期（2026</w:t>
      </w:r>
      <w:r>
        <w:rPr>
          <w:rFonts w:hint="eastAsia" w:cs="Times New Roman"/>
          <w:color w:val="auto"/>
          <w:highlight w:val="none"/>
          <w:lang w:eastAsia="zh-CN"/>
        </w:rPr>
        <w:t>—</w:t>
      </w:r>
      <w:r>
        <w:rPr>
          <w:rFonts w:cs="Times New Roman"/>
          <w:color w:val="auto"/>
          <w:highlight w:val="none"/>
        </w:rPr>
        <w:t>2030年）完成预防保护面积31.85km</w:t>
      </w:r>
      <w:r>
        <w:rPr>
          <w:rFonts w:cs="Times New Roman"/>
          <w:color w:val="auto"/>
          <w:highlight w:val="none"/>
          <w:vertAlign w:val="superscript"/>
        </w:rPr>
        <w:t>2</w:t>
      </w:r>
      <w:r>
        <w:rPr>
          <w:rFonts w:cs="Times New Roman"/>
          <w:color w:val="auto"/>
          <w:highlight w:val="none"/>
        </w:rPr>
        <w:t>。</w:t>
      </w:r>
    </w:p>
    <w:p>
      <w:pPr>
        <w:rPr>
          <w:rFonts w:cs="Times New Roman"/>
          <w:color w:val="auto"/>
          <w:highlight w:val="none"/>
        </w:rPr>
      </w:pPr>
      <w:r>
        <w:rPr>
          <w:rFonts w:cs="Times New Roman"/>
          <w:color w:val="auto"/>
          <w:highlight w:val="none"/>
        </w:rPr>
        <w:t>（2）治理进度</w:t>
      </w:r>
    </w:p>
    <w:p>
      <w:pPr>
        <w:rPr>
          <w:rFonts w:cs="Times New Roman"/>
          <w:color w:val="auto"/>
          <w:highlight w:val="none"/>
        </w:rPr>
      </w:pPr>
      <w:r>
        <w:rPr>
          <w:rFonts w:cs="Times New Roman"/>
          <w:color w:val="auto"/>
          <w:highlight w:val="none"/>
        </w:rPr>
        <w:t>柳江区将累计新增水土流失治理面积162.85km</w:t>
      </w:r>
      <w:r>
        <w:rPr>
          <w:rFonts w:cs="Times New Roman"/>
          <w:color w:val="auto"/>
          <w:highlight w:val="none"/>
          <w:vertAlign w:val="superscript"/>
        </w:rPr>
        <w:t>2</w:t>
      </w:r>
      <w:r>
        <w:rPr>
          <w:rFonts w:cs="Times New Roman"/>
          <w:color w:val="auto"/>
          <w:highlight w:val="none"/>
        </w:rPr>
        <w:t>，其中水利部门综合治理面积</w:t>
      </w:r>
      <w:r>
        <w:rPr>
          <w:rFonts w:hint="eastAsia" w:cs="Times New Roman"/>
          <w:color w:val="auto"/>
          <w:highlight w:val="none"/>
          <w:lang w:val="en-US" w:eastAsia="zh-CN"/>
        </w:rPr>
        <w:t>32.57</w:t>
      </w:r>
      <w:r>
        <w:rPr>
          <w:rFonts w:cs="Times New Roman"/>
          <w:color w:val="auto"/>
          <w:highlight w:val="none"/>
        </w:rPr>
        <w:t xml:space="preserve"> km</w:t>
      </w:r>
      <w:r>
        <w:rPr>
          <w:rFonts w:cs="Times New Roman"/>
          <w:color w:val="auto"/>
          <w:highlight w:val="none"/>
          <w:vertAlign w:val="superscript"/>
        </w:rPr>
        <w:t>2</w:t>
      </w:r>
      <w:r>
        <w:rPr>
          <w:rFonts w:cs="Times New Roman"/>
          <w:color w:val="auto"/>
          <w:highlight w:val="none"/>
        </w:rPr>
        <w:t>，其他部门生态建设项目及社会力量综合治理面积</w:t>
      </w:r>
      <w:r>
        <w:rPr>
          <w:rFonts w:hint="eastAsia" w:cs="Times New Roman"/>
          <w:color w:val="auto"/>
          <w:highlight w:val="none"/>
          <w:lang w:val="en-US" w:eastAsia="zh-CN"/>
        </w:rPr>
        <w:t>130.28</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。规划近期（2022</w:t>
      </w:r>
      <w:r>
        <w:rPr>
          <w:rFonts w:hint="eastAsia" w:cs="Times New Roman"/>
          <w:color w:val="auto"/>
          <w:highlight w:val="none"/>
          <w:lang w:eastAsia="zh-CN"/>
        </w:rPr>
        <w:t>—</w:t>
      </w:r>
      <w:r>
        <w:rPr>
          <w:rFonts w:cs="Times New Roman"/>
          <w:color w:val="auto"/>
          <w:highlight w:val="none"/>
        </w:rPr>
        <w:t>2025年）综合治理面积72.38km</w:t>
      </w:r>
      <w:r>
        <w:rPr>
          <w:rFonts w:cs="Times New Roman"/>
          <w:color w:val="auto"/>
          <w:highlight w:val="none"/>
          <w:vertAlign w:val="superscript"/>
        </w:rPr>
        <w:t>2</w:t>
      </w:r>
      <w:r>
        <w:rPr>
          <w:rFonts w:cs="Times New Roman"/>
          <w:color w:val="auto"/>
          <w:highlight w:val="none"/>
        </w:rPr>
        <w:t>，远期（2026</w:t>
      </w:r>
      <w:r>
        <w:rPr>
          <w:rFonts w:hint="eastAsia" w:cs="Times New Roman"/>
          <w:color w:val="auto"/>
          <w:highlight w:val="none"/>
          <w:lang w:eastAsia="zh-CN"/>
        </w:rPr>
        <w:t>—</w:t>
      </w:r>
      <w:r>
        <w:rPr>
          <w:rFonts w:cs="Times New Roman"/>
          <w:color w:val="auto"/>
          <w:highlight w:val="none"/>
        </w:rPr>
        <w:t>2030年）综合治理面积90.47km</w:t>
      </w:r>
      <w:r>
        <w:rPr>
          <w:rFonts w:cs="Times New Roman"/>
          <w:color w:val="auto"/>
          <w:highlight w:val="none"/>
          <w:vertAlign w:val="superscript"/>
        </w:rPr>
        <w:t>2</w:t>
      </w:r>
      <w:r>
        <w:rPr>
          <w:rFonts w:cs="Times New Roman"/>
          <w:color w:val="auto"/>
          <w:highlight w:val="none"/>
        </w:rPr>
        <w:t>。</w:t>
      </w:r>
    </w:p>
    <w:p>
      <w:pPr>
        <w:pStyle w:val="3"/>
        <w:spacing w:before="156"/>
        <w:ind w:firstLine="602"/>
        <w:rPr>
          <w:color w:val="auto"/>
          <w:highlight w:val="none"/>
        </w:rPr>
      </w:pPr>
      <w:bookmarkStart w:id="533" w:name="_Toc119515954"/>
      <w:bookmarkStart w:id="534" w:name="_Toc13666"/>
      <w:bookmarkStart w:id="535" w:name="_Toc24723"/>
      <w:bookmarkStart w:id="536" w:name="_Toc528946029"/>
      <w:bookmarkStart w:id="537" w:name="_Toc482812803"/>
      <w:bookmarkStart w:id="538" w:name="_Toc90399121"/>
      <w:r>
        <w:rPr>
          <w:color w:val="auto"/>
          <w:highlight w:val="none"/>
        </w:rPr>
        <w:t>10.2重点项目安排</w:t>
      </w:r>
      <w:bookmarkEnd w:id="533"/>
      <w:bookmarkEnd w:id="534"/>
      <w:bookmarkEnd w:id="535"/>
      <w:bookmarkEnd w:id="536"/>
      <w:bookmarkEnd w:id="537"/>
      <w:bookmarkEnd w:id="538"/>
    </w:p>
    <w:p>
      <w:pPr>
        <w:pStyle w:val="4"/>
        <w:spacing w:before="156"/>
        <w:ind w:firstLine="562"/>
        <w:rPr>
          <w:color w:val="auto"/>
          <w:highlight w:val="none"/>
          <w:lang w:val="en-GB"/>
        </w:rPr>
      </w:pPr>
      <w:bookmarkStart w:id="539" w:name="_Toc30620"/>
      <w:bookmarkStart w:id="540" w:name="_Toc119515955"/>
      <w:bookmarkStart w:id="541" w:name="_Toc4133"/>
      <w:r>
        <w:rPr>
          <w:color w:val="auto"/>
          <w:highlight w:val="none"/>
          <w:lang w:val="en-GB"/>
        </w:rPr>
        <w:t>10.2.1重点预防</w:t>
      </w:r>
      <w:r>
        <w:rPr>
          <w:color w:val="auto"/>
          <w:highlight w:val="none"/>
          <w:lang w:val="en-US"/>
        </w:rPr>
        <w:t>保护</w:t>
      </w:r>
      <w:r>
        <w:rPr>
          <w:color w:val="auto"/>
          <w:highlight w:val="none"/>
          <w:lang w:val="en-GB"/>
        </w:rPr>
        <w:t>工程</w:t>
      </w:r>
      <w:bookmarkEnd w:id="539"/>
      <w:bookmarkEnd w:id="540"/>
      <w:bookmarkEnd w:id="541"/>
    </w:p>
    <w:p>
      <w:pPr>
        <w:ind w:firstLineChars="0"/>
        <w:rPr>
          <w:rFonts w:cs="Times New Roman"/>
          <w:color w:val="auto"/>
          <w:highlight w:val="none"/>
        </w:rPr>
      </w:pPr>
      <w:r>
        <w:rPr>
          <w:rFonts w:eastAsia="华文仿宋" w:cs="Times New Roman"/>
          <w:color w:val="auto"/>
          <w:highlight w:val="none"/>
        </w:rPr>
        <w:t>本规划将</w:t>
      </w:r>
      <w:r>
        <w:rPr>
          <w:rFonts w:cs="Times New Roman"/>
          <w:color w:val="auto"/>
          <w:highlight w:val="none"/>
        </w:rPr>
        <w:t>1处重要江河源头保护区</w:t>
      </w:r>
      <w:r>
        <w:rPr>
          <w:rFonts w:hint="eastAsia" w:cs="Times New Roman"/>
          <w:color w:val="auto"/>
          <w:highlight w:val="none"/>
          <w:lang w:eastAsia="zh-CN"/>
        </w:rPr>
        <w:t>、</w:t>
      </w:r>
      <w:r>
        <w:rPr>
          <w:rFonts w:cs="Times New Roman"/>
          <w:color w:val="auto"/>
          <w:highlight w:val="none"/>
        </w:rPr>
        <w:t>1处崩塌危害隐患点</w:t>
      </w:r>
      <w:r>
        <w:rPr>
          <w:rFonts w:hint="eastAsia" w:cs="Times New Roman"/>
          <w:color w:val="auto"/>
          <w:highlight w:val="none"/>
          <w:lang w:eastAsia="zh-CN"/>
        </w:rPr>
        <w:t>、</w:t>
      </w:r>
      <w:r>
        <w:rPr>
          <w:rFonts w:hint="eastAsia" w:cs="Times New Roman"/>
          <w:color w:val="auto"/>
          <w:highlight w:val="none"/>
          <w:lang w:val="en-US" w:eastAsia="zh-CN"/>
        </w:rPr>
        <w:t>1处湿地公园、6处旅游</w:t>
      </w:r>
      <w:r>
        <w:rPr>
          <w:rFonts w:hint="eastAsia" w:cs="Times New Roman"/>
          <w:color w:val="auto"/>
          <w:highlight w:val="none"/>
        </w:rPr>
        <w:t>景区</w:t>
      </w:r>
      <w:r>
        <w:rPr>
          <w:rFonts w:cs="Times New Roman"/>
          <w:color w:val="auto"/>
          <w:highlight w:val="none"/>
        </w:rPr>
        <w:t>和9处饮用水水源保护区的一级保护区、二级保护区、准保护区确定为预防保护实施范围，实施预防保护面积</w:t>
      </w:r>
      <w:r>
        <w:rPr>
          <w:rFonts w:hint="eastAsia" w:cs="Times New Roman"/>
          <w:color w:val="auto"/>
          <w:highlight w:val="none"/>
          <w:lang w:val="en-US" w:eastAsia="zh-CN"/>
        </w:rPr>
        <w:t>56.50</w:t>
      </w:r>
      <w:r>
        <w:rPr>
          <w:rFonts w:cs="Times New Roman"/>
          <w:color w:val="auto"/>
          <w:highlight w:val="none"/>
        </w:rPr>
        <w:t>km</w:t>
      </w:r>
      <w:r>
        <w:rPr>
          <w:rFonts w:cs="Times New Roman"/>
          <w:color w:val="auto"/>
          <w:highlight w:val="none"/>
          <w:vertAlign w:val="superscript"/>
        </w:rPr>
        <w:t>2</w:t>
      </w:r>
      <w:r>
        <w:rPr>
          <w:rFonts w:hint="eastAsia" w:cs="Times New Roman"/>
          <w:color w:val="auto"/>
          <w:highlight w:val="none"/>
          <w:lang w:eastAsia="zh-CN"/>
        </w:rPr>
        <w:t>。</w:t>
      </w:r>
      <w:r>
        <w:rPr>
          <w:rFonts w:cs="Times New Roman"/>
          <w:color w:val="auto"/>
          <w:highlight w:val="none"/>
          <w:lang w:val="en-GB"/>
        </w:rPr>
        <w:t>2022</w:t>
      </w:r>
      <w:r>
        <w:rPr>
          <w:rFonts w:hint="eastAsia" w:cs="Times New Roman"/>
          <w:color w:val="auto"/>
          <w:highlight w:val="none"/>
          <w:lang w:val="en-GB" w:eastAsia="zh-CN"/>
        </w:rPr>
        <w:t>—</w:t>
      </w:r>
      <w:r>
        <w:rPr>
          <w:rFonts w:cs="Times New Roman"/>
          <w:color w:val="auto"/>
          <w:highlight w:val="none"/>
        </w:rPr>
        <w:t>2025年，柳江区规划新增水土流失</w:t>
      </w:r>
      <w:r>
        <w:rPr>
          <w:rFonts w:cs="Times New Roman"/>
          <w:color w:val="auto"/>
          <w:highlight w:val="none"/>
          <w:lang w:val="en-GB"/>
        </w:rPr>
        <w:t>预防保护面积</w:t>
      </w:r>
      <w:r>
        <w:rPr>
          <w:rFonts w:hint="eastAsia" w:cs="Times New Roman"/>
          <w:color w:val="auto"/>
          <w:highlight w:val="none"/>
          <w:lang w:val="en-US" w:eastAsia="zh-CN"/>
        </w:rPr>
        <w:t>24.65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w:t>
      </w:r>
      <w:r>
        <w:rPr>
          <w:rFonts w:cs="Times New Roman"/>
          <w:color w:val="auto"/>
          <w:highlight w:val="none"/>
        </w:rPr>
        <w:t>崩塌危害隐患点</w:t>
      </w:r>
      <w:r>
        <w:rPr>
          <w:rFonts w:hint="eastAsia" w:cs="Times New Roman"/>
          <w:color w:val="auto"/>
          <w:highlight w:val="none"/>
          <w:lang w:val="en-US" w:eastAsia="zh-CN"/>
        </w:rPr>
        <w:t>、湿地公园和旅游景区</w:t>
      </w:r>
      <w:r>
        <w:rPr>
          <w:rFonts w:cs="Times New Roman"/>
          <w:color w:val="auto"/>
          <w:highlight w:val="none"/>
        </w:rPr>
        <w:t>得到全面预防保护</w:t>
      </w:r>
      <w:r>
        <w:rPr>
          <w:rFonts w:cs="Times New Roman"/>
          <w:color w:val="auto"/>
          <w:highlight w:val="none"/>
          <w:lang w:val="en-GB"/>
        </w:rPr>
        <w:t>。2026</w:t>
      </w:r>
      <w:r>
        <w:rPr>
          <w:rFonts w:hint="eastAsia" w:cs="Times New Roman"/>
          <w:color w:val="auto"/>
          <w:highlight w:val="none"/>
          <w:lang w:val="en-GB" w:eastAsia="zh-CN"/>
        </w:rPr>
        <w:t>—</w:t>
      </w:r>
      <w:r>
        <w:rPr>
          <w:rFonts w:cs="Times New Roman"/>
          <w:color w:val="auto"/>
          <w:highlight w:val="none"/>
          <w:lang w:val="en-GB"/>
        </w:rPr>
        <w:t>2030年，规划</w:t>
      </w:r>
      <w:r>
        <w:rPr>
          <w:rFonts w:cs="Times New Roman"/>
          <w:color w:val="auto"/>
          <w:highlight w:val="none"/>
        </w:rPr>
        <w:t>新增水土流失</w:t>
      </w:r>
      <w:r>
        <w:rPr>
          <w:rFonts w:cs="Times New Roman"/>
          <w:color w:val="auto"/>
          <w:highlight w:val="none"/>
          <w:lang w:val="en-GB"/>
        </w:rPr>
        <w:t>预防保护面积</w:t>
      </w:r>
      <w:r>
        <w:rPr>
          <w:rFonts w:cs="Times New Roman"/>
          <w:color w:val="auto"/>
          <w:highlight w:val="none"/>
        </w:rPr>
        <w:t>31.85</w:t>
      </w:r>
      <w:r>
        <w:rPr>
          <w:rFonts w:cs="Times New Roman"/>
          <w:color w:val="auto"/>
          <w:highlight w:val="none"/>
          <w:lang w:val="en-GB"/>
        </w:rPr>
        <w:t>km</w:t>
      </w:r>
      <w:r>
        <w:rPr>
          <w:rFonts w:cs="Times New Roman"/>
          <w:color w:val="auto"/>
          <w:highlight w:val="none"/>
          <w:vertAlign w:val="superscript"/>
          <w:lang w:val="en-GB"/>
        </w:rPr>
        <w:t>2</w:t>
      </w:r>
      <w:r>
        <w:rPr>
          <w:rFonts w:cs="Times New Roman"/>
          <w:color w:val="auto"/>
          <w:highlight w:val="none"/>
          <w:lang w:val="en-GB"/>
        </w:rPr>
        <w:t>，使</w:t>
      </w:r>
      <w:r>
        <w:rPr>
          <w:rFonts w:cs="Times New Roman"/>
          <w:color w:val="auto"/>
          <w:highlight w:val="none"/>
        </w:rPr>
        <w:t>饮用</w:t>
      </w:r>
      <w:r>
        <w:rPr>
          <w:rFonts w:cs="Times New Roman"/>
          <w:color w:val="auto"/>
          <w:highlight w:val="none"/>
          <w:lang w:val="en-GB"/>
        </w:rPr>
        <w:t>水</w:t>
      </w:r>
      <w:r>
        <w:rPr>
          <w:rFonts w:cs="Times New Roman"/>
          <w:color w:val="auto"/>
          <w:highlight w:val="none"/>
        </w:rPr>
        <w:t>水源地、重要江河源头保护区</w:t>
      </w:r>
      <w:r>
        <w:rPr>
          <w:rFonts w:cs="Times New Roman"/>
          <w:color w:val="auto"/>
          <w:highlight w:val="none"/>
          <w:lang w:val="en-GB"/>
        </w:rPr>
        <w:t>水质有所改善，重要</w:t>
      </w:r>
      <w:r>
        <w:rPr>
          <w:rFonts w:cs="Times New Roman"/>
          <w:color w:val="auto"/>
          <w:highlight w:val="none"/>
        </w:rPr>
        <w:t>生态敏感区的</w:t>
      </w:r>
      <w:r>
        <w:rPr>
          <w:rFonts w:cs="Times New Roman"/>
          <w:color w:val="auto"/>
          <w:highlight w:val="none"/>
          <w:lang w:val="en-GB"/>
        </w:rPr>
        <w:t>水土流失有所减轻。</w:t>
      </w:r>
      <w:r>
        <w:rPr>
          <w:rFonts w:cs="Times New Roman"/>
          <w:color w:val="auto"/>
          <w:highlight w:val="none"/>
        </w:rPr>
        <w:t>详见表10.2-1。</w:t>
      </w: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p>
    <w:p>
      <w:pPr>
        <w:pStyle w:val="49"/>
        <w:spacing w:before="156"/>
        <w:ind w:firstLine="0" w:firstLineChars="0"/>
        <w:rPr>
          <w:color w:val="auto"/>
          <w:highlight w:val="none"/>
        </w:rPr>
      </w:pPr>
      <w:r>
        <w:rPr>
          <w:color w:val="auto"/>
          <w:highlight w:val="none"/>
        </w:rPr>
        <w:t>表10.2-1   重点预防项目情况表</w:t>
      </w:r>
    </w:p>
    <w:p>
      <w:pPr>
        <w:pStyle w:val="49"/>
        <w:spacing w:beforeLines="0" w:line="240" w:lineRule="atLeast"/>
        <w:ind w:firstLine="0" w:firstLineChars="0"/>
        <w:jc w:val="right"/>
        <w:rPr>
          <w:b w:val="0"/>
          <w:color w:val="auto"/>
          <w:sz w:val="21"/>
          <w:szCs w:val="21"/>
          <w:highlight w:val="none"/>
          <w:vertAlign w:val="superscript"/>
        </w:rPr>
      </w:pPr>
      <w:r>
        <w:rPr>
          <w:b w:val="0"/>
          <w:color w:val="auto"/>
          <w:sz w:val="21"/>
          <w:szCs w:val="21"/>
          <w:highlight w:val="none"/>
        </w:rPr>
        <w:t>单位：km</w:t>
      </w:r>
      <w:r>
        <w:rPr>
          <w:b w:val="0"/>
          <w:color w:val="auto"/>
          <w:sz w:val="21"/>
          <w:szCs w:val="21"/>
          <w:highlight w:val="none"/>
          <w:vertAlign w:val="superscript"/>
        </w:rPr>
        <w:t>2</w:t>
      </w:r>
    </w:p>
    <w:tbl>
      <w:tblPr>
        <w:tblStyle w:val="30"/>
        <w:tblW w:w="8528" w:type="dxa"/>
        <w:tblInd w:w="0" w:type="dxa"/>
        <w:tblLayout w:type="fixed"/>
        <w:tblCellMar>
          <w:top w:w="0" w:type="dxa"/>
          <w:left w:w="108" w:type="dxa"/>
          <w:bottom w:w="0" w:type="dxa"/>
          <w:right w:w="108" w:type="dxa"/>
        </w:tblCellMar>
      </w:tblPr>
      <w:tblGrid>
        <w:gridCol w:w="672"/>
        <w:gridCol w:w="3256"/>
        <w:gridCol w:w="1546"/>
        <w:gridCol w:w="1510"/>
        <w:gridCol w:w="1544"/>
      </w:tblGrid>
      <w:tr>
        <w:tblPrEx>
          <w:tblLayout w:type="fixed"/>
          <w:tblCellMar>
            <w:top w:w="0" w:type="dxa"/>
            <w:left w:w="108" w:type="dxa"/>
            <w:bottom w:w="0" w:type="dxa"/>
            <w:right w:w="108" w:type="dxa"/>
          </w:tblCellMar>
        </w:tblPrEx>
        <w:trPr>
          <w:trHeight w:val="54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3256"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名称</w:t>
            </w:r>
          </w:p>
        </w:tc>
        <w:tc>
          <w:tcPr>
            <w:tcW w:w="1546"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近期规模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2022-2025</w:t>
            </w:r>
            <w:r>
              <w:rPr>
                <w:rFonts w:hint="eastAsia" w:eastAsia="宋体" w:cs="Times New Roman"/>
                <w:b/>
                <w:bCs/>
                <w:color w:val="auto"/>
                <w:kern w:val="0"/>
                <w:sz w:val="22"/>
                <w:szCs w:val="22"/>
                <w:highlight w:val="none"/>
                <w:lang w:eastAsia="zh-CN"/>
              </w:rPr>
              <w:t>）</w:t>
            </w:r>
          </w:p>
        </w:tc>
        <w:tc>
          <w:tcPr>
            <w:tcW w:w="151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远期规模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2026-2030</w:t>
            </w:r>
            <w:r>
              <w:rPr>
                <w:rFonts w:hint="eastAsia" w:eastAsia="宋体" w:cs="Times New Roman"/>
                <w:b/>
                <w:bCs/>
                <w:color w:val="auto"/>
                <w:kern w:val="0"/>
                <w:sz w:val="22"/>
                <w:szCs w:val="22"/>
                <w:highlight w:val="none"/>
                <w:lang w:eastAsia="zh-CN"/>
              </w:rPr>
              <w:t>）</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总体规模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2022-2030</w:t>
            </w:r>
            <w:r>
              <w:rPr>
                <w:rFonts w:hint="eastAsia" w:eastAsia="宋体" w:cs="Times New Roman"/>
                <w:b/>
                <w:bCs/>
                <w:color w:val="auto"/>
                <w:kern w:val="0"/>
                <w:sz w:val="22"/>
                <w:szCs w:val="22"/>
                <w:highlight w:val="none"/>
                <w:lang w:eastAsia="zh-CN"/>
              </w:rPr>
              <w:t>）</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土博镇梅里村梅里屯水土保持重点预防项目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2</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进德镇岜公塘湿地公园水土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1.07</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1.07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3</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百朋镇百朋荷苑景区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0.79</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0.79</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4</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w:t>
            </w:r>
            <w:r>
              <w:rPr>
                <w:rFonts w:hint="eastAsia" w:eastAsia="宋体" w:cs="Times New Roman"/>
                <w:color w:val="auto"/>
                <w:kern w:val="0"/>
                <w:sz w:val="22"/>
                <w:szCs w:val="22"/>
                <w:highlight w:val="none"/>
              </w:rPr>
              <w:t>古岭龙景区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0.13</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0.13</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羊占度假庄园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0.05</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0.05</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6</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晋航农业生态园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0.70</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0.70</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7</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紫藤花农庄</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0.04</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0.04</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8</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w:t>
            </w:r>
            <w:r>
              <w:rPr>
                <w:rFonts w:hint="eastAsia" w:eastAsia="宋体" w:cs="Times New Roman"/>
                <w:color w:val="auto"/>
                <w:kern w:val="0"/>
                <w:sz w:val="22"/>
                <w:szCs w:val="22"/>
                <w:highlight w:val="none"/>
                <w:lang w:val="en-US" w:eastAsia="zh-CN"/>
              </w:rPr>
              <w:t>和村庄园水土</w:t>
            </w:r>
            <w:r>
              <w:rPr>
                <w:rFonts w:eastAsia="宋体" w:cs="Times New Roman"/>
                <w:color w:val="auto"/>
                <w:kern w:val="0"/>
                <w:sz w:val="22"/>
                <w:szCs w:val="22"/>
                <w:highlight w:val="none"/>
              </w:rPr>
              <w:t>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0.07</w:t>
            </w: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hint="eastAsia" w:eastAsia="宋体" w:cs="Times New Roman"/>
                <w:color w:val="auto"/>
                <w:kern w:val="0"/>
                <w:sz w:val="22"/>
                <w:szCs w:val="22"/>
                <w:highlight w:val="none"/>
                <w:lang w:val="en-US" w:eastAsia="zh-CN"/>
              </w:rPr>
              <w:t>9</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百朋镇百朋水厂水源地水土保持重点预防项目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hint="eastAsia" w:eastAsia="宋体" w:cs="Times New Roman"/>
                <w:color w:val="auto"/>
                <w:kern w:val="0"/>
                <w:sz w:val="22"/>
                <w:szCs w:val="22"/>
                <w:highlight w:val="none"/>
                <w:lang w:val="en-US" w:eastAsia="zh-CN"/>
              </w:rPr>
              <w:t>10</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成团镇北弓水厂水源地水土保持重点预防项目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11</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三都镇三都水厂水源地水土保持重点预防项目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12</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里高镇里高水厂水源地水土保持重点预防项目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13</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穿山镇雄良水厂水源地水土保持重点预防项目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14</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土博镇土博水厂水源地水土保持重点预防项目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15</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穿山镇思荣村思炉屯水源地水土保持重点预防项目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16</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穿山镇竹山村竹山屯水源地水土保持重点预防项目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r>
      <w:tr>
        <w:tblPrEx>
          <w:tblLayout w:type="fixed"/>
          <w:tblCellMar>
            <w:top w:w="0" w:type="dxa"/>
            <w:left w:w="108" w:type="dxa"/>
            <w:bottom w:w="0" w:type="dxa"/>
            <w:right w:w="108" w:type="dxa"/>
          </w:tblCellMar>
        </w:tblPrEx>
        <w:trPr>
          <w:trHeight w:val="229"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17</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穿山镇龙平村弓村屯水源地水土保持重点预防项目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r>
      <w:tr>
        <w:tblPrEx>
          <w:tblLayout w:type="fixed"/>
          <w:tblCellMar>
            <w:top w:w="0" w:type="dxa"/>
            <w:left w:w="108" w:type="dxa"/>
            <w:bottom w:w="0" w:type="dxa"/>
            <w:right w:w="108" w:type="dxa"/>
          </w:tblCellMar>
        </w:tblPrEx>
        <w:trPr>
          <w:trHeight w:val="285" w:hRule="atLeast"/>
        </w:trPr>
        <w:tc>
          <w:tcPr>
            <w:tcW w:w="67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color w:val="auto"/>
                <w:kern w:val="0"/>
                <w:sz w:val="22"/>
                <w:szCs w:val="22"/>
                <w:highlight w:val="none"/>
                <w:lang w:eastAsia="zh-CN"/>
              </w:rPr>
            </w:pPr>
            <w:r>
              <w:rPr>
                <w:rFonts w:eastAsia="宋体" w:cs="Times New Roman"/>
                <w:color w:val="auto"/>
                <w:kern w:val="0"/>
                <w:sz w:val="22"/>
                <w:szCs w:val="22"/>
                <w:highlight w:val="none"/>
              </w:rPr>
              <w:t>1</w:t>
            </w:r>
            <w:r>
              <w:rPr>
                <w:rFonts w:hint="eastAsia" w:eastAsia="宋体" w:cs="Times New Roman"/>
                <w:color w:val="auto"/>
                <w:kern w:val="0"/>
                <w:sz w:val="22"/>
                <w:szCs w:val="22"/>
                <w:highlight w:val="none"/>
                <w:lang w:val="en-US" w:eastAsia="zh-CN"/>
              </w:rPr>
              <w:t>8</w:t>
            </w:r>
          </w:p>
        </w:tc>
        <w:tc>
          <w:tcPr>
            <w:tcW w:w="325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北之江柳江</w:t>
            </w:r>
            <w:r>
              <w:rPr>
                <w:rFonts w:hint="eastAsia" w:eastAsia="宋体" w:cs="Times New Roman"/>
                <w:color w:val="auto"/>
                <w:kern w:val="0"/>
                <w:sz w:val="22"/>
                <w:szCs w:val="22"/>
                <w:highlight w:val="none"/>
                <w:lang w:eastAsia="zh-CN"/>
              </w:rPr>
              <w:t>－</w:t>
            </w:r>
            <w:r>
              <w:rPr>
                <w:rFonts w:eastAsia="宋体" w:cs="Times New Roman"/>
                <w:color w:val="auto"/>
                <w:kern w:val="0"/>
                <w:sz w:val="22"/>
                <w:szCs w:val="22"/>
                <w:highlight w:val="none"/>
              </w:rPr>
              <w:t>忻城源头水保护区水土保持重点预防项目</w:t>
            </w:r>
          </w:p>
        </w:tc>
        <w:tc>
          <w:tcPr>
            <w:tcW w:w="154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15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r>
      <w:tr>
        <w:tblPrEx>
          <w:tblLayout w:type="fixed"/>
          <w:tblCellMar>
            <w:top w:w="0" w:type="dxa"/>
            <w:left w:w="108" w:type="dxa"/>
            <w:bottom w:w="0" w:type="dxa"/>
            <w:right w:w="108" w:type="dxa"/>
          </w:tblCellMar>
        </w:tblPrEx>
        <w:trPr>
          <w:trHeight w:val="285" w:hRule="atLeast"/>
        </w:trPr>
        <w:tc>
          <w:tcPr>
            <w:tcW w:w="3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154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24.65</w:t>
            </w:r>
          </w:p>
        </w:tc>
        <w:tc>
          <w:tcPr>
            <w:tcW w:w="151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宋体" w:cs="Times New Roman"/>
                <w:color w:val="auto"/>
                <w:kern w:val="0"/>
                <w:sz w:val="22"/>
                <w:szCs w:val="22"/>
                <w:highlight w:val="none"/>
              </w:rPr>
              <w:t>31.85</w:t>
            </w:r>
          </w:p>
        </w:tc>
        <w:tc>
          <w:tcPr>
            <w:tcW w:w="154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56.50</w:t>
            </w:r>
          </w:p>
        </w:tc>
      </w:tr>
    </w:tbl>
    <w:p>
      <w:pPr>
        <w:pStyle w:val="49"/>
        <w:spacing w:beforeLines="0" w:line="240" w:lineRule="atLeast"/>
        <w:ind w:firstLine="0" w:firstLineChars="0"/>
        <w:jc w:val="right"/>
        <w:rPr>
          <w:b w:val="0"/>
          <w:color w:val="auto"/>
          <w:sz w:val="21"/>
          <w:szCs w:val="21"/>
          <w:highlight w:val="none"/>
          <w:vertAlign w:val="superscript"/>
        </w:rPr>
      </w:pPr>
    </w:p>
    <w:p>
      <w:pPr>
        <w:pStyle w:val="4"/>
        <w:numPr>
          <w:ilvl w:val="0"/>
          <w:numId w:val="0"/>
        </w:numPr>
        <w:spacing w:before="156"/>
        <w:ind w:left="862" w:hanging="720"/>
        <w:rPr>
          <w:color w:val="auto"/>
          <w:highlight w:val="none"/>
          <w:lang w:val="en-GB"/>
        </w:rPr>
      </w:pPr>
      <w:bookmarkStart w:id="542" w:name="_Toc29355"/>
      <w:bookmarkStart w:id="543" w:name="_Toc119515956"/>
      <w:bookmarkStart w:id="544" w:name="_Toc21502"/>
      <w:r>
        <w:rPr>
          <w:color w:val="auto"/>
          <w:highlight w:val="none"/>
          <w:lang w:val="en-GB"/>
        </w:rPr>
        <w:t>10.2.2重点治理工程</w:t>
      </w:r>
      <w:bookmarkEnd w:id="542"/>
      <w:bookmarkEnd w:id="543"/>
      <w:bookmarkEnd w:id="544"/>
    </w:p>
    <w:p>
      <w:pPr>
        <w:ind w:firstLineChars="0"/>
        <w:rPr>
          <w:rFonts w:eastAsia="华文仿宋" w:cs="Times New Roman"/>
          <w:color w:val="auto"/>
          <w:highlight w:val="none"/>
          <w:lang w:val="en-GB"/>
        </w:rPr>
      </w:pPr>
      <w:bookmarkStart w:id="545" w:name="_Toc15067"/>
      <w:bookmarkStart w:id="546" w:name="_Toc528946030"/>
      <w:bookmarkStart w:id="547" w:name="_Toc482812804"/>
      <w:bookmarkStart w:id="548" w:name="_Toc90399122"/>
      <w:r>
        <w:rPr>
          <w:rFonts w:cs="Times New Roman"/>
          <w:color w:val="auto"/>
          <w:highlight w:val="none"/>
        </w:rPr>
        <w:t>本次规划确定，近期（2022</w:t>
      </w:r>
      <w:r>
        <w:rPr>
          <w:rFonts w:hint="eastAsia" w:cs="Times New Roman"/>
          <w:color w:val="auto"/>
          <w:highlight w:val="none"/>
          <w:lang w:eastAsia="zh-CN"/>
        </w:rPr>
        <w:t>—</w:t>
      </w:r>
      <w:r>
        <w:rPr>
          <w:rFonts w:cs="Times New Roman"/>
          <w:color w:val="auto"/>
          <w:highlight w:val="none"/>
        </w:rPr>
        <w:t>2025年）在里高镇、成团镇等2个镇实施2个小流域水土流失综合治理工程，全部采用生态清洁型的治理模式，计划完成水土流失治理面积</w:t>
      </w:r>
      <w:r>
        <w:rPr>
          <w:rFonts w:hint="eastAsia" w:cs="Times New Roman"/>
          <w:color w:val="auto"/>
          <w:highlight w:val="none"/>
          <w:lang w:val="en-US" w:eastAsia="zh-CN"/>
        </w:rPr>
        <w:t>20</w:t>
      </w:r>
      <w:r>
        <w:rPr>
          <w:rFonts w:cs="Times New Roman"/>
          <w:color w:val="auto"/>
          <w:highlight w:val="none"/>
        </w:rPr>
        <w:t>km</w:t>
      </w:r>
      <w:r>
        <w:rPr>
          <w:rFonts w:cs="Times New Roman"/>
          <w:color w:val="auto"/>
          <w:highlight w:val="none"/>
          <w:vertAlign w:val="superscript"/>
        </w:rPr>
        <w:t>2</w:t>
      </w:r>
      <w:r>
        <w:rPr>
          <w:rFonts w:cs="Times New Roman"/>
          <w:color w:val="auto"/>
          <w:highlight w:val="none"/>
        </w:rPr>
        <w:t>。近期规划治理项目建设规模及任务详见表</w:t>
      </w:r>
      <w:r>
        <w:rPr>
          <w:rFonts w:eastAsia="华文仿宋" w:cs="Times New Roman"/>
          <w:color w:val="auto"/>
          <w:highlight w:val="none"/>
        </w:rPr>
        <w:t>10.2-2。</w:t>
      </w:r>
    </w:p>
    <w:p>
      <w:pPr>
        <w:pStyle w:val="49"/>
        <w:spacing w:before="156"/>
        <w:ind w:firstLine="0" w:firstLineChars="0"/>
        <w:rPr>
          <w:color w:val="auto"/>
          <w:highlight w:val="none"/>
        </w:rPr>
      </w:pPr>
      <w:r>
        <w:rPr>
          <w:color w:val="auto"/>
          <w:highlight w:val="none"/>
        </w:rPr>
        <w:t>表10.2-2  近期重点治理项目规划表</w:t>
      </w:r>
    </w:p>
    <w:p>
      <w:pPr>
        <w:pStyle w:val="49"/>
        <w:spacing w:beforeLines="0" w:line="240" w:lineRule="atLeast"/>
        <w:ind w:right="420" w:firstLine="0" w:firstLineChars="0"/>
        <w:jc w:val="right"/>
        <w:rPr>
          <w:b w:val="0"/>
          <w:color w:val="auto"/>
          <w:sz w:val="21"/>
          <w:szCs w:val="21"/>
          <w:highlight w:val="none"/>
          <w:vertAlign w:val="superscript"/>
        </w:rPr>
      </w:pPr>
      <w:r>
        <w:rPr>
          <w:b w:val="0"/>
          <w:color w:val="auto"/>
          <w:sz w:val="21"/>
          <w:szCs w:val="21"/>
          <w:highlight w:val="none"/>
        </w:rPr>
        <w:t>单位：km</w:t>
      </w:r>
      <w:r>
        <w:rPr>
          <w:b w:val="0"/>
          <w:color w:val="auto"/>
          <w:sz w:val="21"/>
          <w:szCs w:val="21"/>
          <w:highlight w:val="none"/>
          <w:vertAlign w:val="superscript"/>
        </w:rPr>
        <w:t>2</w:t>
      </w:r>
    </w:p>
    <w:tbl>
      <w:tblPr>
        <w:tblStyle w:val="30"/>
        <w:tblW w:w="7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304"/>
        <w:gridCol w:w="1308"/>
        <w:gridCol w:w="109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623"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序号</w:t>
            </w:r>
          </w:p>
        </w:tc>
        <w:tc>
          <w:tcPr>
            <w:tcW w:w="3304"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项目名称</w:t>
            </w:r>
          </w:p>
        </w:tc>
        <w:tc>
          <w:tcPr>
            <w:tcW w:w="1308"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拟实施年度</w:t>
            </w:r>
          </w:p>
        </w:tc>
        <w:tc>
          <w:tcPr>
            <w:tcW w:w="1097"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建设地点</w:t>
            </w:r>
          </w:p>
        </w:tc>
        <w:tc>
          <w:tcPr>
            <w:tcW w:w="1381"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拟治理面积</w:t>
            </w:r>
          </w:p>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（km</w:t>
            </w:r>
            <w:r>
              <w:rPr>
                <w:rFonts w:eastAsia="黑体" w:cs="Times New Roman"/>
                <w:color w:val="auto"/>
                <w:sz w:val="21"/>
                <w:szCs w:val="21"/>
                <w:highlight w:val="none"/>
                <w:vertAlign w:val="superscript"/>
              </w:rPr>
              <w:t>2</w:t>
            </w:r>
            <w:r>
              <w:rPr>
                <w:rFonts w:eastAsia="黑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exact"/>
          <w:jc w:val="center"/>
        </w:trPr>
        <w:tc>
          <w:tcPr>
            <w:tcW w:w="623"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w:t>
            </w:r>
          </w:p>
        </w:tc>
        <w:tc>
          <w:tcPr>
            <w:tcW w:w="3304"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柳江区里高镇牛腊河清洁型小流域水土保持治理工程</w:t>
            </w:r>
          </w:p>
        </w:tc>
        <w:tc>
          <w:tcPr>
            <w:tcW w:w="1308"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2023</w:t>
            </w:r>
          </w:p>
        </w:tc>
        <w:tc>
          <w:tcPr>
            <w:tcW w:w="1097"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里高镇</w:t>
            </w:r>
          </w:p>
        </w:tc>
        <w:tc>
          <w:tcPr>
            <w:tcW w:w="1381"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623" w:type="dxa"/>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w:t>
            </w:r>
          </w:p>
        </w:tc>
        <w:tc>
          <w:tcPr>
            <w:tcW w:w="3304" w:type="dxa"/>
            <w:vAlign w:val="center"/>
          </w:tcPr>
          <w:p>
            <w:pPr>
              <w:snapToGrid w:val="0"/>
              <w:spacing w:line="240" w:lineRule="auto"/>
              <w:ind w:firstLine="0" w:firstLineChars="0"/>
              <w:jc w:val="center"/>
              <w:rPr>
                <w:rFonts w:cs="Times New Roman"/>
                <w:color w:val="auto"/>
                <w:sz w:val="22"/>
                <w:szCs w:val="22"/>
                <w:highlight w:val="none"/>
              </w:rPr>
            </w:pPr>
            <w:r>
              <w:rPr>
                <w:rFonts w:cs="Times New Roman"/>
                <w:color w:val="auto"/>
                <w:sz w:val="22"/>
                <w:szCs w:val="22"/>
                <w:highlight w:val="none"/>
              </w:rPr>
              <w:t>柳江区成团镇莲花河清洁型小流域水土保持治理工程</w:t>
            </w:r>
          </w:p>
        </w:tc>
        <w:tc>
          <w:tcPr>
            <w:tcW w:w="1308" w:type="dxa"/>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2025</w:t>
            </w:r>
          </w:p>
        </w:tc>
        <w:tc>
          <w:tcPr>
            <w:tcW w:w="1097"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hint="eastAsia" w:cs="Times New Roman"/>
                <w:color w:val="auto"/>
                <w:sz w:val="21"/>
                <w:szCs w:val="21"/>
                <w:highlight w:val="none"/>
              </w:rPr>
              <w:t>成团镇</w:t>
            </w:r>
          </w:p>
        </w:tc>
        <w:tc>
          <w:tcPr>
            <w:tcW w:w="1381" w:type="dxa"/>
            <w:shd w:val="clear" w:color="auto" w:fill="auto"/>
            <w:vAlign w:val="center"/>
          </w:tcPr>
          <w:p>
            <w:pPr>
              <w:snapToGrid w:val="0"/>
              <w:spacing w:line="240" w:lineRule="auto"/>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6332" w:type="dxa"/>
            <w:gridSpan w:val="4"/>
            <w:vAlign w:val="center"/>
          </w:tcPr>
          <w:p>
            <w:pPr>
              <w:snapToGrid w:val="0"/>
              <w:spacing w:line="240" w:lineRule="auto"/>
              <w:ind w:firstLine="0" w:firstLineChars="0"/>
              <w:jc w:val="center"/>
              <w:rPr>
                <w:rFonts w:cs="Times New Roman"/>
                <w:b/>
                <w:bCs/>
                <w:color w:val="auto"/>
                <w:sz w:val="21"/>
                <w:szCs w:val="21"/>
                <w:highlight w:val="none"/>
              </w:rPr>
            </w:pPr>
            <w:r>
              <w:rPr>
                <w:rFonts w:cs="Times New Roman"/>
                <w:b/>
                <w:bCs/>
                <w:color w:val="auto"/>
                <w:sz w:val="21"/>
                <w:szCs w:val="21"/>
                <w:highlight w:val="none"/>
              </w:rPr>
              <w:t>合计</w:t>
            </w:r>
          </w:p>
        </w:tc>
        <w:tc>
          <w:tcPr>
            <w:tcW w:w="1381" w:type="dxa"/>
            <w:shd w:val="clear" w:color="auto" w:fill="auto"/>
            <w:vAlign w:val="center"/>
          </w:tcPr>
          <w:p>
            <w:pPr>
              <w:snapToGrid w:val="0"/>
              <w:spacing w:line="240" w:lineRule="auto"/>
              <w:ind w:firstLine="0" w:firstLineChars="0"/>
              <w:jc w:val="center"/>
              <w:rPr>
                <w:rFonts w:hint="default" w:eastAsia="仿宋"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20</w:t>
            </w:r>
          </w:p>
        </w:tc>
      </w:tr>
    </w:tbl>
    <w:p>
      <w:pPr>
        <w:pStyle w:val="3"/>
        <w:spacing w:before="156"/>
        <w:ind w:firstLine="602"/>
        <w:rPr>
          <w:color w:val="auto"/>
          <w:highlight w:val="none"/>
        </w:rPr>
      </w:pPr>
      <w:bookmarkStart w:id="549" w:name="_Toc119515957"/>
      <w:bookmarkStart w:id="550" w:name="_Toc29596"/>
      <w:r>
        <w:rPr>
          <w:color w:val="auto"/>
          <w:highlight w:val="none"/>
        </w:rPr>
        <w:t>10.3投资匡算</w:t>
      </w:r>
      <w:bookmarkEnd w:id="545"/>
      <w:bookmarkEnd w:id="546"/>
      <w:bookmarkEnd w:id="547"/>
      <w:bookmarkEnd w:id="548"/>
      <w:bookmarkEnd w:id="549"/>
      <w:bookmarkEnd w:id="550"/>
    </w:p>
    <w:p>
      <w:pPr>
        <w:pStyle w:val="4"/>
        <w:spacing w:before="156"/>
        <w:ind w:firstLine="562"/>
        <w:rPr>
          <w:color w:val="auto"/>
          <w:highlight w:val="none"/>
          <w:lang w:val="en-GB"/>
        </w:rPr>
      </w:pPr>
      <w:bookmarkStart w:id="551" w:name="_Toc119515958"/>
      <w:bookmarkStart w:id="552" w:name="_Toc2229"/>
      <w:bookmarkStart w:id="553" w:name="_Toc23718"/>
      <w:r>
        <w:rPr>
          <w:color w:val="auto"/>
          <w:highlight w:val="none"/>
          <w:lang w:val="en-GB"/>
        </w:rPr>
        <w:t>10.3.1匡算原则</w:t>
      </w:r>
      <w:bookmarkEnd w:id="551"/>
      <w:bookmarkEnd w:id="552"/>
      <w:bookmarkEnd w:id="553"/>
    </w:p>
    <w:p>
      <w:pPr>
        <w:autoSpaceDE w:val="0"/>
        <w:autoSpaceDN w:val="0"/>
        <w:rPr>
          <w:rFonts w:cs="Times New Roman"/>
          <w:color w:val="auto"/>
          <w:highlight w:val="none"/>
        </w:rPr>
      </w:pPr>
      <w:r>
        <w:rPr>
          <w:rFonts w:cs="Times New Roman"/>
          <w:color w:val="auto"/>
          <w:highlight w:val="none"/>
        </w:rPr>
        <w:t>根据《水土保持规划编制规范》（SL335-2014）规定，本次采用综合指标法匡算规划投资，</w:t>
      </w:r>
      <w:r>
        <w:rPr>
          <w:rFonts w:cs="Times New Roman"/>
          <w:color w:val="auto"/>
          <w:highlight w:val="none"/>
          <w:lang w:val="en-GB"/>
        </w:rPr>
        <w:t>综合指标依据《广西“十四五”水土保持实施方案》并结合近年水土保持治理情况及国家下达投资资金，统计资料分析确定，其中水土保持重点工程中的小流域水土流失综合治理工程综合单价为53万元/km</w:t>
      </w:r>
      <w:r>
        <w:rPr>
          <w:rFonts w:cs="Times New Roman"/>
          <w:color w:val="auto"/>
          <w:highlight w:val="none"/>
          <w:vertAlign w:val="superscript"/>
          <w:lang w:val="en-GB"/>
        </w:rPr>
        <w:t>2</w:t>
      </w:r>
      <w:r>
        <w:rPr>
          <w:rFonts w:cs="Times New Roman"/>
          <w:color w:val="auto"/>
          <w:highlight w:val="none"/>
          <w:lang w:val="en-GB"/>
        </w:rPr>
        <w:t>；</w:t>
      </w:r>
      <w:r>
        <w:rPr>
          <w:rFonts w:cs="Times New Roman"/>
          <w:color w:val="auto"/>
          <w:highlight w:val="none"/>
        </w:rPr>
        <w:t>水土保持预防保护单价为30万元/km²。水土保持监测、综合监管投资依据历年水土保持综合监管投资资料统计分析确定。</w:t>
      </w:r>
    </w:p>
    <w:p>
      <w:pPr>
        <w:pStyle w:val="4"/>
        <w:spacing w:before="156"/>
        <w:ind w:firstLine="562"/>
        <w:rPr>
          <w:color w:val="auto"/>
          <w:highlight w:val="none"/>
          <w:lang w:val="en-US"/>
        </w:rPr>
      </w:pPr>
      <w:bookmarkStart w:id="554" w:name="_Toc22345"/>
      <w:bookmarkStart w:id="555" w:name="_Toc119515959"/>
      <w:bookmarkStart w:id="556" w:name="_Toc2774"/>
      <w:r>
        <w:rPr>
          <w:color w:val="auto"/>
          <w:highlight w:val="none"/>
          <w:lang w:val="en-GB"/>
        </w:rPr>
        <w:t>10.3.2匡算</w:t>
      </w:r>
      <w:r>
        <w:rPr>
          <w:color w:val="auto"/>
          <w:highlight w:val="none"/>
          <w:lang w:val="en-US"/>
        </w:rPr>
        <w:t>结果</w:t>
      </w:r>
      <w:bookmarkEnd w:id="554"/>
      <w:bookmarkEnd w:id="555"/>
      <w:bookmarkEnd w:id="556"/>
    </w:p>
    <w:p>
      <w:pPr>
        <w:rPr>
          <w:rFonts w:cs="Times New Roman"/>
          <w:color w:val="auto"/>
          <w:highlight w:val="none"/>
        </w:rPr>
      </w:pPr>
      <w:r>
        <w:rPr>
          <w:rFonts w:cs="Times New Roman"/>
          <w:color w:val="auto"/>
          <w:highlight w:val="none"/>
        </w:rPr>
        <w:t>（1）总投资</w:t>
      </w:r>
    </w:p>
    <w:p>
      <w:pPr>
        <w:rPr>
          <w:rFonts w:cs="Times New Roman"/>
          <w:color w:val="auto"/>
          <w:highlight w:val="none"/>
        </w:rPr>
      </w:pPr>
      <w:r>
        <w:rPr>
          <w:rFonts w:cs="Times New Roman"/>
          <w:color w:val="auto"/>
          <w:highlight w:val="none"/>
          <w:lang w:val="en-GB"/>
        </w:rPr>
        <w:t>根据匡算，柳江区水土保持规划总投资</w:t>
      </w:r>
      <w:r>
        <w:rPr>
          <w:rFonts w:hint="eastAsia" w:cs="Times New Roman"/>
          <w:color w:val="auto"/>
          <w:highlight w:val="none"/>
          <w:lang w:val="en-GB"/>
        </w:rPr>
        <w:t>6121.21</w:t>
      </w:r>
      <w:r>
        <w:rPr>
          <w:rFonts w:cs="Times New Roman"/>
          <w:color w:val="auto"/>
          <w:highlight w:val="none"/>
          <w:lang w:val="en-GB"/>
        </w:rPr>
        <w:t>万元。其中，</w:t>
      </w:r>
      <w:r>
        <w:rPr>
          <w:rFonts w:cs="Times New Roman"/>
          <w:color w:val="auto"/>
          <w:highlight w:val="none"/>
        </w:rPr>
        <w:t>水土保持预防保护投资</w:t>
      </w:r>
      <w:r>
        <w:rPr>
          <w:rFonts w:hint="eastAsia" w:cs="Times New Roman"/>
          <w:color w:val="auto"/>
          <w:highlight w:val="none"/>
        </w:rPr>
        <w:t>1695</w:t>
      </w:r>
      <w:r>
        <w:rPr>
          <w:rFonts w:cs="Times New Roman"/>
          <w:color w:val="auto"/>
          <w:highlight w:val="none"/>
        </w:rPr>
        <w:t>万元，</w:t>
      </w:r>
      <w:r>
        <w:rPr>
          <w:rFonts w:cs="Times New Roman"/>
          <w:color w:val="auto"/>
          <w:highlight w:val="none"/>
          <w:lang w:val="en-GB"/>
        </w:rPr>
        <w:t>水土流失</w:t>
      </w:r>
      <w:r>
        <w:rPr>
          <w:rFonts w:cs="Times New Roman"/>
          <w:color w:val="auto"/>
          <w:highlight w:val="none"/>
        </w:rPr>
        <w:t>综合治理</w:t>
      </w:r>
      <w:r>
        <w:rPr>
          <w:rFonts w:cs="Times New Roman"/>
          <w:color w:val="auto"/>
          <w:highlight w:val="none"/>
          <w:lang w:val="en-GB"/>
        </w:rPr>
        <w:t>投资</w:t>
      </w:r>
      <w:r>
        <w:rPr>
          <w:rFonts w:hint="eastAsia" w:cs="Times New Roman"/>
          <w:color w:val="auto"/>
          <w:highlight w:val="none"/>
          <w:lang w:val="en-GB"/>
        </w:rPr>
        <w:t>1726.21</w:t>
      </w:r>
      <w:r>
        <w:rPr>
          <w:rFonts w:cs="Times New Roman"/>
          <w:color w:val="auto"/>
          <w:highlight w:val="none"/>
          <w:lang w:val="en-GB"/>
        </w:rPr>
        <w:t>万元，</w:t>
      </w:r>
      <w:r>
        <w:rPr>
          <w:rFonts w:cs="Times New Roman"/>
          <w:color w:val="auto"/>
          <w:highlight w:val="none"/>
        </w:rPr>
        <w:t>水土保持监测投资900万元，</w:t>
      </w:r>
      <w:r>
        <w:rPr>
          <w:rFonts w:cs="Times New Roman"/>
          <w:color w:val="auto"/>
          <w:highlight w:val="none"/>
          <w:lang w:val="en-GB"/>
        </w:rPr>
        <w:t>水土保持综合监管</w:t>
      </w:r>
      <w:r>
        <w:rPr>
          <w:rFonts w:cs="Times New Roman"/>
          <w:color w:val="auto"/>
          <w:highlight w:val="none"/>
        </w:rPr>
        <w:t>投资1800</w:t>
      </w:r>
      <w:r>
        <w:rPr>
          <w:rFonts w:cs="Times New Roman"/>
          <w:color w:val="auto"/>
          <w:highlight w:val="none"/>
          <w:lang w:val="en-GB"/>
        </w:rPr>
        <w:t>万元</w:t>
      </w:r>
      <w:r>
        <w:rPr>
          <w:rFonts w:cs="Times New Roman"/>
          <w:color w:val="auto"/>
          <w:highlight w:val="none"/>
        </w:rPr>
        <w:t>。</w:t>
      </w:r>
    </w:p>
    <w:p>
      <w:pPr>
        <w:rPr>
          <w:rFonts w:cs="Times New Roman"/>
          <w:color w:val="auto"/>
          <w:highlight w:val="none"/>
        </w:rPr>
      </w:pPr>
      <w:r>
        <w:rPr>
          <w:rFonts w:cs="Times New Roman"/>
          <w:color w:val="auto"/>
          <w:highlight w:val="none"/>
        </w:rPr>
        <w:t>（2）近期投资</w:t>
      </w:r>
    </w:p>
    <w:p>
      <w:pPr>
        <w:rPr>
          <w:rFonts w:cs="Times New Roman"/>
          <w:color w:val="auto"/>
          <w:highlight w:val="none"/>
        </w:rPr>
      </w:pPr>
      <w:r>
        <w:rPr>
          <w:rFonts w:cs="Times New Roman"/>
          <w:color w:val="auto"/>
          <w:highlight w:val="none"/>
          <w:lang w:val="en-GB"/>
        </w:rPr>
        <w:t>柳江区水土保持规划</w:t>
      </w:r>
      <w:r>
        <w:rPr>
          <w:rFonts w:cs="Times New Roman"/>
          <w:color w:val="auto"/>
          <w:highlight w:val="none"/>
        </w:rPr>
        <w:t>近期</w:t>
      </w:r>
      <w:r>
        <w:rPr>
          <w:rFonts w:cs="Times New Roman"/>
          <w:color w:val="auto"/>
          <w:highlight w:val="none"/>
          <w:lang w:val="en-GB"/>
        </w:rPr>
        <w:t>总投资</w:t>
      </w:r>
      <w:r>
        <w:rPr>
          <w:rFonts w:hint="eastAsia" w:cs="Times New Roman"/>
          <w:color w:val="auto"/>
          <w:highlight w:val="none"/>
          <w:lang w:val="en-GB"/>
        </w:rPr>
        <w:t>2999.50</w:t>
      </w:r>
      <w:r>
        <w:rPr>
          <w:rFonts w:cs="Times New Roman"/>
          <w:color w:val="auto"/>
          <w:highlight w:val="none"/>
          <w:lang w:val="en-GB"/>
        </w:rPr>
        <w:t>万元。其中，</w:t>
      </w:r>
      <w:r>
        <w:rPr>
          <w:rFonts w:cs="Times New Roman"/>
          <w:color w:val="auto"/>
          <w:highlight w:val="none"/>
        </w:rPr>
        <w:t>水土保持预防保护近期投资</w:t>
      </w:r>
      <w:r>
        <w:rPr>
          <w:rFonts w:hint="eastAsia" w:cs="Times New Roman"/>
          <w:color w:val="auto"/>
          <w:highlight w:val="none"/>
        </w:rPr>
        <w:t>739.50</w:t>
      </w:r>
      <w:r>
        <w:rPr>
          <w:rFonts w:cs="Times New Roman"/>
          <w:color w:val="auto"/>
          <w:highlight w:val="none"/>
        </w:rPr>
        <w:t>万元，</w:t>
      </w:r>
      <w:r>
        <w:rPr>
          <w:rFonts w:cs="Times New Roman"/>
          <w:color w:val="auto"/>
          <w:highlight w:val="none"/>
          <w:lang w:val="en-GB"/>
        </w:rPr>
        <w:t>水土流失</w:t>
      </w:r>
      <w:r>
        <w:rPr>
          <w:rFonts w:cs="Times New Roman"/>
          <w:color w:val="auto"/>
          <w:highlight w:val="none"/>
        </w:rPr>
        <w:t>综合治理近期</w:t>
      </w:r>
      <w:r>
        <w:rPr>
          <w:rFonts w:cs="Times New Roman"/>
          <w:color w:val="auto"/>
          <w:highlight w:val="none"/>
          <w:lang w:val="en-GB"/>
        </w:rPr>
        <w:t>投资</w:t>
      </w:r>
      <w:r>
        <w:rPr>
          <w:rFonts w:hint="eastAsia" w:cs="Times New Roman"/>
          <w:color w:val="auto"/>
          <w:highlight w:val="none"/>
          <w:lang w:val="en-GB"/>
        </w:rPr>
        <w:t>1060</w:t>
      </w:r>
      <w:r>
        <w:rPr>
          <w:rFonts w:cs="Times New Roman"/>
          <w:color w:val="auto"/>
          <w:highlight w:val="none"/>
          <w:lang w:val="en-GB"/>
        </w:rPr>
        <w:t>万元，</w:t>
      </w:r>
      <w:r>
        <w:rPr>
          <w:rFonts w:cs="Times New Roman"/>
          <w:color w:val="auto"/>
          <w:highlight w:val="none"/>
        </w:rPr>
        <w:t>水土保持监测近期投资400万元，</w:t>
      </w:r>
      <w:r>
        <w:rPr>
          <w:rFonts w:cs="Times New Roman"/>
          <w:color w:val="auto"/>
          <w:highlight w:val="none"/>
          <w:lang w:val="en-GB"/>
        </w:rPr>
        <w:t>水土保持综合监管</w:t>
      </w:r>
      <w:r>
        <w:rPr>
          <w:rFonts w:cs="Times New Roman"/>
          <w:color w:val="auto"/>
          <w:highlight w:val="none"/>
        </w:rPr>
        <w:t>近期投资800</w:t>
      </w:r>
      <w:r>
        <w:rPr>
          <w:rFonts w:cs="Times New Roman"/>
          <w:color w:val="auto"/>
          <w:highlight w:val="none"/>
          <w:lang w:val="en-GB"/>
        </w:rPr>
        <w:t>万元</w:t>
      </w:r>
      <w:r>
        <w:rPr>
          <w:rFonts w:cs="Times New Roman"/>
          <w:color w:val="auto"/>
          <w:highlight w:val="none"/>
        </w:rPr>
        <w:t>。</w:t>
      </w:r>
    </w:p>
    <w:p>
      <w:pPr>
        <w:rPr>
          <w:rFonts w:cs="Times New Roman"/>
          <w:color w:val="auto"/>
          <w:highlight w:val="none"/>
        </w:rPr>
      </w:pPr>
      <w:r>
        <w:rPr>
          <w:rFonts w:cs="Times New Roman"/>
          <w:color w:val="auto"/>
          <w:highlight w:val="none"/>
        </w:rPr>
        <w:t>（3）资金来源</w:t>
      </w:r>
    </w:p>
    <w:p>
      <w:pPr>
        <w:ind w:firstLineChars="0"/>
        <w:rPr>
          <w:rFonts w:cs="Times New Roman"/>
          <w:color w:val="auto"/>
          <w:kern w:val="0"/>
          <w:szCs w:val="21"/>
          <w:highlight w:val="none"/>
        </w:rPr>
      </w:pPr>
      <w:bookmarkStart w:id="557" w:name="_Toc481173503"/>
      <w:r>
        <w:rPr>
          <w:rFonts w:cs="Times New Roman"/>
          <w:color w:val="auto"/>
          <w:kern w:val="0"/>
          <w:szCs w:val="21"/>
          <w:highlight w:val="none"/>
        </w:rPr>
        <w:t>本规划投资匡算由预防保护、综合治理、水土保持监测、综合监管等4部分组成，投资来源主要以地方财政资金为主，统筹融合</w:t>
      </w:r>
      <w:r>
        <w:rPr>
          <w:rFonts w:cs="Times New Roman"/>
          <w:color w:val="auto"/>
          <w:highlight w:val="none"/>
        </w:rPr>
        <w:t>自然资源局等部门以及社会力量投资</w:t>
      </w:r>
      <w:r>
        <w:rPr>
          <w:rFonts w:cs="Times New Roman"/>
          <w:color w:val="auto"/>
          <w:kern w:val="0"/>
          <w:szCs w:val="21"/>
          <w:highlight w:val="none"/>
        </w:rPr>
        <w:t>。</w:t>
      </w:r>
    </w:p>
    <w:p>
      <w:pPr>
        <w:ind w:firstLineChars="0"/>
        <w:rPr>
          <w:rFonts w:cs="Times New Roman"/>
          <w:color w:val="auto"/>
          <w:highlight w:val="none"/>
        </w:rPr>
        <w:sectPr>
          <w:pgSz w:w="11906" w:h="16838"/>
          <w:pgMar w:top="1440" w:right="1797" w:bottom="1440" w:left="1797" w:header="851" w:footer="992" w:gutter="0"/>
          <w:cols w:space="425" w:num="1"/>
          <w:docGrid w:type="lines" w:linePitch="312" w:charSpace="0"/>
        </w:sectPr>
      </w:pPr>
      <w:r>
        <w:rPr>
          <w:rFonts w:cs="Times New Roman"/>
          <w:color w:val="auto"/>
          <w:highlight w:val="none"/>
        </w:rPr>
        <w:t>投资匡算详见表10.3-1。</w:t>
      </w:r>
    </w:p>
    <w:p>
      <w:pPr>
        <w:pStyle w:val="49"/>
        <w:spacing w:before="156"/>
        <w:ind w:firstLine="562"/>
        <w:jc w:val="both"/>
        <w:rPr>
          <w:color w:val="auto"/>
          <w:highlight w:val="none"/>
        </w:rPr>
      </w:pPr>
      <w:r>
        <w:rPr>
          <w:color w:val="auto"/>
          <w:highlight w:val="none"/>
        </w:rPr>
        <w:t>表10.3-1                        柳江区水土保持规划投资匡算表</w:t>
      </w:r>
      <w:bookmarkEnd w:id="557"/>
    </w:p>
    <w:tbl>
      <w:tblPr>
        <w:tblStyle w:val="30"/>
        <w:tblW w:w="13460" w:type="dxa"/>
        <w:tblInd w:w="0" w:type="dxa"/>
        <w:tblLayout w:type="fixed"/>
        <w:tblCellMar>
          <w:top w:w="0" w:type="dxa"/>
          <w:left w:w="108" w:type="dxa"/>
          <w:bottom w:w="0" w:type="dxa"/>
          <w:right w:w="108" w:type="dxa"/>
        </w:tblCellMar>
      </w:tblPr>
      <w:tblGrid>
        <w:gridCol w:w="1103"/>
        <w:gridCol w:w="2681"/>
        <w:gridCol w:w="1513"/>
        <w:gridCol w:w="1618"/>
        <w:gridCol w:w="1586"/>
        <w:gridCol w:w="1731"/>
        <w:gridCol w:w="1586"/>
        <w:gridCol w:w="1642"/>
      </w:tblGrid>
      <w:tr>
        <w:tblPrEx>
          <w:tblLayout w:type="fixed"/>
          <w:tblCellMar>
            <w:top w:w="0" w:type="dxa"/>
            <w:left w:w="108" w:type="dxa"/>
            <w:bottom w:w="0" w:type="dxa"/>
            <w:right w:w="108" w:type="dxa"/>
          </w:tblCellMar>
        </w:tblPrEx>
        <w:trPr>
          <w:trHeight w:val="285" w:hRule="atLeast"/>
        </w:trPr>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2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项目类型</w:t>
            </w:r>
          </w:p>
        </w:tc>
        <w:tc>
          <w:tcPr>
            <w:tcW w:w="1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匡算标准</w:t>
            </w:r>
          </w:p>
        </w:tc>
        <w:tc>
          <w:tcPr>
            <w:tcW w:w="3204"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近期（2022-2025 年）</w:t>
            </w:r>
          </w:p>
        </w:tc>
        <w:tc>
          <w:tcPr>
            <w:tcW w:w="331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远期（2026-2030 年）</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规划总投资</w:t>
            </w:r>
          </w:p>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（万元）</w:t>
            </w:r>
          </w:p>
        </w:tc>
      </w:tr>
      <w:tr>
        <w:tblPrEx>
          <w:tblLayout w:type="fixed"/>
          <w:tblCellMar>
            <w:top w:w="0" w:type="dxa"/>
            <w:left w:w="108" w:type="dxa"/>
            <w:bottom w:w="0" w:type="dxa"/>
            <w:right w:w="108" w:type="dxa"/>
          </w:tblCellMar>
        </w:tblPrEx>
        <w:trPr>
          <w:trHeight w:val="600" w:hRule="atLeast"/>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规模（km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投资（万元）</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规模（km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投资（万元）</w:t>
            </w: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b/>
                <w:bCs/>
                <w:color w:val="auto"/>
                <w:kern w:val="0"/>
                <w:sz w:val="22"/>
                <w:szCs w:val="22"/>
                <w:highlight w:val="none"/>
              </w:rPr>
            </w:pP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一</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预防保护</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21.80</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739.50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31.85</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955.5</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1695</w:t>
            </w:r>
          </w:p>
        </w:tc>
      </w:tr>
      <w:tr>
        <w:tblPrEx>
          <w:tblLayout w:type="fixed"/>
          <w:tblCellMar>
            <w:top w:w="0" w:type="dxa"/>
            <w:left w:w="108" w:type="dxa"/>
            <w:bottom w:w="0" w:type="dxa"/>
            <w:right w:w="108" w:type="dxa"/>
          </w:tblCellMar>
        </w:tblPrEx>
        <w:trPr>
          <w:trHeight w:val="36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重点区域预防保护</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30</w:t>
            </w:r>
            <w:r>
              <w:rPr>
                <w:rFonts w:eastAsia="宋体" w:cs="Times New Roman"/>
                <w:color w:val="auto"/>
                <w:kern w:val="0"/>
                <w:sz w:val="22"/>
                <w:szCs w:val="22"/>
                <w:highlight w:val="none"/>
              </w:rPr>
              <w:t>万元</w:t>
            </w:r>
            <w:r>
              <w:rPr>
                <w:rFonts w:eastAsia="等线" w:cs="Times New Roman"/>
                <w:color w:val="auto"/>
                <w:kern w:val="0"/>
                <w:sz w:val="22"/>
                <w:szCs w:val="22"/>
                <w:highlight w:val="none"/>
              </w:rPr>
              <w:t>/km</w:t>
            </w:r>
            <w:r>
              <w:rPr>
                <w:rFonts w:eastAsia="等线" w:cs="Times New Roman"/>
                <w:color w:val="auto"/>
                <w:kern w:val="0"/>
                <w:sz w:val="22"/>
                <w:szCs w:val="22"/>
                <w:highlight w:val="none"/>
                <w:vertAlign w:val="superscript"/>
              </w:rPr>
              <w:t>2</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24.65</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739.50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31.85</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955.5</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1695</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二</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综合治理</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20</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1060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12.57</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666.21</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1726.21</w:t>
            </w:r>
          </w:p>
        </w:tc>
      </w:tr>
      <w:tr>
        <w:tblPrEx>
          <w:tblLayout w:type="fixed"/>
          <w:tblCellMar>
            <w:top w:w="0" w:type="dxa"/>
            <w:left w:w="108" w:type="dxa"/>
            <w:bottom w:w="0" w:type="dxa"/>
            <w:right w:w="108" w:type="dxa"/>
          </w:tblCellMar>
        </w:tblPrEx>
        <w:trPr>
          <w:trHeight w:val="36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水土流失综合治理</w:t>
            </w:r>
          </w:p>
        </w:tc>
        <w:tc>
          <w:tcPr>
            <w:tcW w:w="1513"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53</w:t>
            </w:r>
            <w:r>
              <w:rPr>
                <w:rFonts w:eastAsia="宋体" w:cs="Times New Roman"/>
                <w:color w:val="auto"/>
                <w:kern w:val="0"/>
                <w:sz w:val="22"/>
                <w:szCs w:val="22"/>
                <w:highlight w:val="none"/>
              </w:rPr>
              <w:t>万元</w:t>
            </w:r>
            <w:r>
              <w:rPr>
                <w:rFonts w:eastAsia="等线" w:cs="Times New Roman"/>
                <w:color w:val="auto"/>
                <w:kern w:val="0"/>
                <w:sz w:val="22"/>
                <w:szCs w:val="22"/>
                <w:highlight w:val="none"/>
              </w:rPr>
              <w:t>/km</w:t>
            </w:r>
            <w:r>
              <w:rPr>
                <w:rFonts w:eastAsia="等线" w:cs="Times New Roman"/>
                <w:color w:val="auto"/>
                <w:kern w:val="0"/>
                <w:sz w:val="22"/>
                <w:szCs w:val="22"/>
                <w:highlight w:val="none"/>
                <w:vertAlign w:val="superscript"/>
              </w:rPr>
              <w:t>2</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20</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1060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12.57</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666.21</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color w:val="auto"/>
                <w:kern w:val="0"/>
                <w:sz w:val="22"/>
                <w:szCs w:val="22"/>
                <w:highlight w:val="none"/>
                <w:lang w:val="en-US" w:eastAsia="zh-CN"/>
              </w:rPr>
            </w:pPr>
            <w:r>
              <w:rPr>
                <w:rFonts w:hint="eastAsia" w:eastAsia="等线" w:cs="Times New Roman"/>
                <w:color w:val="auto"/>
                <w:kern w:val="0"/>
                <w:sz w:val="22"/>
                <w:szCs w:val="22"/>
                <w:highlight w:val="none"/>
                <w:lang w:val="en-US" w:eastAsia="zh-CN"/>
              </w:rPr>
              <w:t>1726.21</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三</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水土保持监测</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b/>
                <w:bCs/>
                <w:color w:val="auto"/>
                <w:kern w:val="0"/>
                <w:sz w:val="22"/>
                <w:szCs w:val="22"/>
                <w:highlight w:val="none"/>
              </w:rPr>
            </w:pPr>
            <w:r>
              <w:rPr>
                <w:rFonts w:eastAsia="等线" w:cs="Times New Roman"/>
                <w:b/>
                <w:bCs/>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400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500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900</w:t>
            </w:r>
          </w:p>
        </w:tc>
      </w:tr>
      <w:tr>
        <w:tblPrEx>
          <w:tblLayout w:type="fixed"/>
          <w:tblCellMar>
            <w:top w:w="0" w:type="dxa"/>
            <w:left w:w="108" w:type="dxa"/>
            <w:bottom w:w="0" w:type="dxa"/>
            <w:right w:w="108" w:type="dxa"/>
          </w:tblCellMar>
        </w:tblPrEx>
        <w:trPr>
          <w:trHeight w:val="54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生产建设项目水土保持监督性监测</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50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200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250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450</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水土保持特定区域监测</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15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75</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135</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重大水土流失事件监测</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15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75</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135</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4</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水土流失违法事实监测</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20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80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180</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四</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综合监管</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800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r>
              <w:rPr>
                <w:rFonts w:eastAsia="等线" w:cs="Times New Roman"/>
                <w:b/>
                <w:bCs/>
                <w:color w:val="auto"/>
                <w:kern w:val="0"/>
                <w:sz w:val="21"/>
                <w:szCs w:val="21"/>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1000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1800</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1</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监督管理</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80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320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400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720</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2</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科技支撑</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40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360</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2"/>
                <w:szCs w:val="22"/>
                <w:highlight w:val="none"/>
              </w:rPr>
            </w:pPr>
            <w:r>
              <w:rPr>
                <w:rFonts w:eastAsia="等线" w:cs="Times New Roman"/>
                <w:b/>
                <w:bCs/>
                <w:color w:val="auto"/>
                <w:kern w:val="0"/>
                <w:sz w:val="22"/>
                <w:szCs w:val="22"/>
                <w:highlight w:val="none"/>
              </w:rPr>
              <w:t>3</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能力建设</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320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400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720</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3.1</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水土保持信息化建设</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40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160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200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360</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3.2</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教育宣传</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10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40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50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90</w:t>
            </w:r>
          </w:p>
        </w:tc>
      </w:tr>
      <w:tr>
        <w:tblPrEx>
          <w:tblLayout w:type="fixed"/>
          <w:tblCellMar>
            <w:top w:w="0" w:type="dxa"/>
            <w:left w:w="108" w:type="dxa"/>
            <w:bottom w:w="0" w:type="dxa"/>
            <w:right w:w="108" w:type="dxa"/>
          </w:tblCellMar>
        </w:tblPrEx>
        <w:trPr>
          <w:trHeight w:val="300"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3.3</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其他能力建设</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xml:space="preserve">30 </w:t>
            </w:r>
            <w:r>
              <w:rPr>
                <w:rFonts w:eastAsia="宋体" w:cs="Times New Roman"/>
                <w:color w:val="auto"/>
                <w:kern w:val="0"/>
                <w:sz w:val="22"/>
                <w:szCs w:val="22"/>
                <w:highlight w:val="none"/>
              </w:rPr>
              <w:t>万元</w:t>
            </w:r>
            <w:r>
              <w:rPr>
                <w:rFonts w:eastAsia="等线" w:cs="Times New Roman"/>
                <w:color w:val="auto"/>
                <w:kern w:val="0"/>
                <w:sz w:val="22"/>
                <w:szCs w:val="22"/>
                <w:highlight w:val="none"/>
              </w:rPr>
              <w:t>/</w:t>
            </w:r>
            <w:r>
              <w:rPr>
                <w:rFonts w:eastAsia="宋体" w:cs="Times New Roman"/>
                <w:color w:val="auto"/>
                <w:kern w:val="0"/>
                <w:sz w:val="22"/>
                <w:szCs w:val="22"/>
                <w:highlight w:val="none"/>
              </w:rPr>
              <w:t>年</w:t>
            </w:r>
          </w:p>
        </w:tc>
        <w:tc>
          <w:tcPr>
            <w:tcW w:w="161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ind w:firstLine="0" w:firstLineChars="0"/>
              <w:jc w:val="left"/>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120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150</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等线" w:cs="Times New Roman"/>
                <w:color w:val="auto"/>
                <w:kern w:val="0"/>
                <w:sz w:val="22"/>
                <w:szCs w:val="22"/>
                <w:highlight w:val="none"/>
              </w:rPr>
              <w:t>270</w:t>
            </w:r>
          </w:p>
        </w:tc>
      </w:tr>
      <w:tr>
        <w:tblPrEx>
          <w:tblLayout w:type="fixed"/>
          <w:tblCellMar>
            <w:top w:w="0" w:type="dxa"/>
            <w:left w:w="108" w:type="dxa"/>
            <w:bottom w:w="0" w:type="dxa"/>
            <w:right w:w="108" w:type="dxa"/>
          </w:tblCellMar>
        </w:tblPrEx>
        <w:trPr>
          <w:trHeight w:val="285" w:hRule="atLeast"/>
        </w:trPr>
        <w:tc>
          <w:tcPr>
            <w:tcW w:w="1103"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五</w:t>
            </w:r>
          </w:p>
        </w:tc>
        <w:tc>
          <w:tcPr>
            <w:tcW w:w="268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合计</w:t>
            </w:r>
          </w:p>
        </w:tc>
        <w:tc>
          <w:tcPr>
            <w:tcW w:w="151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color w:val="auto"/>
                <w:kern w:val="0"/>
                <w:sz w:val="21"/>
                <w:szCs w:val="21"/>
                <w:highlight w:val="none"/>
              </w:rPr>
            </w:pPr>
            <w:r>
              <w:rPr>
                <w:rFonts w:eastAsia="等线" w:cs="Times New Roman"/>
                <w:color w:val="auto"/>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color w:val="auto"/>
                <w:kern w:val="0"/>
                <w:sz w:val="21"/>
                <w:szCs w:val="21"/>
                <w:highlight w:val="none"/>
              </w:rPr>
            </w:pPr>
            <w:r>
              <w:rPr>
                <w:rFonts w:eastAsia="等线" w:cs="Times New Roman"/>
                <w:color w:val="auto"/>
                <w:kern w:val="0"/>
                <w:sz w:val="21"/>
                <w:szCs w:val="21"/>
                <w:highlight w:val="none"/>
              </w:rPr>
              <w:t>　</w:t>
            </w: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2999.50</w:t>
            </w:r>
          </w:p>
        </w:tc>
        <w:tc>
          <w:tcPr>
            <w:tcW w:w="173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等线" w:cs="Times New Roman"/>
                <w:b/>
                <w:bCs/>
                <w:color w:val="auto"/>
                <w:kern w:val="0"/>
                <w:sz w:val="21"/>
                <w:szCs w:val="21"/>
                <w:highlight w:val="none"/>
              </w:rPr>
            </w:pPr>
          </w:p>
        </w:tc>
        <w:tc>
          <w:tcPr>
            <w:tcW w:w="1586"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3121.71</w:t>
            </w:r>
          </w:p>
        </w:tc>
        <w:tc>
          <w:tcPr>
            <w:tcW w:w="164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default" w:eastAsia="等线" w:cs="Times New Roman"/>
                <w:b/>
                <w:bCs/>
                <w:color w:val="auto"/>
                <w:kern w:val="0"/>
                <w:sz w:val="22"/>
                <w:szCs w:val="22"/>
                <w:highlight w:val="none"/>
                <w:lang w:val="en-US" w:eastAsia="zh-CN"/>
              </w:rPr>
            </w:pPr>
            <w:r>
              <w:rPr>
                <w:rFonts w:hint="eastAsia" w:eastAsia="等线" w:cs="Times New Roman"/>
                <w:b/>
                <w:bCs/>
                <w:color w:val="auto"/>
                <w:kern w:val="0"/>
                <w:sz w:val="22"/>
                <w:szCs w:val="22"/>
                <w:highlight w:val="none"/>
                <w:lang w:val="en-US" w:eastAsia="zh-CN"/>
              </w:rPr>
              <w:t>6121.21</w:t>
            </w:r>
          </w:p>
        </w:tc>
      </w:tr>
    </w:tbl>
    <w:p>
      <w:pPr>
        <w:pStyle w:val="49"/>
        <w:spacing w:before="156"/>
        <w:ind w:firstLine="0" w:firstLineChars="0"/>
        <w:jc w:val="both"/>
        <w:rPr>
          <w:color w:val="auto"/>
          <w:highlight w:val="none"/>
        </w:rPr>
      </w:pPr>
    </w:p>
    <w:p>
      <w:pPr>
        <w:snapToGrid w:val="0"/>
        <w:rPr>
          <w:rFonts w:eastAsia="华文仿宋" w:cs="Times New Roman"/>
          <w:color w:val="auto"/>
          <w:szCs w:val="24"/>
          <w:highlight w:val="none"/>
          <w:lang w:val="en-GB"/>
        </w:rPr>
        <w:sectPr>
          <w:pgSz w:w="16838" w:h="11906" w:orient="landscape"/>
          <w:pgMar w:top="1440" w:right="1797" w:bottom="1440" w:left="1797" w:header="851" w:footer="992" w:gutter="0"/>
          <w:cols w:space="425" w:num="1"/>
          <w:docGrid w:type="linesAndChars" w:linePitch="312" w:charSpace="0"/>
        </w:sectPr>
      </w:pPr>
    </w:p>
    <w:p>
      <w:pPr>
        <w:pStyle w:val="2"/>
        <w:rPr>
          <w:color w:val="auto"/>
          <w:highlight w:val="none"/>
        </w:rPr>
      </w:pPr>
      <w:bookmarkStart w:id="558" w:name="_Toc528946031"/>
      <w:bookmarkStart w:id="559" w:name="_Toc24009"/>
      <w:bookmarkStart w:id="560" w:name="_Toc25751"/>
      <w:bookmarkStart w:id="561" w:name="_Toc119515960"/>
      <w:bookmarkStart w:id="562" w:name="_Toc90399123"/>
      <w:r>
        <w:rPr>
          <w:color w:val="auto"/>
          <w:highlight w:val="none"/>
        </w:rPr>
        <w:t>11 实施效果分析</w:t>
      </w:r>
      <w:bookmarkEnd w:id="558"/>
      <w:bookmarkEnd w:id="559"/>
      <w:bookmarkEnd w:id="560"/>
      <w:bookmarkEnd w:id="561"/>
      <w:bookmarkEnd w:id="562"/>
    </w:p>
    <w:p>
      <w:pPr>
        <w:rPr>
          <w:rFonts w:cs="Times New Roman"/>
          <w:color w:val="auto"/>
          <w:highlight w:val="none"/>
        </w:rPr>
      </w:pPr>
      <w:r>
        <w:rPr>
          <w:rFonts w:cs="Times New Roman"/>
          <w:color w:val="auto"/>
          <w:highlight w:val="none"/>
        </w:rPr>
        <w:t>参照《水土保持综合治理效益计算方法》，结合柳江区水土流失遥感调查结果和综合治理实际情况，估算水土保持措施蓄水保土效益定额，按照规划建设内容进行效益计算分析。</w:t>
      </w:r>
    </w:p>
    <w:p>
      <w:pPr>
        <w:pStyle w:val="3"/>
        <w:spacing w:before="156"/>
        <w:ind w:firstLine="602"/>
        <w:rPr>
          <w:color w:val="auto"/>
          <w:highlight w:val="none"/>
        </w:rPr>
      </w:pPr>
      <w:bookmarkStart w:id="563" w:name="_Toc3419"/>
      <w:bookmarkStart w:id="564" w:name="_Toc528946032"/>
      <w:bookmarkStart w:id="565" w:name="_Toc24573"/>
      <w:bookmarkStart w:id="566" w:name="_Toc482812806"/>
      <w:bookmarkStart w:id="567" w:name="_Toc90399124"/>
      <w:bookmarkStart w:id="568" w:name="_Toc119515961"/>
      <w:r>
        <w:rPr>
          <w:color w:val="auto"/>
          <w:highlight w:val="none"/>
        </w:rPr>
        <w:t>11.1蓄水保土效益</w:t>
      </w:r>
      <w:bookmarkEnd w:id="563"/>
      <w:bookmarkEnd w:id="564"/>
      <w:bookmarkEnd w:id="565"/>
      <w:bookmarkEnd w:id="566"/>
      <w:bookmarkEnd w:id="567"/>
      <w:bookmarkEnd w:id="568"/>
    </w:p>
    <w:p>
      <w:pPr>
        <w:rPr>
          <w:rFonts w:cs="Times New Roman"/>
          <w:color w:val="auto"/>
          <w:highlight w:val="none"/>
        </w:rPr>
      </w:pPr>
      <w:r>
        <w:rPr>
          <w:rFonts w:cs="Times New Roman"/>
          <w:color w:val="auto"/>
          <w:highlight w:val="none"/>
        </w:rPr>
        <w:t>规划期内实施的综合治理工程主要通过布设水保林、经果林、封禁治理等措施治理水土流失，水土保持措施实施后，地表径流大部分就地拦蓄入渗，改善了地表径流状况，增加了土壤含水量，改良土壤肥力，增加地表径流拦蓄，改善坡面排水，减轻坡面和沟道的侵蚀，明显提高当地防洪抗旱能力。</w:t>
      </w:r>
    </w:p>
    <w:p>
      <w:pPr>
        <w:widowControl/>
        <w:rPr>
          <w:rFonts w:cs="Times New Roman"/>
          <w:color w:val="auto"/>
          <w:highlight w:val="none"/>
        </w:rPr>
      </w:pPr>
      <w:bookmarkStart w:id="569" w:name="_Toc528946033"/>
      <w:bookmarkStart w:id="570" w:name="_Toc482812807"/>
      <w:bookmarkStart w:id="571" w:name="_Toc11689"/>
      <w:bookmarkStart w:id="572" w:name="_Toc119515962"/>
      <w:bookmarkStart w:id="573" w:name="_Toc90399125"/>
      <w:r>
        <w:rPr>
          <w:rFonts w:cs="Times New Roman"/>
          <w:color w:val="auto"/>
          <w:highlight w:val="none"/>
        </w:rPr>
        <w:t>为简化计算，本规划已算入配套工程措施，采用平均定额计算蓄水效益和保土效益，主要参考柳江区小流域综合治理工程设计资料确定水保林、经果林和封禁治理措施保存率和措施定额，水保林、经果林的蓄水效益按</w:t>
      </w:r>
      <w:r>
        <w:rPr>
          <w:rFonts w:cs="Times New Roman" w:eastAsiaTheme="minorEastAsia"/>
          <w:color w:val="auto"/>
          <w:kern w:val="0"/>
          <w:szCs w:val="21"/>
          <w:highlight w:val="none"/>
        </w:rPr>
        <w:t>192</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/hm</w:t>
      </w:r>
      <w:r>
        <w:rPr>
          <w:rFonts w:cs="Times New Roman"/>
          <w:color w:val="auto"/>
          <w:highlight w:val="none"/>
          <w:vertAlign w:val="superscript"/>
        </w:rPr>
        <w:t>2</w:t>
      </w:r>
      <w:r>
        <w:rPr>
          <w:rFonts w:cs="Times New Roman"/>
          <w:color w:val="auto"/>
          <w:highlight w:val="none"/>
        </w:rPr>
        <w:t>估算，其保土效益按15t/hm</w:t>
      </w:r>
      <w:r>
        <w:rPr>
          <w:rFonts w:cs="Times New Roman"/>
          <w:color w:val="auto"/>
          <w:highlight w:val="none"/>
          <w:vertAlign w:val="superscript"/>
        </w:rPr>
        <w:t>2</w:t>
      </w:r>
      <w:r>
        <w:rPr>
          <w:rFonts w:cs="Times New Roman"/>
          <w:color w:val="auto"/>
          <w:highlight w:val="none"/>
        </w:rPr>
        <w:t>估算；封禁治理的蓄水效益按</w:t>
      </w:r>
      <w:r>
        <w:rPr>
          <w:rFonts w:cs="Times New Roman" w:eastAsiaTheme="minorEastAsia"/>
          <w:color w:val="auto"/>
          <w:kern w:val="0"/>
          <w:szCs w:val="21"/>
          <w:highlight w:val="none"/>
        </w:rPr>
        <w:t>225</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/hm</w:t>
      </w:r>
      <w:r>
        <w:rPr>
          <w:rFonts w:cs="Times New Roman"/>
          <w:color w:val="auto"/>
          <w:highlight w:val="none"/>
          <w:vertAlign w:val="superscript"/>
        </w:rPr>
        <w:t>2</w:t>
      </w:r>
      <w:r>
        <w:rPr>
          <w:rFonts w:cs="Times New Roman"/>
          <w:color w:val="auto"/>
          <w:highlight w:val="none"/>
        </w:rPr>
        <w:t>估算，其保土效益按10t/hm</w:t>
      </w:r>
      <w:r>
        <w:rPr>
          <w:rFonts w:cs="Times New Roman"/>
          <w:color w:val="auto"/>
          <w:highlight w:val="none"/>
          <w:vertAlign w:val="superscript"/>
        </w:rPr>
        <w:t>2</w:t>
      </w:r>
      <w:r>
        <w:rPr>
          <w:rFonts w:cs="Times New Roman"/>
          <w:color w:val="auto"/>
          <w:highlight w:val="none"/>
        </w:rPr>
        <w:t>估算。</w:t>
      </w:r>
    </w:p>
    <w:p>
      <w:pPr>
        <w:snapToGrid w:val="0"/>
        <w:rPr>
          <w:rFonts w:cs="Times New Roman"/>
          <w:color w:val="auto"/>
          <w:highlight w:val="none"/>
        </w:rPr>
      </w:pPr>
      <w:r>
        <w:rPr>
          <w:rFonts w:cs="Times New Roman"/>
          <w:color w:val="auto"/>
          <w:highlight w:val="none"/>
        </w:rPr>
        <w:t>1、蓄水效益</w:t>
      </w:r>
    </w:p>
    <w:p>
      <w:pPr>
        <w:snapToGrid w:val="0"/>
        <w:rPr>
          <w:rFonts w:cs="Times New Roman"/>
          <w:color w:val="auto"/>
          <w:highlight w:val="none"/>
        </w:rPr>
      </w:pPr>
      <w:r>
        <w:rPr>
          <w:rFonts w:cs="Times New Roman"/>
          <w:color w:val="auto"/>
          <w:highlight w:val="none"/>
        </w:rPr>
        <w:t>水保林、经果林等措施通过改变土壤通透结构增加地表入渗，蓄水池能直接拦蓄径流。</w:t>
      </w:r>
    </w:p>
    <w:p>
      <w:pPr>
        <w:snapToGrid w:val="0"/>
        <w:rPr>
          <w:rFonts w:cs="Times New Roman"/>
          <w:color w:val="auto"/>
          <w:highlight w:val="none"/>
        </w:rPr>
      </w:pPr>
      <w:r>
        <w:rPr>
          <w:rFonts w:cs="Times New Roman"/>
          <w:color w:val="auto"/>
          <w:highlight w:val="none"/>
        </w:rPr>
        <w:t>保水效益的计算公式为：</w:t>
      </w:r>
      <m:oMath>
        <m:sSub>
          <m:sSubPr>
            <m:ctrlPr>
              <w:rPr>
                <w:rFonts w:ascii="Cambria Math" w:hAnsi="Cambria Math" w:cs="Times New Roman"/>
                <w:i/>
                <w:color w:val="auto"/>
                <w:highlight w:val="none"/>
              </w:rPr>
            </m:ctrlPr>
          </m:sSubPr>
          <m:e>
            <m:r>
              <w:rPr>
                <w:rFonts w:ascii="Cambria Math" w:hAnsi="Cambria Math" w:cs="Times New Roman"/>
                <w:color w:val="auto"/>
                <w:highlight w:val="none"/>
              </w:rPr>
              <m:t>W</m:t>
            </m:r>
            <m:ctrlPr>
              <w:rPr>
                <w:rFonts w:ascii="Cambria Math" w:hAnsi="Cambria Math" w:cs="Times New Roman"/>
                <w:i/>
                <w:color w:val="auto"/>
                <w:highlight w:val="none"/>
              </w:rPr>
            </m:ctrlPr>
          </m:e>
          <m:sub>
            <m:r>
              <w:rPr>
                <w:rFonts w:ascii="Cambria Math" w:hAnsi="Cambria Math" w:cs="Times New Roman"/>
                <w:color w:val="auto"/>
                <w:highlight w:val="none"/>
              </w:rPr>
              <m:t>i</m:t>
            </m:r>
            <m:ctrlPr>
              <w:rPr>
                <w:rFonts w:ascii="Cambria Math" w:hAnsi="Cambria Math" w:cs="Times New Roman"/>
                <w:i/>
                <w:color w:val="auto"/>
                <w:highlight w:val="none"/>
              </w:rPr>
            </m:ctrlPr>
          </m:sub>
        </m:sSub>
        <m:r>
          <w:rPr>
            <w:rFonts w:ascii="Cambria Math" w:hAnsi="Cambria Math" w:cs="Times New Roman"/>
            <w:color w:val="auto"/>
            <w:highlight w:val="none"/>
          </w:rPr>
          <m:t>=</m:t>
        </m:r>
        <m:sSub>
          <m:sSubPr>
            <m:ctrlPr>
              <w:rPr>
                <w:rFonts w:ascii="Cambria Math" w:hAnsi="Cambria Math" w:cs="Times New Roman"/>
                <w:i/>
                <w:color w:val="auto"/>
                <w:highlight w:val="none"/>
              </w:rPr>
            </m:ctrlPr>
          </m:sSubPr>
          <m:e>
            <m:r>
              <w:rPr>
                <w:rFonts w:ascii="Cambria Math" w:hAnsi="Cambria Math" w:cs="Times New Roman"/>
                <w:color w:val="auto"/>
                <w:highlight w:val="none"/>
              </w:rPr>
              <m:t>F</m:t>
            </m:r>
            <m:ctrlPr>
              <w:rPr>
                <w:rFonts w:ascii="Cambria Math" w:hAnsi="Cambria Math" w:cs="Times New Roman"/>
                <w:i/>
                <w:color w:val="auto"/>
                <w:highlight w:val="none"/>
              </w:rPr>
            </m:ctrlPr>
          </m:e>
          <m:sub>
            <m:r>
              <w:rPr>
                <w:rFonts w:ascii="Cambria Math" w:hAnsi="Cambria Math" w:cs="Times New Roman"/>
                <w:color w:val="auto"/>
                <w:highlight w:val="none"/>
              </w:rPr>
              <m:t>e</m:t>
            </m:r>
            <m:ctrlPr>
              <w:rPr>
                <w:rFonts w:ascii="Cambria Math" w:hAnsi="Cambria Math" w:cs="Times New Roman"/>
                <w:i/>
                <w:color w:val="auto"/>
                <w:highlight w:val="none"/>
              </w:rPr>
            </m:ctrlPr>
          </m:sub>
        </m:sSub>
        <m:r>
          <w:rPr>
            <w:rFonts w:ascii="Cambria Math" w:hAnsi="Cambria Math" w:eastAsia="MS Mincho" w:cs="Times New Roman"/>
            <w:color w:val="auto"/>
            <w:highlight w:val="none"/>
          </w:rPr>
          <m:t>⋅</m:t>
        </m:r>
        <m:r>
          <w:rPr>
            <w:rFonts w:ascii="Cambria Math" w:hAnsi="Cambria Math" w:cs="Times New Roman"/>
            <w:color w:val="auto"/>
            <w:highlight w:val="none"/>
          </w:rPr>
          <m:t>Δ</m:t>
        </m:r>
        <m:sSub>
          <m:sSubPr>
            <m:ctrlPr>
              <w:rPr>
                <w:rFonts w:ascii="Cambria Math" w:hAnsi="Cambria Math" w:cs="Times New Roman"/>
                <w:i/>
                <w:color w:val="auto"/>
                <w:highlight w:val="none"/>
              </w:rPr>
            </m:ctrlPr>
          </m:sSubPr>
          <m:e>
            <m:r>
              <w:rPr>
                <w:rFonts w:ascii="Cambria Math" w:hAnsi="Cambria Math" w:cs="Times New Roman"/>
                <w:color w:val="auto"/>
                <w:highlight w:val="none"/>
              </w:rPr>
              <m:t>W</m:t>
            </m:r>
            <m:ctrlPr>
              <w:rPr>
                <w:rFonts w:ascii="Cambria Math" w:hAnsi="Cambria Math" w:cs="Times New Roman"/>
                <w:i/>
                <w:color w:val="auto"/>
                <w:highlight w:val="none"/>
              </w:rPr>
            </m:ctrlPr>
          </m:e>
          <m:sub>
            <m:r>
              <w:rPr>
                <w:rFonts w:ascii="Cambria Math" w:hAnsi="Cambria Math" w:cs="Times New Roman"/>
                <w:color w:val="auto"/>
                <w:highlight w:val="none"/>
              </w:rPr>
              <m:t>m</m:t>
            </m:r>
            <m:ctrlPr>
              <w:rPr>
                <w:rFonts w:ascii="Cambria Math" w:hAnsi="Cambria Math" w:cs="Times New Roman"/>
                <w:i/>
                <w:color w:val="auto"/>
                <w:highlight w:val="none"/>
              </w:rPr>
            </m:ctrlPr>
          </m:sub>
        </m:sSub>
      </m:oMath>
    </w:p>
    <w:p>
      <w:pPr>
        <w:snapToGrid w:val="0"/>
        <w:rPr>
          <w:rFonts w:cs="Times New Roman"/>
          <w:color w:val="auto"/>
          <w:highlight w:val="none"/>
        </w:rPr>
      </w:pPr>
      <w:r>
        <w:rPr>
          <w:rFonts w:cs="Times New Roman"/>
          <w:color w:val="auto"/>
          <w:highlight w:val="none"/>
        </w:rPr>
        <w:t>式中：W——某项措施的年保水量，m</w:t>
      </w:r>
      <w:r>
        <w:rPr>
          <w:rFonts w:cs="Times New Roman"/>
          <w:color w:val="auto"/>
          <w:highlight w:val="none"/>
          <w:vertAlign w:val="superscript"/>
        </w:rPr>
        <w:t>3</w:t>
      </w:r>
      <w:r>
        <w:rPr>
          <w:rFonts w:cs="Times New Roman"/>
          <w:color w:val="auto"/>
          <w:highlight w:val="none"/>
        </w:rPr>
        <w:t>；</w:t>
      </w:r>
    </w:p>
    <w:p>
      <w:pPr>
        <w:snapToGrid w:val="0"/>
        <w:rPr>
          <w:rFonts w:cs="Times New Roman"/>
          <w:color w:val="auto"/>
          <w:highlight w:val="none"/>
        </w:rPr>
      </w:pPr>
      <w:r>
        <w:rPr>
          <w:rFonts w:cs="Times New Roman"/>
          <w:color w:val="auto"/>
          <w:highlight w:val="none"/>
        </w:rPr>
        <w:t>Fe——某项措施的有效面积，hm</w:t>
      </w:r>
      <w:r>
        <w:rPr>
          <w:rFonts w:cs="Times New Roman"/>
          <w:color w:val="auto"/>
          <w:highlight w:val="none"/>
          <w:vertAlign w:val="superscript"/>
        </w:rPr>
        <w:t>2</w:t>
      </w:r>
      <w:r>
        <w:rPr>
          <w:rFonts w:cs="Times New Roman"/>
          <w:color w:val="auto"/>
          <w:highlight w:val="none"/>
        </w:rPr>
        <w:t>；</w:t>
      </w:r>
    </w:p>
    <w:p>
      <w:pPr>
        <w:snapToGrid w:val="0"/>
        <w:rPr>
          <w:rFonts w:cs="Times New Roman"/>
          <w:color w:val="auto"/>
          <w:highlight w:val="none"/>
        </w:rPr>
      </w:pPr>
      <m:oMath>
        <m:r>
          <w:rPr>
            <w:rFonts w:ascii="Cambria Math" w:hAnsi="Cambria Math" w:cs="Times New Roman"/>
            <w:color w:val="auto"/>
            <w:highlight w:val="none"/>
          </w:rPr>
          <m:t>Δ</m:t>
        </m:r>
        <m:sSub>
          <m:sSubPr>
            <m:ctrlPr>
              <w:rPr>
                <w:rFonts w:ascii="Cambria Math" w:hAnsi="Cambria Math" w:cs="Times New Roman"/>
                <w:i/>
                <w:color w:val="auto"/>
                <w:highlight w:val="none"/>
              </w:rPr>
            </m:ctrlPr>
          </m:sSubPr>
          <m:e>
            <m:r>
              <w:rPr>
                <w:rFonts w:ascii="Cambria Math" w:hAnsi="Cambria Math" w:cs="Times New Roman"/>
                <w:color w:val="auto"/>
                <w:highlight w:val="none"/>
              </w:rPr>
              <m:t>W</m:t>
            </m:r>
            <m:ctrlPr>
              <w:rPr>
                <w:rFonts w:ascii="Cambria Math" w:hAnsi="Cambria Math" w:cs="Times New Roman"/>
                <w:i/>
                <w:color w:val="auto"/>
                <w:highlight w:val="none"/>
              </w:rPr>
            </m:ctrlPr>
          </m:e>
          <m:sub>
            <m:r>
              <w:rPr>
                <w:rFonts w:ascii="Cambria Math" w:hAnsi="Cambria Math" w:cs="Times New Roman"/>
                <w:color w:val="auto"/>
                <w:highlight w:val="none"/>
              </w:rPr>
              <m:t>m</m:t>
            </m:r>
            <m:ctrlPr>
              <w:rPr>
                <w:rFonts w:ascii="Cambria Math" w:hAnsi="Cambria Math" w:cs="Times New Roman"/>
                <w:i/>
                <w:color w:val="auto"/>
                <w:highlight w:val="none"/>
              </w:rPr>
            </m:ctrlPr>
          </m:sub>
        </m:sSub>
      </m:oMath>
      <w:r>
        <w:rPr>
          <w:rFonts w:cs="Times New Roman"/>
          <w:color w:val="auto"/>
          <w:highlight w:val="none"/>
        </w:rPr>
        <w:t>——措施减少侵蚀模数，m</w:t>
      </w:r>
      <w:r>
        <w:rPr>
          <w:rFonts w:cs="Times New Roman"/>
          <w:color w:val="auto"/>
          <w:highlight w:val="none"/>
          <w:vertAlign w:val="superscript"/>
        </w:rPr>
        <w:t>3</w:t>
      </w:r>
      <w:r>
        <w:rPr>
          <w:rFonts w:cs="Times New Roman"/>
          <w:color w:val="auto"/>
          <w:highlight w:val="none"/>
        </w:rPr>
        <w:t>/hm</w:t>
      </w:r>
      <w:r>
        <w:rPr>
          <w:rFonts w:cs="Times New Roman"/>
          <w:color w:val="auto"/>
          <w:highlight w:val="none"/>
          <w:vertAlign w:val="superscript"/>
        </w:rPr>
        <w:t>2</w:t>
      </w:r>
      <w:r>
        <w:rPr>
          <w:rFonts w:cs="Times New Roman"/>
          <w:color w:val="auto"/>
          <w:highlight w:val="none"/>
        </w:rPr>
        <w:t>。</w:t>
      </w:r>
    </w:p>
    <w:p>
      <w:pPr>
        <w:snapToGrid w:val="0"/>
        <w:rPr>
          <w:rFonts w:cs="Times New Roman"/>
          <w:color w:val="auto"/>
          <w:highlight w:val="none"/>
        </w:rPr>
      </w:pPr>
      <w:r>
        <w:rPr>
          <w:rFonts w:cs="Times New Roman"/>
          <w:color w:val="auto"/>
          <w:highlight w:val="none"/>
        </w:rPr>
        <w:t>2、保土效益</w:t>
      </w:r>
    </w:p>
    <w:p>
      <w:pPr>
        <w:snapToGrid w:val="0"/>
        <w:rPr>
          <w:rFonts w:cs="Times New Roman"/>
          <w:color w:val="auto"/>
          <w:highlight w:val="none"/>
        </w:rPr>
      </w:pPr>
      <w:r>
        <w:rPr>
          <w:rFonts w:cs="Times New Roman"/>
          <w:color w:val="auto"/>
          <w:highlight w:val="none"/>
        </w:rPr>
        <w:t>水保林、经果林等措施增加地表植被减轻面蚀。</w:t>
      </w:r>
    </w:p>
    <w:p>
      <w:pPr>
        <w:snapToGrid w:val="0"/>
        <w:rPr>
          <w:rFonts w:cs="Times New Roman"/>
          <w:color w:val="auto"/>
          <w:highlight w:val="none"/>
        </w:rPr>
      </w:pPr>
      <w:r>
        <w:rPr>
          <w:rFonts w:cs="Times New Roman"/>
          <w:color w:val="auto"/>
          <w:highlight w:val="none"/>
        </w:rPr>
        <w:t>保土效益的计算公式与保水效益相似，为：</w:t>
      </w:r>
    </w:p>
    <w:p>
      <w:pPr>
        <w:snapToGrid w:val="0"/>
        <w:jc w:val="center"/>
        <w:rPr>
          <w:rFonts w:cs="Times New Roman"/>
          <w:color w:val="auto"/>
          <w:highlight w:val="none"/>
        </w:rPr>
      </w:pPr>
      <m:oMathPara>
        <m:oMath>
          <m:sSub>
            <m:sSubPr>
              <m:ctrlPr>
                <w:rPr>
                  <w:rFonts w:ascii="Cambria Math" w:hAnsi="Cambria Math" w:cs="Times New Roman"/>
                  <w:i/>
                  <w:color w:val="auto"/>
                  <w:highlight w:val="none"/>
                </w:rPr>
              </m:ctrlPr>
            </m:sSubPr>
            <m:e>
              <m:r>
                <w:rPr>
                  <w:rFonts w:ascii="Cambria Math" w:hAnsi="Cambria Math" w:cs="Times New Roman"/>
                  <w:color w:val="auto"/>
                  <w:highlight w:val="none"/>
                </w:rPr>
                <m:t>W</m:t>
              </m:r>
              <m:ctrlPr>
                <w:rPr>
                  <w:rFonts w:ascii="Cambria Math" w:hAnsi="Cambria Math" w:cs="Times New Roman"/>
                  <w:i/>
                  <w:color w:val="auto"/>
                  <w:highlight w:val="none"/>
                </w:rPr>
              </m:ctrlPr>
            </m:e>
            <m:sub>
              <m:r>
                <w:rPr>
                  <w:rFonts w:ascii="Cambria Math" w:hAnsi="Cambria Math" w:cs="Times New Roman"/>
                  <w:color w:val="auto"/>
                  <w:highlight w:val="none"/>
                </w:rPr>
                <m:t>s</m:t>
              </m:r>
              <m:ctrlPr>
                <w:rPr>
                  <w:rFonts w:ascii="Cambria Math" w:hAnsi="Cambria Math" w:cs="Times New Roman"/>
                  <w:i/>
                  <w:color w:val="auto"/>
                  <w:highlight w:val="none"/>
                </w:rPr>
              </m:ctrlPr>
            </m:sub>
          </m:sSub>
          <m:r>
            <w:rPr>
              <w:rFonts w:ascii="Cambria Math" w:hAnsi="Cambria Math" w:cs="Times New Roman"/>
              <w:color w:val="auto"/>
              <w:highlight w:val="none"/>
            </w:rPr>
            <m:t>=</m:t>
          </m:r>
          <m:sSub>
            <m:sSubPr>
              <m:ctrlPr>
                <w:rPr>
                  <w:rFonts w:ascii="Cambria Math" w:hAnsi="Cambria Math" w:cs="Times New Roman"/>
                  <w:i/>
                  <w:color w:val="auto"/>
                  <w:highlight w:val="none"/>
                </w:rPr>
              </m:ctrlPr>
            </m:sSubPr>
            <m:e>
              <m:r>
                <w:rPr>
                  <w:rFonts w:ascii="Cambria Math" w:hAnsi="Cambria Math" w:cs="Times New Roman"/>
                  <w:color w:val="auto"/>
                  <w:highlight w:val="none"/>
                </w:rPr>
                <m:t>F</m:t>
              </m:r>
              <m:ctrlPr>
                <w:rPr>
                  <w:rFonts w:ascii="Cambria Math" w:hAnsi="Cambria Math" w:cs="Times New Roman"/>
                  <w:i/>
                  <w:color w:val="auto"/>
                  <w:highlight w:val="none"/>
                </w:rPr>
              </m:ctrlPr>
            </m:e>
            <m:sub>
              <m:r>
                <w:rPr>
                  <w:rFonts w:ascii="Cambria Math" w:hAnsi="Cambria Math" w:cs="Times New Roman"/>
                  <w:color w:val="auto"/>
                  <w:highlight w:val="none"/>
                </w:rPr>
                <m:t>e</m:t>
              </m:r>
              <m:ctrlPr>
                <w:rPr>
                  <w:rFonts w:ascii="Cambria Math" w:hAnsi="Cambria Math" w:cs="Times New Roman"/>
                  <w:i/>
                  <w:color w:val="auto"/>
                  <w:highlight w:val="none"/>
                </w:rPr>
              </m:ctrlPr>
            </m:sub>
          </m:sSub>
          <m:r>
            <w:rPr>
              <w:rFonts w:ascii="Cambria Math" w:hAnsi="Cambria Math" w:eastAsia="MS Mincho" w:cs="Times New Roman"/>
              <w:color w:val="auto"/>
              <w:highlight w:val="none"/>
            </w:rPr>
            <m:t>⋅</m:t>
          </m:r>
          <m:r>
            <w:rPr>
              <w:rFonts w:ascii="Cambria Math" w:hAnsi="Cambria Math" w:cs="Times New Roman"/>
              <w:color w:val="auto"/>
              <w:highlight w:val="none"/>
            </w:rPr>
            <m:t>Δ</m:t>
          </m:r>
          <m:sSub>
            <m:sSubPr>
              <m:ctrlPr>
                <w:rPr>
                  <w:rFonts w:ascii="Cambria Math" w:hAnsi="Cambria Math" w:cs="Times New Roman"/>
                  <w:i/>
                  <w:color w:val="auto"/>
                  <w:highlight w:val="none"/>
                </w:rPr>
              </m:ctrlPr>
            </m:sSubPr>
            <m:e>
              <m:r>
                <w:rPr>
                  <w:rFonts w:ascii="Cambria Math" w:hAnsi="Cambria Math" w:cs="Times New Roman"/>
                  <w:color w:val="auto"/>
                  <w:highlight w:val="none"/>
                </w:rPr>
                <m:t>S</m:t>
              </m:r>
              <m:ctrlPr>
                <w:rPr>
                  <w:rFonts w:ascii="Cambria Math" w:hAnsi="Cambria Math" w:cs="Times New Roman"/>
                  <w:i/>
                  <w:color w:val="auto"/>
                  <w:highlight w:val="none"/>
                </w:rPr>
              </m:ctrlPr>
            </m:e>
            <m:sub>
              <m:r>
                <w:rPr>
                  <w:rFonts w:ascii="Cambria Math" w:hAnsi="Cambria Math" w:cs="Times New Roman"/>
                  <w:color w:val="auto"/>
                  <w:highlight w:val="none"/>
                </w:rPr>
                <m:t>m</m:t>
              </m:r>
              <m:ctrlPr>
                <w:rPr>
                  <w:rFonts w:ascii="Cambria Math" w:hAnsi="Cambria Math" w:cs="Times New Roman"/>
                  <w:i/>
                  <w:color w:val="auto"/>
                  <w:highlight w:val="none"/>
                </w:rPr>
              </m:ctrlPr>
            </m:sub>
          </m:sSub>
        </m:oMath>
      </m:oMathPara>
    </w:p>
    <w:p>
      <w:pPr>
        <w:snapToGrid w:val="0"/>
        <w:rPr>
          <w:rFonts w:cs="Times New Roman"/>
          <w:color w:val="auto"/>
          <w:highlight w:val="none"/>
        </w:rPr>
      </w:pPr>
      <w:r>
        <w:rPr>
          <w:rFonts w:cs="Times New Roman"/>
          <w:color w:val="auto"/>
          <w:highlight w:val="none"/>
        </w:rPr>
        <w:t>式中：W——某项措施的年保土量，m</w:t>
      </w:r>
      <w:r>
        <w:rPr>
          <w:rFonts w:cs="Times New Roman"/>
          <w:color w:val="auto"/>
          <w:highlight w:val="none"/>
          <w:vertAlign w:val="superscript"/>
        </w:rPr>
        <w:t>3</w:t>
      </w:r>
      <w:r>
        <w:rPr>
          <w:rFonts w:cs="Times New Roman"/>
          <w:color w:val="auto"/>
          <w:highlight w:val="none"/>
        </w:rPr>
        <w:t>；</w:t>
      </w:r>
    </w:p>
    <w:p>
      <w:pPr>
        <w:snapToGrid w:val="0"/>
        <w:ind w:firstLine="1400" w:firstLineChars="500"/>
        <w:rPr>
          <w:rFonts w:cs="Times New Roman"/>
          <w:color w:val="auto"/>
          <w:highlight w:val="none"/>
        </w:rPr>
      </w:pPr>
      <w:r>
        <w:rPr>
          <w:rFonts w:cs="Times New Roman"/>
          <w:color w:val="auto"/>
          <w:highlight w:val="none"/>
        </w:rPr>
        <w:t>Fe——某项措施的有效面积，hm</w:t>
      </w:r>
      <w:r>
        <w:rPr>
          <w:rFonts w:cs="Times New Roman"/>
          <w:color w:val="auto"/>
          <w:highlight w:val="none"/>
          <w:vertAlign w:val="superscript"/>
        </w:rPr>
        <w:t>2</w:t>
      </w:r>
      <w:r>
        <w:rPr>
          <w:rFonts w:cs="Times New Roman"/>
          <w:color w:val="auto"/>
          <w:highlight w:val="none"/>
        </w:rPr>
        <w:t>；</w:t>
      </w:r>
    </w:p>
    <w:p>
      <w:pPr>
        <w:snapToGrid w:val="0"/>
        <w:ind w:firstLine="1260" w:firstLineChars="450"/>
        <w:rPr>
          <w:rFonts w:cs="Times New Roman"/>
          <w:color w:val="auto"/>
          <w:highlight w:val="none"/>
        </w:rPr>
      </w:pPr>
      <m:oMath>
        <m:r>
          <w:rPr>
            <w:rFonts w:ascii="Cambria Math" w:hAnsi="Cambria Math" w:cs="Times New Roman"/>
            <w:color w:val="auto"/>
            <w:highlight w:val="none"/>
          </w:rPr>
          <m:t>Δ</m:t>
        </m:r>
        <m:sSub>
          <m:sSubPr>
            <m:ctrlPr>
              <w:rPr>
                <w:rFonts w:ascii="Cambria Math" w:hAnsi="Cambria Math" w:cs="Times New Roman"/>
                <w:i/>
                <w:color w:val="auto"/>
                <w:highlight w:val="none"/>
              </w:rPr>
            </m:ctrlPr>
          </m:sSubPr>
          <m:e>
            <m:r>
              <w:rPr>
                <w:rFonts w:ascii="Cambria Math" w:hAnsi="Cambria Math" w:cs="Times New Roman"/>
                <w:color w:val="auto"/>
                <w:highlight w:val="none"/>
              </w:rPr>
              <m:t>S</m:t>
            </m:r>
            <m:ctrlPr>
              <w:rPr>
                <w:rFonts w:ascii="Cambria Math" w:hAnsi="Cambria Math" w:cs="Times New Roman"/>
                <w:i/>
                <w:color w:val="auto"/>
                <w:highlight w:val="none"/>
              </w:rPr>
            </m:ctrlPr>
          </m:e>
          <m:sub>
            <m:r>
              <w:rPr>
                <w:rFonts w:ascii="Cambria Math" w:hAnsi="Cambria Math" w:cs="Times New Roman"/>
                <w:color w:val="auto"/>
                <w:highlight w:val="none"/>
              </w:rPr>
              <m:t>m</m:t>
            </m:r>
            <m:ctrlPr>
              <w:rPr>
                <w:rFonts w:ascii="Cambria Math" w:hAnsi="Cambria Math" w:cs="Times New Roman"/>
                <w:i/>
                <w:color w:val="auto"/>
                <w:highlight w:val="none"/>
              </w:rPr>
            </m:ctrlPr>
          </m:sub>
        </m:sSub>
      </m:oMath>
      <w:r>
        <w:rPr>
          <w:rFonts w:cs="Times New Roman"/>
          <w:color w:val="auto"/>
          <w:highlight w:val="none"/>
        </w:rPr>
        <w:t>——措施减少侵蚀模数，m</w:t>
      </w:r>
      <w:r>
        <w:rPr>
          <w:rFonts w:cs="Times New Roman"/>
          <w:color w:val="auto"/>
          <w:highlight w:val="none"/>
          <w:vertAlign w:val="superscript"/>
        </w:rPr>
        <w:t>3</w:t>
      </w:r>
      <w:r>
        <w:rPr>
          <w:rFonts w:cs="Times New Roman"/>
          <w:color w:val="auto"/>
          <w:highlight w:val="none"/>
        </w:rPr>
        <w:t>/hm</w:t>
      </w:r>
      <w:r>
        <w:rPr>
          <w:rFonts w:cs="Times New Roman"/>
          <w:color w:val="auto"/>
          <w:highlight w:val="none"/>
          <w:vertAlign w:val="superscript"/>
        </w:rPr>
        <w:t>2</w:t>
      </w:r>
      <w:r>
        <w:rPr>
          <w:rFonts w:cs="Times New Roman"/>
          <w:color w:val="auto"/>
          <w:highlight w:val="none"/>
        </w:rPr>
        <w:t>。</w:t>
      </w:r>
    </w:p>
    <w:p>
      <w:pPr>
        <w:rPr>
          <w:rFonts w:cs="Times New Roman"/>
          <w:color w:val="auto"/>
          <w:highlight w:val="none"/>
        </w:rPr>
      </w:pPr>
      <w:r>
        <w:rPr>
          <w:rFonts w:cs="Times New Roman"/>
          <w:color w:val="auto"/>
          <w:highlight w:val="none"/>
        </w:rPr>
        <w:t>经估算，规划的重点治理工程实施完毕并正常发挥效益后，可增加蓄水效益约</w:t>
      </w:r>
      <w:r>
        <w:rPr>
          <w:rFonts w:hint="eastAsia" w:cs="Times New Roman"/>
          <w:color w:val="auto"/>
          <w:highlight w:val="none"/>
          <w:lang w:val="en-US" w:eastAsia="zh-CN"/>
        </w:rPr>
        <w:t>64.85</w:t>
      </w:r>
      <w:r>
        <w:rPr>
          <w:rFonts w:cs="Times New Roman"/>
          <w:color w:val="auto"/>
          <w:highlight w:val="none"/>
        </w:rPr>
        <w:t>万m</w:t>
      </w:r>
      <w:r>
        <w:rPr>
          <w:rFonts w:cs="Times New Roman"/>
          <w:color w:val="auto"/>
          <w:highlight w:val="none"/>
          <w:vertAlign w:val="superscript"/>
        </w:rPr>
        <w:t>3</w:t>
      </w:r>
      <w:r>
        <w:rPr>
          <w:rFonts w:cs="Times New Roman"/>
          <w:color w:val="auto"/>
          <w:highlight w:val="none"/>
        </w:rPr>
        <w:t>，新增保土能力约</w:t>
      </w:r>
      <w:r>
        <w:rPr>
          <w:rFonts w:hint="eastAsia" w:cs="Times New Roman"/>
          <w:color w:val="auto"/>
          <w:highlight w:val="none"/>
          <w:lang w:val="en-US" w:eastAsia="zh-CN"/>
        </w:rPr>
        <w:t>2.95</w:t>
      </w:r>
      <w:r>
        <w:rPr>
          <w:rFonts w:cs="Times New Roman"/>
          <w:color w:val="auto"/>
          <w:highlight w:val="none"/>
        </w:rPr>
        <w:t>万t。具体详见表11.1-1。</w:t>
      </w:r>
    </w:p>
    <w:p>
      <w:pPr>
        <w:snapToGrid w:val="0"/>
        <w:ind w:firstLine="482"/>
        <w:jc w:val="center"/>
        <w:rPr>
          <w:rFonts w:eastAsia="宋体" w:cs="Times New Roman"/>
          <w:b/>
          <w:color w:val="auto"/>
          <w:sz w:val="24"/>
          <w:szCs w:val="24"/>
          <w:highlight w:val="none"/>
        </w:rPr>
      </w:pPr>
      <w:r>
        <w:rPr>
          <w:rFonts w:eastAsia="宋体" w:cs="Times New Roman"/>
          <w:b/>
          <w:color w:val="auto"/>
          <w:sz w:val="24"/>
          <w:szCs w:val="24"/>
          <w:highlight w:val="none"/>
        </w:rPr>
        <w:t>表11.1-1水土保持措施蓄水、保土效益指标表</w:t>
      </w:r>
    </w:p>
    <w:tbl>
      <w:tblPr>
        <w:tblStyle w:val="30"/>
        <w:tblW w:w="8522" w:type="dxa"/>
        <w:tblInd w:w="0" w:type="dxa"/>
        <w:tblLayout w:type="fixed"/>
        <w:tblCellMar>
          <w:top w:w="0" w:type="dxa"/>
          <w:left w:w="108" w:type="dxa"/>
          <w:bottom w:w="0" w:type="dxa"/>
          <w:right w:w="108" w:type="dxa"/>
        </w:tblCellMar>
      </w:tblPr>
      <w:tblGrid>
        <w:gridCol w:w="1107"/>
        <w:gridCol w:w="854"/>
        <w:gridCol w:w="1044"/>
        <w:gridCol w:w="890"/>
        <w:gridCol w:w="692"/>
        <w:gridCol w:w="702"/>
        <w:gridCol w:w="785"/>
        <w:gridCol w:w="828"/>
        <w:gridCol w:w="633"/>
        <w:gridCol w:w="987"/>
      </w:tblGrid>
      <w:tr>
        <w:tblPrEx>
          <w:tblLayout w:type="fixed"/>
          <w:tblCellMar>
            <w:top w:w="0" w:type="dxa"/>
            <w:left w:w="108" w:type="dxa"/>
            <w:bottom w:w="0" w:type="dxa"/>
            <w:right w:w="108" w:type="dxa"/>
          </w:tblCellMar>
        </w:tblPrEx>
        <w:trPr>
          <w:trHeight w:val="288" w:hRule="atLeast"/>
        </w:trPr>
        <w:tc>
          <w:tcPr>
            <w:tcW w:w="110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措施类型</w:t>
            </w:r>
          </w:p>
        </w:tc>
        <w:tc>
          <w:tcPr>
            <w:tcW w:w="2788"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治理措施</w:t>
            </w:r>
          </w:p>
        </w:tc>
        <w:tc>
          <w:tcPr>
            <w:tcW w:w="1394"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保土效益</w:t>
            </w:r>
          </w:p>
        </w:tc>
        <w:tc>
          <w:tcPr>
            <w:tcW w:w="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保土效益（万t）</w:t>
            </w:r>
          </w:p>
        </w:tc>
        <w:tc>
          <w:tcPr>
            <w:tcW w:w="1461"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蓄水效益定额</w:t>
            </w:r>
          </w:p>
        </w:tc>
        <w:tc>
          <w:tcPr>
            <w:tcW w:w="9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保水效益（万 m³）</w:t>
            </w:r>
          </w:p>
        </w:tc>
      </w:tr>
      <w:tr>
        <w:tblPrEx>
          <w:tblLayout w:type="fixed"/>
          <w:tblCellMar>
            <w:top w:w="0" w:type="dxa"/>
            <w:left w:w="108" w:type="dxa"/>
            <w:bottom w:w="0" w:type="dxa"/>
            <w:right w:w="108" w:type="dxa"/>
          </w:tblCellMar>
        </w:tblPrEx>
        <w:trPr>
          <w:trHeight w:val="288" w:hRule="atLeast"/>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278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1394"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定额</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14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r>
      <w:tr>
        <w:tblPrEx>
          <w:tblLayout w:type="fixed"/>
          <w:tblCellMar>
            <w:top w:w="0" w:type="dxa"/>
            <w:left w:w="108" w:type="dxa"/>
            <w:bottom w:w="0" w:type="dxa"/>
            <w:right w:w="108" w:type="dxa"/>
          </w:tblCellMar>
        </w:tblPrEx>
        <w:trPr>
          <w:trHeight w:val="288" w:hRule="atLeast"/>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85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单位</w:t>
            </w:r>
          </w:p>
        </w:tc>
        <w:tc>
          <w:tcPr>
            <w:tcW w:w="104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布设数量</w:t>
            </w:r>
          </w:p>
        </w:tc>
        <w:tc>
          <w:tcPr>
            <w:tcW w:w="890"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保存数量</w:t>
            </w:r>
          </w:p>
        </w:tc>
        <w:tc>
          <w:tcPr>
            <w:tcW w:w="69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单位</w:t>
            </w:r>
          </w:p>
        </w:tc>
        <w:tc>
          <w:tcPr>
            <w:tcW w:w="70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数量</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828"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单位</w:t>
            </w:r>
          </w:p>
        </w:tc>
        <w:tc>
          <w:tcPr>
            <w:tcW w:w="633"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数量</w:t>
            </w:r>
          </w:p>
        </w:tc>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r>
      <w:tr>
        <w:tblPrEx>
          <w:tblLayout w:type="fixed"/>
          <w:tblCellMar>
            <w:top w:w="0" w:type="dxa"/>
            <w:left w:w="108" w:type="dxa"/>
            <w:bottom w:w="0" w:type="dxa"/>
            <w:right w:w="108" w:type="dxa"/>
          </w:tblCellMar>
        </w:tblPrEx>
        <w:trPr>
          <w:trHeight w:val="288" w:hRule="atLeast"/>
        </w:trPr>
        <w:tc>
          <w:tcPr>
            <w:tcW w:w="1107"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1、经济林</w:t>
            </w:r>
          </w:p>
        </w:tc>
        <w:tc>
          <w:tcPr>
            <w:tcW w:w="85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hm²</w:t>
            </w:r>
          </w:p>
        </w:tc>
        <w:tc>
          <w:tcPr>
            <w:tcW w:w="104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162.85</w:t>
            </w:r>
          </w:p>
        </w:tc>
        <w:tc>
          <w:tcPr>
            <w:tcW w:w="890"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114</w:t>
            </w:r>
          </w:p>
        </w:tc>
        <w:tc>
          <w:tcPr>
            <w:tcW w:w="69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t/hm²</w:t>
            </w:r>
          </w:p>
        </w:tc>
        <w:tc>
          <w:tcPr>
            <w:tcW w:w="70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15</w:t>
            </w:r>
          </w:p>
        </w:tc>
        <w:tc>
          <w:tcPr>
            <w:tcW w:w="785"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eastAsia="宋体" w:cs="Times New Roman"/>
                <w:color w:val="auto"/>
                <w:kern w:val="0"/>
                <w:sz w:val="21"/>
                <w:szCs w:val="21"/>
                <w:highlight w:val="none"/>
              </w:rPr>
              <w:t>0.</w:t>
            </w:r>
            <w:r>
              <w:rPr>
                <w:rFonts w:hint="eastAsia" w:eastAsia="宋体" w:cs="Times New Roman"/>
                <w:color w:val="auto"/>
                <w:kern w:val="0"/>
                <w:sz w:val="21"/>
                <w:szCs w:val="21"/>
                <w:highlight w:val="none"/>
                <w:lang w:val="en-US" w:eastAsia="zh-CN"/>
              </w:rPr>
              <w:t>17</w:t>
            </w:r>
          </w:p>
        </w:tc>
        <w:tc>
          <w:tcPr>
            <w:tcW w:w="828"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m³/hm²</w:t>
            </w:r>
          </w:p>
        </w:tc>
        <w:tc>
          <w:tcPr>
            <w:tcW w:w="633"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192</w:t>
            </w:r>
          </w:p>
        </w:tc>
        <w:tc>
          <w:tcPr>
            <w:tcW w:w="987"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2.19</w:t>
            </w:r>
          </w:p>
        </w:tc>
      </w:tr>
      <w:tr>
        <w:tblPrEx>
          <w:tblLayout w:type="fixed"/>
          <w:tblCellMar>
            <w:top w:w="0" w:type="dxa"/>
            <w:left w:w="108" w:type="dxa"/>
            <w:bottom w:w="0" w:type="dxa"/>
            <w:right w:w="108" w:type="dxa"/>
          </w:tblCellMar>
        </w:tblPrEx>
        <w:trPr>
          <w:trHeight w:val="288" w:hRule="atLeast"/>
        </w:trPr>
        <w:tc>
          <w:tcPr>
            <w:tcW w:w="1107"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2、封育治理</w:t>
            </w:r>
          </w:p>
        </w:tc>
        <w:tc>
          <w:tcPr>
            <w:tcW w:w="85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hm²</w:t>
            </w:r>
          </w:p>
        </w:tc>
        <w:tc>
          <w:tcPr>
            <w:tcW w:w="104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3094.15</w:t>
            </w:r>
          </w:p>
        </w:tc>
        <w:tc>
          <w:tcPr>
            <w:tcW w:w="890"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2784.74</w:t>
            </w:r>
          </w:p>
        </w:tc>
        <w:tc>
          <w:tcPr>
            <w:tcW w:w="69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t/hm²</w:t>
            </w:r>
          </w:p>
        </w:tc>
        <w:tc>
          <w:tcPr>
            <w:tcW w:w="70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10</w:t>
            </w:r>
          </w:p>
        </w:tc>
        <w:tc>
          <w:tcPr>
            <w:tcW w:w="785"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2.78</w:t>
            </w:r>
          </w:p>
        </w:tc>
        <w:tc>
          <w:tcPr>
            <w:tcW w:w="828"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m³/hm²</w:t>
            </w:r>
          </w:p>
        </w:tc>
        <w:tc>
          <w:tcPr>
            <w:tcW w:w="633"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225</w:t>
            </w:r>
          </w:p>
        </w:tc>
        <w:tc>
          <w:tcPr>
            <w:tcW w:w="987"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62.66</w:t>
            </w:r>
          </w:p>
        </w:tc>
      </w:tr>
      <w:tr>
        <w:tblPrEx>
          <w:tblLayout w:type="fixed"/>
          <w:tblCellMar>
            <w:top w:w="0" w:type="dxa"/>
            <w:left w:w="108" w:type="dxa"/>
            <w:bottom w:w="0" w:type="dxa"/>
            <w:right w:w="108" w:type="dxa"/>
          </w:tblCellMar>
        </w:tblPrEx>
        <w:trPr>
          <w:trHeight w:val="288" w:hRule="atLeast"/>
        </w:trPr>
        <w:tc>
          <w:tcPr>
            <w:tcW w:w="1107"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合计</w:t>
            </w:r>
          </w:p>
        </w:tc>
        <w:tc>
          <w:tcPr>
            <w:tcW w:w="85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1044"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890"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69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702"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785"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2.95</w:t>
            </w:r>
          </w:p>
        </w:tc>
        <w:tc>
          <w:tcPr>
            <w:tcW w:w="828"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633"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p>
        </w:tc>
        <w:tc>
          <w:tcPr>
            <w:tcW w:w="987" w:type="dxa"/>
            <w:tcBorders>
              <w:top w:val="nil"/>
              <w:left w:val="nil"/>
              <w:bottom w:val="single" w:color="auto" w:sz="4" w:space="0"/>
              <w:right w:val="single" w:color="auto" w:sz="4" w:space="0"/>
            </w:tcBorders>
            <w:shd w:val="clear" w:color="000000" w:fill="FFFFFF"/>
            <w:noWrap/>
            <w:vAlign w:val="center"/>
          </w:tcPr>
          <w:p>
            <w:pPr>
              <w:widowControl/>
              <w:adjustRightInd/>
              <w:spacing w:line="240" w:lineRule="auto"/>
              <w:ind w:firstLine="0" w:firstLineChars="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64.85</w:t>
            </w:r>
          </w:p>
        </w:tc>
      </w:tr>
    </w:tbl>
    <w:p>
      <w:pPr>
        <w:pStyle w:val="3"/>
        <w:spacing w:before="156"/>
        <w:ind w:firstLine="602"/>
        <w:rPr>
          <w:color w:val="auto"/>
          <w:highlight w:val="none"/>
        </w:rPr>
      </w:pPr>
      <w:bookmarkStart w:id="574" w:name="_Toc28023"/>
      <w:r>
        <w:rPr>
          <w:color w:val="auto"/>
          <w:highlight w:val="none"/>
        </w:rPr>
        <w:t>11.2生态</w:t>
      </w:r>
      <w:bookmarkEnd w:id="569"/>
      <w:bookmarkEnd w:id="570"/>
      <w:r>
        <w:rPr>
          <w:color w:val="auto"/>
          <w:highlight w:val="none"/>
          <w:lang w:val="en-US"/>
        </w:rPr>
        <w:t>效益</w:t>
      </w:r>
      <w:bookmarkEnd w:id="571"/>
      <w:bookmarkEnd w:id="572"/>
      <w:bookmarkEnd w:id="573"/>
      <w:bookmarkEnd w:id="574"/>
    </w:p>
    <w:p>
      <w:pPr>
        <w:rPr>
          <w:rFonts w:cs="Times New Roman"/>
          <w:color w:val="auto"/>
          <w:highlight w:val="none"/>
        </w:rPr>
      </w:pPr>
      <w:r>
        <w:rPr>
          <w:rFonts w:cs="Times New Roman"/>
          <w:color w:val="auto"/>
          <w:highlight w:val="none"/>
        </w:rPr>
        <w:t>（1）改善土地质量，提高土壤肥力</w:t>
      </w:r>
    </w:p>
    <w:p>
      <w:pPr>
        <w:rPr>
          <w:rFonts w:cs="Times New Roman"/>
          <w:color w:val="auto"/>
          <w:highlight w:val="none"/>
        </w:rPr>
      </w:pPr>
      <w:r>
        <w:rPr>
          <w:rFonts w:cs="Times New Roman"/>
          <w:color w:val="auto"/>
          <w:highlight w:val="none"/>
        </w:rPr>
        <w:t>水土保持措施实施后，可以有效减少土壤中的有机质流失，增加土壤中氮、磷、钾和有机质含量，提高土壤肥力；同时改善土壤理化性质，提高土地质量，提升土地可开发利用程度。</w:t>
      </w:r>
    </w:p>
    <w:p>
      <w:pPr>
        <w:rPr>
          <w:rFonts w:cs="Times New Roman"/>
          <w:color w:val="auto"/>
          <w:highlight w:val="none"/>
        </w:rPr>
      </w:pPr>
      <w:r>
        <w:rPr>
          <w:rFonts w:cs="Times New Roman"/>
          <w:color w:val="auto"/>
          <w:highlight w:val="none"/>
        </w:rPr>
        <w:t>（2）减轻自然灾害，提高水资源的利用率</w:t>
      </w:r>
    </w:p>
    <w:p>
      <w:pPr>
        <w:rPr>
          <w:rFonts w:cs="Times New Roman"/>
          <w:color w:val="auto"/>
          <w:highlight w:val="none"/>
        </w:rPr>
      </w:pPr>
      <w:r>
        <w:rPr>
          <w:rFonts w:cs="Times New Roman"/>
          <w:color w:val="auto"/>
          <w:highlight w:val="none"/>
        </w:rPr>
        <w:t>一是通过实施林草措施，增加地表径流拦蓄和雨水下渗，提高水源涵养能力，减少入河泥沙含量，确保江河行洪通畅；二是通过实施工程措施，有效调水蓄水，降低洪涝灾害的发生，改善水资源时间分布不均，缓解干旱带来的影响。</w:t>
      </w:r>
    </w:p>
    <w:p>
      <w:pPr>
        <w:rPr>
          <w:rFonts w:cs="Times New Roman"/>
          <w:color w:val="auto"/>
          <w:highlight w:val="none"/>
        </w:rPr>
      </w:pPr>
      <w:r>
        <w:rPr>
          <w:rFonts w:cs="Times New Roman"/>
          <w:color w:val="auto"/>
          <w:highlight w:val="none"/>
        </w:rPr>
        <w:t>（3）提高植被覆盖，增强生态系统稳定性</w:t>
      </w:r>
    </w:p>
    <w:p>
      <w:pPr>
        <w:rPr>
          <w:rFonts w:cs="Times New Roman"/>
          <w:color w:val="auto"/>
          <w:highlight w:val="none"/>
        </w:rPr>
      </w:pPr>
      <w:r>
        <w:rPr>
          <w:rFonts w:cs="Times New Roman"/>
          <w:color w:val="auto"/>
          <w:highlight w:val="none"/>
        </w:rPr>
        <w:t>通过营造水保林、建设经果林、种草和实施封禁治理，增加林草植被面积，提高植被覆盖率，丰富生物多样性，提高水源涵养和生态调节能力，改善生物小气候环境，增强生态系统稳定性，促进生态环境的良性运转。</w:t>
      </w:r>
    </w:p>
    <w:p>
      <w:pPr>
        <w:pStyle w:val="3"/>
        <w:spacing w:before="156"/>
        <w:ind w:firstLine="602"/>
        <w:rPr>
          <w:color w:val="auto"/>
          <w:highlight w:val="none"/>
        </w:rPr>
      </w:pPr>
      <w:bookmarkStart w:id="575" w:name="_Toc528946034"/>
      <w:bookmarkStart w:id="576" w:name="_Toc482812808"/>
      <w:bookmarkStart w:id="577" w:name="_Toc90399126"/>
      <w:bookmarkStart w:id="578" w:name="_Toc18746"/>
      <w:bookmarkStart w:id="579" w:name="_Toc119515963"/>
      <w:bookmarkStart w:id="580" w:name="_Toc1762"/>
      <w:r>
        <w:rPr>
          <w:color w:val="auto"/>
          <w:highlight w:val="none"/>
        </w:rPr>
        <w:t>11.3社会</w:t>
      </w:r>
      <w:bookmarkEnd w:id="575"/>
      <w:bookmarkEnd w:id="576"/>
      <w:r>
        <w:rPr>
          <w:color w:val="auto"/>
          <w:highlight w:val="none"/>
          <w:lang w:val="en-US"/>
        </w:rPr>
        <w:t>效益</w:t>
      </w:r>
      <w:bookmarkEnd w:id="577"/>
      <w:bookmarkEnd w:id="578"/>
      <w:bookmarkEnd w:id="579"/>
      <w:bookmarkEnd w:id="580"/>
    </w:p>
    <w:p>
      <w:pPr>
        <w:rPr>
          <w:rFonts w:cs="Times New Roman"/>
          <w:color w:val="auto"/>
          <w:highlight w:val="none"/>
        </w:rPr>
      </w:pPr>
      <w:r>
        <w:rPr>
          <w:rFonts w:cs="Times New Roman"/>
          <w:color w:val="auto"/>
          <w:highlight w:val="none"/>
        </w:rPr>
        <w:t>通过实施一系列水土保持措施，能有效减轻水土流失引发的自然灾害，切实保障人民生命财产安全和农业生产的正常运行。通过综合防治，能有效改善农业生产条件，提高土地生产率，为建设优质、高产、高效的大农业奠定基础。通过土地利用结构和农村生产结构的调整，提高农业环境容量，缓解人地矛盾，改善农村生产生活条件，促进农业增产和农民增收，促进各民族共同富裕，推动人口资源、环境与经济协调发展。</w:t>
      </w:r>
    </w:p>
    <w:p>
      <w:pPr>
        <w:pStyle w:val="3"/>
        <w:spacing w:before="156"/>
        <w:ind w:firstLine="602"/>
        <w:rPr>
          <w:color w:val="auto"/>
          <w:highlight w:val="none"/>
          <w:lang w:val="en-US"/>
        </w:rPr>
      </w:pPr>
      <w:bookmarkStart w:id="581" w:name="_Toc482812809"/>
      <w:bookmarkStart w:id="582" w:name="_Toc528946035"/>
      <w:bookmarkStart w:id="583" w:name="_Toc10256"/>
      <w:bookmarkStart w:id="584" w:name="_Toc90399127"/>
      <w:bookmarkStart w:id="585" w:name="_Toc28413"/>
      <w:bookmarkStart w:id="586" w:name="_Toc119515964"/>
      <w:r>
        <w:rPr>
          <w:color w:val="auto"/>
          <w:highlight w:val="none"/>
        </w:rPr>
        <w:t>11.4经济效</w:t>
      </w:r>
      <w:bookmarkEnd w:id="581"/>
      <w:bookmarkEnd w:id="582"/>
      <w:r>
        <w:rPr>
          <w:color w:val="auto"/>
          <w:highlight w:val="none"/>
          <w:lang w:val="en-US"/>
        </w:rPr>
        <w:t>益</w:t>
      </w:r>
      <w:bookmarkEnd w:id="583"/>
      <w:bookmarkEnd w:id="584"/>
      <w:bookmarkEnd w:id="585"/>
      <w:bookmarkEnd w:id="586"/>
    </w:p>
    <w:p>
      <w:pPr>
        <w:rPr>
          <w:rFonts w:cs="Times New Roman"/>
          <w:color w:val="auto"/>
          <w:highlight w:val="none"/>
        </w:rPr>
      </w:pPr>
      <w:r>
        <w:rPr>
          <w:rFonts w:cs="Times New Roman"/>
          <w:color w:val="auto"/>
          <w:highlight w:val="none"/>
        </w:rPr>
        <w:t>水土保持经济效益包括直接经济效益和间接经济效益。</w:t>
      </w:r>
    </w:p>
    <w:p>
      <w:pPr>
        <w:rPr>
          <w:rFonts w:cs="Times New Roman"/>
          <w:color w:val="auto"/>
          <w:highlight w:val="none"/>
        </w:rPr>
      </w:pPr>
      <w:r>
        <w:rPr>
          <w:rFonts w:cs="Times New Roman"/>
          <w:color w:val="auto"/>
          <w:highlight w:val="none"/>
        </w:rPr>
        <w:t>（1）直接经济效益</w:t>
      </w:r>
    </w:p>
    <w:p>
      <w:pPr>
        <w:rPr>
          <w:rFonts w:cs="Times New Roman"/>
          <w:color w:val="auto"/>
          <w:highlight w:val="none"/>
        </w:rPr>
      </w:pPr>
      <w:r>
        <w:rPr>
          <w:rFonts w:cs="Times New Roman"/>
          <w:color w:val="auto"/>
          <w:highlight w:val="none"/>
        </w:rPr>
        <w:t>本规划直接经济效益是指实施水土保持措施土地上生长的植物产品（未经任何加工转化）与未实施水土保持措施的土地上的产品对比，其增产量和增产值。主要包括：坡改梯、灌溉沟渠、蓄水池等增产的粮食与经济作物；植树、种草、育草和封禁治理增产的饲草（树叶和林间放牧）和活立木蓄积量。</w:t>
      </w:r>
    </w:p>
    <w:p>
      <w:pPr>
        <w:rPr>
          <w:rFonts w:cs="Times New Roman"/>
          <w:color w:val="auto"/>
          <w:highlight w:val="none"/>
        </w:rPr>
      </w:pPr>
      <w:r>
        <w:rPr>
          <w:rFonts w:cs="Times New Roman"/>
          <w:color w:val="auto"/>
          <w:highlight w:val="none"/>
        </w:rPr>
        <w:t>据估算，本次规划的治理工程实施完毕并正常发挥效益后，坡改梯和小型水利水保措施实施后较实施前可使粮食单产增加约3%，经果林增产约5%，封禁治理措施可使活立木年蓄积量增加约5%、饲草年产量增加约7%。</w:t>
      </w:r>
    </w:p>
    <w:p>
      <w:pPr>
        <w:rPr>
          <w:rFonts w:cs="Times New Roman"/>
          <w:color w:val="auto"/>
          <w:highlight w:val="none"/>
        </w:rPr>
      </w:pPr>
      <w:r>
        <w:rPr>
          <w:rFonts w:cs="Times New Roman"/>
          <w:color w:val="auto"/>
          <w:highlight w:val="none"/>
        </w:rPr>
        <w:t>（2）间接经济效益</w:t>
      </w:r>
    </w:p>
    <w:p>
      <w:pPr>
        <w:rPr>
          <w:rFonts w:cs="Times New Roman"/>
          <w:color w:val="auto"/>
          <w:highlight w:val="none"/>
        </w:rPr>
      </w:pPr>
      <w:r>
        <w:rPr>
          <w:rFonts w:cs="Times New Roman"/>
          <w:color w:val="auto"/>
          <w:highlight w:val="none"/>
        </w:rPr>
        <w:t>本规划间接经济效益是指在直接经济效益的基础上，经过加工转化进一步产生的经济效益。主要包括：实施水土保持措施后增加的各类产品经过加工转化后的增值，如饲草养畜、枝条编筐、果品加工、粮食再加工等；提高耕地生产力后节约出土地资源和劳动力；生态环境改善为旅游业带来的效益。规划实施后，柳江区间接经济效益大幅提高。</w:t>
      </w: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pStyle w:val="2"/>
        <w:rPr>
          <w:color w:val="auto"/>
          <w:highlight w:val="none"/>
        </w:rPr>
      </w:pPr>
      <w:bookmarkStart w:id="587" w:name="_Toc90399128"/>
      <w:bookmarkStart w:id="588" w:name="_Toc528946036"/>
      <w:bookmarkStart w:id="589" w:name="_Toc119515965"/>
      <w:bookmarkStart w:id="590" w:name="_Toc31004"/>
      <w:bookmarkStart w:id="591" w:name="_Toc13510"/>
      <w:bookmarkStart w:id="592" w:name="_Toc482812810"/>
      <w:r>
        <w:rPr>
          <w:color w:val="auto"/>
          <w:highlight w:val="none"/>
        </w:rPr>
        <w:t>12实施保障措施</w:t>
      </w:r>
      <w:bookmarkEnd w:id="587"/>
      <w:bookmarkEnd w:id="588"/>
      <w:bookmarkEnd w:id="589"/>
      <w:bookmarkEnd w:id="590"/>
      <w:bookmarkEnd w:id="591"/>
      <w:bookmarkEnd w:id="592"/>
    </w:p>
    <w:p>
      <w:pPr>
        <w:pStyle w:val="3"/>
        <w:spacing w:before="156"/>
        <w:ind w:firstLine="602"/>
        <w:rPr>
          <w:color w:val="auto"/>
          <w:highlight w:val="none"/>
        </w:rPr>
      </w:pPr>
      <w:bookmarkStart w:id="593" w:name="_Toc12668"/>
      <w:bookmarkStart w:id="594" w:name="_Toc7374"/>
      <w:bookmarkStart w:id="595" w:name="_Toc482812812"/>
      <w:bookmarkStart w:id="596" w:name="_Toc90399129"/>
      <w:bookmarkStart w:id="597" w:name="_Toc119515966"/>
      <w:bookmarkStart w:id="598" w:name="_Toc528946038"/>
      <w:bookmarkStart w:id="599" w:name="_Toc482812811"/>
      <w:bookmarkStart w:id="600" w:name="_Toc528946037"/>
      <w:r>
        <w:rPr>
          <w:color w:val="auto"/>
          <w:highlight w:val="none"/>
        </w:rPr>
        <w:t>12.</w:t>
      </w:r>
      <w:r>
        <w:rPr>
          <w:color w:val="auto"/>
          <w:highlight w:val="none"/>
          <w:lang w:val="en-US"/>
        </w:rPr>
        <w:t>1</w:t>
      </w:r>
      <w:r>
        <w:rPr>
          <w:color w:val="auto"/>
          <w:highlight w:val="none"/>
        </w:rPr>
        <w:t>组织管理保障</w:t>
      </w:r>
      <w:bookmarkEnd w:id="593"/>
      <w:bookmarkEnd w:id="594"/>
      <w:bookmarkEnd w:id="595"/>
      <w:bookmarkEnd w:id="596"/>
      <w:bookmarkEnd w:id="597"/>
      <w:bookmarkEnd w:id="598"/>
    </w:p>
    <w:p>
      <w:pPr>
        <w:rPr>
          <w:rFonts w:cs="Times New Roman"/>
          <w:color w:val="auto"/>
          <w:highlight w:val="none"/>
        </w:rPr>
      </w:pPr>
      <w:r>
        <w:rPr>
          <w:rFonts w:cs="Times New Roman"/>
          <w:color w:val="auto"/>
          <w:highlight w:val="none"/>
        </w:rPr>
        <w:t>（1）强化组织领导</w:t>
      </w:r>
    </w:p>
    <w:p>
      <w:pPr>
        <w:rPr>
          <w:rFonts w:cs="Times New Roman"/>
          <w:color w:val="auto"/>
          <w:highlight w:val="none"/>
        </w:rPr>
      </w:pPr>
      <w:r>
        <w:rPr>
          <w:rFonts w:cs="Times New Roman"/>
          <w:color w:val="auto"/>
          <w:highlight w:val="none"/>
        </w:rPr>
        <w:t>要把水土保持作为贯彻落实推进生态文明建设的一项重要工作，县区</w:t>
      </w:r>
      <w:r>
        <w:rPr>
          <w:rFonts w:cs="Times New Roman"/>
          <w:color w:val="auto"/>
          <w:highlight w:val="none"/>
          <w:shd w:val="clear" w:color="auto" w:fill="FFFFFF"/>
        </w:rPr>
        <w:t>人民政府应当加强对水土保持工作的统一领导，建立和完善水土保持工作协调机制，研究解决水土保持工作中的重大问题，</w:t>
      </w:r>
      <w:r>
        <w:rPr>
          <w:rFonts w:cs="Times New Roman"/>
          <w:color w:val="auto"/>
          <w:highlight w:val="none"/>
        </w:rPr>
        <w:t>落实水土保持地方主体责任，发挥好现有水土保持议事协商机构作用，形成政府主导、部门协作、分级负责、分工明确的水土保持工作格局。根据本规划确定的工作目标和任务，将水土保持目标纳入本级国民经济和社会发展规划中，紧密协调发展改革、财政、自然资源、农业农村、生态环境等部门做好水土流失预防和治理工作，配合各乡镇人民政府加强本行政区域的水土保持管理工作，在充分认识水土保持重要性、紧迫性和艰巨性的基础上，采取强有力措施手段，从解决当前最突出的水土流失问题入手，大力推进本规划实施。</w:t>
      </w:r>
    </w:p>
    <w:p>
      <w:pPr>
        <w:rPr>
          <w:rFonts w:cs="Times New Roman"/>
          <w:color w:val="auto"/>
          <w:highlight w:val="none"/>
        </w:rPr>
      </w:pPr>
      <w:r>
        <w:rPr>
          <w:rFonts w:cs="Times New Roman"/>
          <w:color w:val="auto"/>
          <w:highlight w:val="none"/>
        </w:rPr>
        <w:t>（2）落实各部门的水土保持责任，完善考核评估机制</w:t>
      </w:r>
    </w:p>
    <w:p>
      <w:pPr>
        <w:jc w:val="left"/>
        <w:rPr>
          <w:rFonts w:cs="Times New Roman"/>
          <w:color w:val="auto"/>
          <w:highlight w:val="none"/>
        </w:rPr>
      </w:pPr>
      <w:r>
        <w:rPr>
          <w:rFonts w:cs="Times New Roman"/>
          <w:color w:val="auto"/>
          <w:highlight w:val="none"/>
        </w:rPr>
        <w:t>落实政府各部门的水土保持生态建设责任。水行政主管部门主管本行政区域的水土保持工作；发展改革部门应当加强政府投资项目审查，指导项目业主将水土保持资金纳入项目概算；自然资源部门应当在国土开发利用工作中开展竖向规划研究，加强土石方平衡，减少水土资源扰动，并在土地使用权出让合同中明确土地使用权人的水土流失防治义务；生态环境、住房和城乡建设、交通运输、农业农村、林业、市政和园林、人民防空等部门应当按照行业监管职责，督促生产建设项目做好水土流失防治工作。</w:t>
      </w:r>
    </w:p>
    <w:p>
      <w:pPr>
        <w:jc w:val="left"/>
        <w:rPr>
          <w:rFonts w:cs="Times New Roman"/>
          <w:color w:val="auto"/>
          <w:highlight w:val="none"/>
        </w:rPr>
      </w:pPr>
      <w:r>
        <w:rPr>
          <w:rFonts w:cs="Times New Roman"/>
          <w:color w:val="auto"/>
          <w:highlight w:val="none"/>
        </w:rPr>
        <w:t>建立和完善水土保持目标责任制考核制度。根据目标责任考核工作的安排，将柳江区每年度的水土保持工作目标和水土流失治理任务分解落实到发展改革、财政、自然资源、农业农村、生态环境等相关行政主管部门和各乡镇人民政府的年度工作责任中，并纳入政府年度绩效考核和政府评价体系内。</w:t>
      </w:r>
    </w:p>
    <w:p>
      <w:pPr>
        <w:pStyle w:val="3"/>
        <w:spacing w:before="156"/>
        <w:ind w:firstLine="602"/>
        <w:rPr>
          <w:color w:val="auto"/>
          <w:highlight w:val="none"/>
        </w:rPr>
      </w:pPr>
      <w:bookmarkStart w:id="601" w:name="_Toc26950"/>
      <w:bookmarkStart w:id="602" w:name="_Toc23930"/>
      <w:bookmarkStart w:id="603" w:name="_Toc119515967"/>
      <w:bookmarkStart w:id="604" w:name="_Toc90399130"/>
      <w:r>
        <w:rPr>
          <w:color w:val="auto"/>
          <w:highlight w:val="none"/>
        </w:rPr>
        <w:t>12.</w:t>
      </w:r>
      <w:r>
        <w:rPr>
          <w:color w:val="auto"/>
          <w:highlight w:val="none"/>
          <w:lang w:val="en-US"/>
        </w:rPr>
        <w:t>2</w:t>
      </w:r>
      <w:r>
        <w:rPr>
          <w:color w:val="auto"/>
          <w:highlight w:val="none"/>
        </w:rPr>
        <w:t>法规政策保障</w:t>
      </w:r>
      <w:bookmarkEnd w:id="599"/>
      <w:bookmarkEnd w:id="600"/>
      <w:bookmarkEnd w:id="601"/>
      <w:bookmarkEnd w:id="602"/>
      <w:bookmarkEnd w:id="603"/>
      <w:bookmarkEnd w:id="604"/>
    </w:p>
    <w:p>
      <w:pPr>
        <w:rPr>
          <w:rFonts w:cs="Times New Roman"/>
          <w:color w:val="auto"/>
          <w:highlight w:val="none"/>
        </w:rPr>
      </w:pPr>
      <w:r>
        <w:rPr>
          <w:rFonts w:cs="Times New Roman"/>
          <w:color w:val="auto"/>
          <w:highlight w:val="none"/>
        </w:rPr>
        <w:t>经济社会发展和生产建设活动要严格执行水土保持有关法律法规。规范生产建设项目水土保持方案审批，重视生产建设项目水土保持监测工作和水土保持设施自主验收，强化水土保持“三同时”制度执行，全面落实基础设施建设、矿产资源开发、城镇建设、公共服务设施建设等规划的水土保持要求和措施。水土保持综合治理工程要严格遵循《广西壮族自治区水利发展资金水土保持工程建设管理办法》（桂水规范〔2020〕5号）相关规定，水土保持工程实施方案要依据实施规划和有关技术规程规范，按小流域或片区编制；中央及自治区财政水利发展资金不得用于征地移民、城市景观、财政补助单位人员经费和运转经费、交通工具和办公设备购置、楼堂馆所建设等支出。项目建成后应按照“谁审批，谁验收”的原则和有关规定程序与要求及时组织竣工验收，本年度工程原则上应在次年9月底前完成竣工验收。</w:t>
      </w:r>
    </w:p>
    <w:p>
      <w:pPr>
        <w:rPr>
          <w:rFonts w:cs="Times New Roman"/>
          <w:color w:val="auto"/>
          <w:highlight w:val="none"/>
        </w:rPr>
      </w:pPr>
      <w:r>
        <w:rPr>
          <w:rFonts w:cs="Times New Roman"/>
          <w:color w:val="auto"/>
          <w:highlight w:val="none"/>
        </w:rPr>
        <w:t>同时，水行政主管部门要加强水土保持监督检查，严格执行水土保持有关法律法规，依法加强对现有林草地的预防保护和对现有治理成果的管护，加大对水土保持违法行为的查处力度。</w:t>
      </w:r>
    </w:p>
    <w:p>
      <w:pPr>
        <w:pStyle w:val="3"/>
        <w:spacing w:before="156"/>
        <w:ind w:firstLine="602"/>
        <w:rPr>
          <w:color w:val="auto"/>
          <w:highlight w:val="none"/>
        </w:rPr>
      </w:pPr>
      <w:bookmarkStart w:id="605" w:name="_Toc13531"/>
      <w:bookmarkStart w:id="606" w:name="_Toc605"/>
      <w:bookmarkStart w:id="607" w:name="_Toc482812813"/>
      <w:bookmarkStart w:id="608" w:name="_Toc528946039"/>
      <w:bookmarkStart w:id="609" w:name="_Toc90399131"/>
      <w:bookmarkStart w:id="610" w:name="_Toc119515968"/>
      <w:r>
        <w:rPr>
          <w:color w:val="auto"/>
          <w:highlight w:val="none"/>
        </w:rPr>
        <w:t>12.3投入资金保障</w:t>
      </w:r>
      <w:bookmarkEnd w:id="605"/>
      <w:bookmarkEnd w:id="606"/>
      <w:bookmarkEnd w:id="607"/>
      <w:bookmarkEnd w:id="608"/>
      <w:bookmarkEnd w:id="609"/>
      <w:bookmarkEnd w:id="610"/>
    </w:p>
    <w:p>
      <w:pPr>
        <w:rPr>
          <w:rFonts w:cs="Times New Roman"/>
          <w:color w:val="auto"/>
          <w:highlight w:val="none"/>
        </w:rPr>
      </w:pPr>
      <w:r>
        <w:rPr>
          <w:rFonts w:cs="Times New Roman"/>
          <w:color w:val="auto"/>
          <w:highlight w:val="none"/>
        </w:rPr>
        <w:t>（1）</w:t>
      </w:r>
      <w:bookmarkStart w:id="611" w:name="_Toc522435082"/>
      <w:r>
        <w:rPr>
          <w:rFonts w:cs="Times New Roman"/>
          <w:color w:val="auto"/>
          <w:highlight w:val="none"/>
        </w:rPr>
        <w:t>建立稳定投入机制</w:t>
      </w:r>
      <w:bookmarkEnd w:id="611"/>
    </w:p>
    <w:p>
      <w:pPr>
        <w:rPr>
          <w:rFonts w:cs="Times New Roman"/>
          <w:color w:val="auto"/>
          <w:highlight w:val="none"/>
        </w:rPr>
      </w:pPr>
      <w:r>
        <w:rPr>
          <w:rFonts w:cs="Times New Roman"/>
          <w:color w:val="auto"/>
          <w:highlight w:val="none"/>
        </w:rPr>
        <w:t>各政府部门应重视水土保持防治工作，对水土保持规划确定的任务，安排资金组织实施。将水土流失治理专项资金和当年度政府计划购买的水土保持技术服务列入政府部门财政预算内，逐步建立并完善以公共财政投入为主、与经济社会发展水平相适应的稳定投入机制，确保水土保持生态建设得到良好发展。</w:t>
      </w:r>
    </w:p>
    <w:p>
      <w:pPr>
        <w:rPr>
          <w:rFonts w:cs="Times New Roman"/>
          <w:color w:val="auto"/>
          <w:highlight w:val="none"/>
        </w:rPr>
      </w:pPr>
      <w:r>
        <w:rPr>
          <w:rFonts w:cs="Times New Roman"/>
          <w:color w:val="auto"/>
          <w:highlight w:val="none"/>
        </w:rPr>
        <w:t>（2）规范水土保持补偿费征收管理</w:t>
      </w:r>
    </w:p>
    <w:p>
      <w:pPr>
        <w:rPr>
          <w:rFonts w:cs="Times New Roman"/>
          <w:color w:val="auto"/>
          <w:highlight w:val="none"/>
        </w:rPr>
      </w:pPr>
      <w:r>
        <w:rPr>
          <w:rFonts w:cs="Times New Roman"/>
          <w:color w:val="auto"/>
          <w:highlight w:val="none"/>
        </w:rPr>
        <w:t>要依法依规做好水土保持补偿费的征收管理工作。对损坏水土保持设施、地貌植被，不能恢复原有水土保持功能的生产建设活动依法征收水土保持补偿费，并专项用于水土流失预防和治理工作，切实保障水土保持补偿费“</w:t>
      </w:r>
      <w:r>
        <w:rPr>
          <w:rFonts w:hint="eastAsia" w:cs="Times New Roman"/>
          <w:color w:val="auto"/>
          <w:highlight w:val="none"/>
          <w:lang w:eastAsia="zh-CN"/>
        </w:rPr>
        <w:t>取之于</w:t>
      </w:r>
      <w:r>
        <w:rPr>
          <w:rFonts w:cs="Times New Roman"/>
          <w:color w:val="auto"/>
          <w:highlight w:val="none"/>
        </w:rPr>
        <w:t>水土流失，用之于水土保持”。</w:t>
      </w:r>
    </w:p>
    <w:p>
      <w:pPr>
        <w:rPr>
          <w:rFonts w:cs="Times New Roman"/>
          <w:color w:val="auto"/>
          <w:highlight w:val="none"/>
        </w:rPr>
      </w:pPr>
      <w:r>
        <w:rPr>
          <w:rFonts w:cs="Times New Roman"/>
          <w:color w:val="auto"/>
          <w:highlight w:val="none"/>
        </w:rPr>
        <w:t>（3）拓宽水土保持资金渠道</w:t>
      </w:r>
    </w:p>
    <w:p>
      <w:pPr>
        <w:rPr>
          <w:rFonts w:cs="Times New Roman"/>
          <w:color w:val="auto"/>
          <w:highlight w:val="none"/>
        </w:rPr>
      </w:pPr>
      <w:r>
        <w:rPr>
          <w:rFonts w:cs="Times New Roman"/>
          <w:color w:val="auto"/>
          <w:highlight w:val="none"/>
        </w:rPr>
        <w:t>进一步深化改革，建立多渠道多元化的投入机制，统筹各相关规划水土保持任务和资金投入，鼓励和吸引金融资本、民间资本参与水土流失治理，形成水土保持资金投入合力。对于支持水土流失防治的企业和个人，积极建立税收优惠政策，完善社会激励机制和奖补机制，充分调动社会各界</w:t>
      </w:r>
      <w:r>
        <w:rPr>
          <w:rFonts w:hint="eastAsia" w:cs="Times New Roman"/>
          <w:color w:val="auto"/>
          <w:highlight w:val="none"/>
          <w:lang w:val="en-US" w:eastAsia="zh-CN"/>
        </w:rPr>
        <w:t>投资</w:t>
      </w:r>
      <w:r>
        <w:rPr>
          <w:rFonts w:cs="Times New Roman"/>
          <w:color w:val="auto"/>
          <w:highlight w:val="none"/>
        </w:rPr>
        <w:t>主体的积极性，形成“政府、集体、个人”的多元化投资格局。</w:t>
      </w:r>
    </w:p>
    <w:p>
      <w:pPr>
        <w:pStyle w:val="3"/>
        <w:spacing w:before="156"/>
        <w:ind w:firstLine="602"/>
        <w:rPr>
          <w:color w:val="auto"/>
          <w:highlight w:val="none"/>
          <w:lang w:val="en-US"/>
        </w:rPr>
      </w:pPr>
      <w:bookmarkStart w:id="612" w:name="_Toc119515969"/>
      <w:bookmarkStart w:id="613" w:name="_Toc482812814"/>
      <w:bookmarkStart w:id="614" w:name="_Toc30769"/>
      <w:bookmarkStart w:id="615" w:name="_Toc90399132"/>
      <w:bookmarkStart w:id="616" w:name="_Toc11116"/>
      <w:bookmarkStart w:id="617" w:name="_Toc528946040"/>
      <w:r>
        <w:rPr>
          <w:color w:val="auto"/>
          <w:highlight w:val="none"/>
          <w:lang w:val="en-US"/>
        </w:rPr>
        <w:t>12.4</w:t>
      </w:r>
      <w:r>
        <w:rPr>
          <w:color w:val="auto"/>
          <w:highlight w:val="none"/>
        </w:rPr>
        <w:t>科技保障</w:t>
      </w:r>
      <w:bookmarkEnd w:id="612"/>
      <w:bookmarkEnd w:id="613"/>
      <w:bookmarkEnd w:id="614"/>
      <w:bookmarkEnd w:id="615"/>
      <w:bookmarkEnd w:id="616"/>
      <w:bookmarkEnd w:id="617"/>
    </w:p>
    <w:p>
      <w:pPr>
        <w:rPr>
          <w:rFonts w:cs="Times New Roman"/>
          <w:color w:val="auto"/>
          <w:highlight w:val="none"/>
        </w:rPr>
      </w:pPr>
      <w:r>
        <w:rPr>
          <w:rFonts w:cs="Times New Roman"/>
          <w:color w:val="auto"/>
          <w:highlight w:val="none"/>
        </w:rPr>
        <w:t>（1）加大科技支持和投入</w:t>
      </w:r>
    </w:p>
    <w:p>
      <w:pPr>
        <w:rPr>
          <w:rFonts w:cs="Times New Roman"/>
          <w:color w:val="auto"/>
          <w:highlight w:val="none"/>
        </w:rPr>
      </w:pPr>
      <w:r>
        <w:rPr>
          <w:rFonts w:cs="Times New Roman"/>
          <w:color w:val="auto"/>
          <w:highlight w:val="none"/>
        </w:rPr>
        <w:t>水土保持是一项长期的工作，需要长期的基础数据积累和水土保持科研的支持。政府部门要重视水土保持科技工作，加大水土保持科技投入，支持水土保持学科发展和产学研体系建设，强化技术培训和科技人才培养，加强水土保持关键技术研究。</w:t>
      </w:r>
    </w:p>
    <w:p>
      <w:pPr>
        <w:rPr>
          <w:rFonts w:cs="Times New Roman"/>
          <w:color w:val="auto"/>
          <w:highlight w:val="none"/>
        </w:rPr>
      </w:pPr>
      <w:r>
        <w:rPr>
          <w:rFonts w:cs="Times New Roman"/>
          <w:color w:val="auto"/>
          <w:highlight w:val="none"/>
        </w:rPr>
        <w:t>（2）加强科技成果推广</w:t>
      </w:r>
    </w:p>
    <w:p>
      <w:pPr>
        <w:rPr>
          <w:rFonts w:cs="Times New Roman"/>
          <w:color w:val="auto"/>
          <w:highlight w:val="none"/>
        </w:rPr>
      </w:pPr>
      <w:r>
        <w:rPr>
          <w:rFonts w:cs="Times New Roman"/>
          <w:color w:val="auto"/>
          <w:highlight w:val="none"/>
        </w:rPr>
        <w:t>大力开展水土保持科技示范与推广，将治理与开发相结合，加快科技成果转化，不断提高水土保持对经济社会发展的科技贡献。推动水土保持科技创新，加强国内外先进技术的交流与合作，推广应用水土保持新材料、新工艺、新技术。</w:t>
      </w:r>
    </w:p>
    <w:p>
      <w:pPr>
        <w:pStyle w:val="3"/>
        <w:spacing w:before="156"/>
        <w:ind w:firstLine="602"/>
        <w:rPr>
          <w:color w:val="auto"/>
          <w:highlight w:val="none"/>
        </w:rPr>
      </w:pPr>
      <w:bookmarkStart w:id="618" w:name="_Toc482812815"/>
      <w:bookmarkStart w:id="619" w:name="_Toc119515970"/>
      <w:bookmarkStart w:id="620" w:name="_Toc32538"/>
      <w:bookmarkStart w:id="621" w:name="_Toc17355"/>
      <w:bookmarkStart w:id="622" w:name="_Toc528946041"/>
      <w:bookmarkStart w:id="623" w:name="_Toc90399133"/>
      <w:bookmarkStart w:id="624" w:name="_Toc497209013"/>
      <w:bookmarkStart w:id="625" w:name="_Toc499527254"/>
      <w:bookmarkStart w:id="626" w:name="_Toc497746622"/>
      <w:bookmarkStart w:id="627" w:name="_Toc497994765"/>
      <w:bookmarkStart w:id="628" w:name="_Toc497536182"/>
      <w:bookmarkStart w:id="629" w:name="_Toc498177835"/>
      <w:bookmarkStart w:id="630" w:name="_Toc522435074"/>
      <w:bookmarkStart w:id="631" w:name="_Toc497747117"/>
      <w:bookmarkStart w:id="632" w:name="_Toc497530208"/>
      <w:bookmarkStart w:id="633" w:name="_Toc500668830"/>
      <w:r>
        <w:rPr>
          <w:color w:val="auto"/>
          <w:highlight w:val="none"/>
        </w:rPr>
        <w:t>12.5宣传保障</w:t>
      </w:r>
      <w:bookmarkEnd w:id="618"/>
      <w:bookmarkEnd w:id="619"/>
      <w:bookmarkEnd w:id="620"/>
      <w:bookmarkEnd w:id="621"/>
      <w:bookmarkEnd w:id="622"/>
      <w:bookmarkEnd w:id="623"/>
    </w:p>
    <w:p>
      <w:pPr>
        <w:rPr>
          <w:rFonts w:cs="Times New Roman"/>
          <w:color w:val="auto"/>
          <w:highlight w:val="none"/>
        </w:rPr>
      </w:pPr>
      <w:r>
        <w:rPr>
          <w:rFonts w:cs="Times New Roman"/>
          <w:color w:val="auto"/>
          <w:highlight w:val="none"/>
        </w:rPr>
        <w:t>水土保持是我国的一项基本国策，应采取多种传播形式，广泛、深入、持久地开展水土保持宣传，大力营造水土保持生态建设氛围</w:t>
      </w:r>
      <w:bookmarkEnd w:id="624"/>
      <w:bookmarkEnd w:id="625"/>
      <w:bookmarkEnd w:id="626"/>
      <w:bookmarkEnd w:id="627"/>
      <w:bookmarkEnd w:id="628"/>
      <w:bookmarkEnd w:id="629"/>
      <w:bookmarkEnd w:id="630"/>
      <w:bookmarkEnd w:id="631"/>
      <w:bookmarkEnd w:id="632"/>
      <w:bookmarkEnd w:id="633"/>
      <w:r>
        <w:rPr>
          <w:rFonts w:cs="Times New Roman"/>
          <w:color w:val="auto"/>
          <w:highlight w:val="none"/>
        </w:rPr>
        <w:t>。</w:t>
      </w:r>
    </w:p>
    <w:p>
      <w:pPr>
        <w:rPr>
          <w:rFonts w:cs="Times New Roman"/>
          <w:color w:val="auto"/>
          <w:highlight w:val="none"/>
        </w:rPr>
      </w:pPr>
      <w:r>
        <w:rPr>
          <w:rFonts w:cs="Times New Roman"/>
          <w:color w:val="auto"/>
          <w:highlight w:val="none"/>
        </w:rPr>
        <w:t>（1）通过电台、电视、报刊、互联网等新旧媒体广泛宣传，对水土保持先进单位和个人进行表彰，发挥先锋模范的示范作用；对水土保持违法违规案例予以曝光，发挥负面典型的警示教育作用。</w:t>
      </w:r>
    </w:p>
    <w:p>
      <w:pPr>
        <w:rPr>
          <w:rFonts w:cs="Times New Roman"/>
          <w:color w:val="auto"/>
          <w:highlight w:val="none"/>
        </w:rPr>
      </w:pPr>
      <w:r>
        <w:rPr>
          <w:rFonts w:cs="Times New Roman"/>
          <w:color w:val="auto"/>
          <w:highlight w:val="none"/>
        </w:rPr>
        <w:t>（2）把水土保持教育纳入国民教育体系，加大水土保持科普教育投入，建设水土保持科技科普教育基地，积极开展“水土保持进校园</w:t>
      </w:r>
      <w:r>
        <w:rPr>
          <w:rFonts w:hint="eastAsia" w:cs="Times New Roman"/>
          <w:color w:val="auto"/>
          <w:highlight w:val="none"/>
          <w:lang w:eastAsia="zh-CN"/>
        </w:rPr>
        <w:t>”“</w:t>
      </w:r>
      <w:r>
        <w:rPr>
          <w:rFonts w:cs="Times New Roman"/>
          <w:color w:val="auto"/>
          <w:highlight w:val="none"/>
        </w:rPr>
        <w:t>水土保持进党校”等活动，提高全民的水土保持法制观念和生态文明意识。</w:t>
      </w:r>
    </w:p>
    <w:p>
      <w:pPr>
        <w:rPr>
          <w:rFonts w:cs="Times New Roman"/>
          <w:color w:val="auto"/>
          <w:highlight w:val="none"/>
        </w:rPr>
      </w:pPr>
      <w:r>
        <w:rPr>
          <w:rFonts w:cs="Times New Roman"/>
          <w:color w:val="auto"/>
          <w:highlight w:val="none"/>
        </w:rPr>
        <w:t>（3）为政府和公众交流搭建网络平台，满足公众对水土保持有关的监督投诉、建言献策、政策咨询等需求，激发全社会共同参与水土保持的热情。</w:t>
      </w:r>
    </w:p>
    <w:p>
      <w:pPr>
        <w:widowControl/>
        <w:adjustRightInd/>
        <w:spacing w:line="240" w:lineRule="auto"/>
        <w:ind w:firstLine="0" w:firstLineChars="0"/>
        <w:jc w:val="left"/>
        <w:rPr>
          <w:rFonts w:cs="Times New Roman"/>
          <w:color w:val="auto"/>
          <w:highlight w:val="none"/>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cols w:space="425" w:num="1"/>
          <w:docGrid w:type="lines" w:linePitch="312" w:charSpace="0"/>
        </w:sectPr>
      </w:pPr>
    </w:p>
    <w:p>
      <w:pPr>
        <w:rPr>
          <w:rFonts w:cs="Times New Roman"/>
          <w:color w:val="auto"/>
          <w:highlight w:val="none"/>
        </w:rPr>
      </w:pPr>
      <w:r>
        <w:rPr>
          <w:rFonts w:eastAsia="黑体" w:cs="Times New Roman"/>
          <w:color w:val="auto"/>
          <w:szCs w:val="24"/>
          <w:highlight w:val="none"/>
          <w:lang w:val="zh-CN"/>
        </w:rPr>
        <w:t>附表1                                柳江区气象特征表</w:t>
      </w:r>
    </w:p>
    <w:tbl>
      <w:tblPr>
        <w:tblStyle w:val="30"/>
        <w:tblW w:w="1417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2"/>
        <w:gridCol w:w="1315"/>
        <w:gridCol w:w="1440"/>
        <w:gridCol w:w="1298"/>
        <w:gridCol w:w="1440"/>
        <w:gridCol w:w="1729"/>
        <w:gridCol w:w="1616"/>
        <w:gridCol w:w="1406"/>
        <w:gridCol w:w="1049"/>
        <w:gridCol w:w="13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562"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行政区域</w:t>
            </w:r>
          </w:p>
        </w:tc>
        <w:tc>
          <w:tcPr>
            <w:tcW w:w="1315"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多年平均气温（℃）</w:t>
            </w:r>
          </w:p>
        </w:tc>
        <w:tc>
          <w:tcPr>
            <w:tcW w:w="1440"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年极端最高气温（℃）</w:t>
            </w:r>
          </w:p>
        </w:tc>
        <w:tc>
          <w:tcPr>
            <w:tcW w:w="1298"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年极端最低气温（℃）</w:t>
            </w:r>
          </w:p>
        </w:tc>
        <w:tc>
          <w:tcPr>
            <w:tcW w:w="1440"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无霜期（天）</w:t>
            </w:r>
          </w:p>
        </w:tc>
        <w:tc>
          <w:tcPr>
            <w:tcW w:w="1729"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多年平均日照时数（小时）</w:t>
            </w:r>
          </w:p>
        </w:tc>
        <w:tc>
          <w:tcPr>
            <w:tcW w:w="1616"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多年平均降水量（mm）</w:t>
            </w:r>
          </w:p>
        </w:tc>
        <w:tc>
          <w:tcPr>
            <w:tcW w:w="1406"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年均相对湿度（%）</w:t>
            </w:r>
          </w:p>
        </w:tc>
        <w:tc>
          <w:tcPr>
            <w:tcW w:w="1049"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历年平均风速（m/s）</w:t>
            </w:r>
          </w:p>
        </w:tc>
        <w:tc>
          <w:tcPr>
            <w:tcW w:w="1319" w:type="dxa"/>
            <w:shd w:val="clear" w:color="auto" w:fill="auto"/>
            <w:vAlign w:val="center"/>
          </w:tcPr>
          <w:p>
            <w:pPr>
              <w:snapToGrid w:val="0"/>
              <w:spacing w:line="240" w:lineRule="auto"/>
              <w:ind w:firstLine="0" w:firstLineChars="0"/>
              <w:jc w:val="center"/>
              <w:rPr>
                <w:rFonts w:eastAsia="黑体" w:cs="Times New Roman"/>
                <w:color w:val="auto"/>
                <w:sz w:val="21"/>
                <w:szCs w:val="21"/>
                <w:highlight w:val="none"/>
              </w:rPr>
            </w:pPr>
            <w:r>
              <w:rPr>
                <w:rFonts w:eastAsia="黑体" w:cs="Times New Roman"/>
                <w:color w:val="auto"/>
                <w:sz w:val="21"/>
                <w:szCs w:val="21"/>
                <w:highlight w:val="none"/>
              </w:rPr>
              <w:t>多年平均蒸发量（mm）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6" w:hRule="atLeast"/>
          <w:jc w:val="center"/>
        </w:trPr>
        <w:tc>
          <w:tcPr>
            <w:tcW w:w="1562" w:type="dxa"/>
            <w:shd w:val="clear" w:color="auto" w:fill="auto"/>
            <w:noWrap/>
            <w:vAlign w:val="center"/>
          </w:tcPr>
          <w:p>
            <w:pPr>
              <w:ind w:firstLine="0" w:firstLineChars="0"/>
              <w:jc w:val="center"/>
              <w:rPr>
                <w:rFonts w:cs="Times New Roman"/>
                <w:color w:val="auto"/>
                <w:sz w:val="21"/>
                <w:szCs w:val="21"/>
                <w:highlight w:val="none"/>
              </w:rPr>
            </w:pPr>
            <w:r>
              <w:rPr>
                <w:rFonts w:cs="Times New Roman"/>
                <w:color w:val="auto"/>
                <w:sz w:val="21"/>
                <w:szCs w:val="21"/>
                <w:highlight w:val="none"/>
              </w:rPr>
              <w:t>柳江区</w:t>
            </w:r>
          </w:p>
        </w:tc>
        <w:tc>
          <w:tcPr>
            <w:tcW w:w="1315" w:type="dxa"/>
            <w:shd w:val="clear" w:color="auto" w:fill="auto"/>
            <w:noWrap/>
            <w:vAlign w:val="center"/>
          </w:tcPr>
          <w:p>
            <w:pPr>
              <w:ind w:firstLine="0" w:firstLineChars="0"/>
              <w:jc w:val="center"/>
              <w:rPr>
                <w:rFonts w:hint="eastAsia" w:eastAsia="仿宋" w:cs="Times New Roman"/>
                <w:color w:val="auto"/>
                <w:sz w:val="21"/>
                <w:szCs w:val="21"/>
                <w:highlight w:val="none"/>
                <w:lang w:eastAsia="zh-CN"/>
              </w:rPr>
            </w:pPr>
            <w:r>
              <w:rPr>
                <w:rFonts w:cs="Times New Roman"/>
                <w:color w:val="auto"/>
                <w:sz w:val="21"/>
                <w:szCs w:val="21"/>
                <w:highlight w:val="none"/>
              </w:rPr>
              <w:t>20.</w:t>
            </w:r>
            <w:r>
              <w:rPr>
                <w:rFonts w:hint="eastAsia" w:cs="Times New Roman"/>
                <w:color w:val="auto"/>
                <w:sz w:val="21"/>
                <w:szCs w:val="21"/>
                <w:highlight w:val="none"/>
                <w:lang w:val="en-US" w:eastAsia="zh-CN"/>
              </w:rPr>
              <w:t>9</w:t>
            </w:r>
          </w:p>
        </w:tc>
        <w:tc>
          <w:tcPr>
            <w:tcW w:w="1440" w:type="dxa"/>
            <w:shd w:val="clear" w:color="auto" w:fill="auto"/>
            <w:noWrap/>
            <w:vAlign w:val="center"/>
          </w:tcPr>
          <w:p>
            <w:pPr>
              <w:ind w:firstLine="0" w:firstLineChars="0"/>
              <w:jc w:val="center"/>
              <w:rPr>
                <w:rFonts w:hint="eastAsia" w:eastAsia="仿宋" w:cs="Times New Roman"/>
                <w:color w:val="auto"/>
                <w:sz w:val="21"/>
                <w:szCs w:val="21"/>
                <w:highlight w:val="none"/>
                <w:lang w:eastAsia="zh-CN"/>
              </w:rPr>
            </w:pPr>
            <w:r>
              <w:rPr>
                <w:rFonts w:cs="Times New Roman"/>
                <w:color w:val="auto"/>
                <w:sz w:val="21"/>
                <w:szCs w:val="21"/>
                <w:highlight w:val="none"/>
              </w:rPr>
              <w:t>39.</w:t>
            </w:r>
            <w:r>
              <w:rPr>
                <w:rFonts w:hint="eastAsia" w:cs="Times New Roman"/>
                <w:color w:val="auto"/>
                <w:sz w:val="21"/>
                <w:szCs w:val="21"/>
                <w:highlight w:val="none"/>
                <w:lang w:val="en-US" w:eastAsia="zh-CN"/>
              </w:rPr>
              <w:t>0</w:t>
            </w:r>
          </w:p>
        </w:tc>
        <w:tc>
          <w:tcPr>
            <w:tcW w:w="1298" w:type="dxa"/>
            <w:shd w:val="clear" w:color="auto" w:fill="auto"/>
            <w:noWrap/>
            <w:vAlign w:val="center"/>
          </w:tcPr>
          <w:p>
            <w:pPr>
              <w:ind w:firstLine="0" w:firstLineChars="0"/>
              <w:jc w:val="center"/>
              <w:rPr>
                <w:rFonts w:hint="eastAsia" w:eastAsia="仿宋" w:cs="Times New Roman"/>
                <w:color w:val="auto"/>
                <w:sz w:val="21"/>
                <w:szCs w:val="21"/>
                <w:highlight w:val="none"/>
                <w:lang w:eastAsia="zh-CN"/>
              </w:rPr>
            </w:pPr>
            <w:r>
              <w:rPr>
                <w:rFonts w:cs="Times New Roman"/>
                <w:color w:val="auto"/>
                <w:sz w:val="21"/>
                <w:szCs w:val="21"/>
                <w:highlight w:val="none"/>
              </w:rPr>
              <w:t>-1.</w:t>
            </w:r>
            <w:r>
              <w:rPr>
                <w:rFonts w:hint="eastAsia" w:cs="Times New Roman"/>
                <w:color w:val="auto"/>
                <w:sz w:val="21"/>
                <w:szCs w:val="21"/>
                <w:highlight w:val="none"/>
                <w:lang w:val="en-US" w:eastAsia="zh-CN"/>
              </w:rPr>
              <w:t>6</w:t>
            </w:r>
          </w:p>
        </w:tc>
        <w:tc>
          <w:tcPr>
            <w:tcW w:w="1440" w:type="dxa"/>
            <w:shd w:val="clear" w:color="auto" w:fill="auto"/>
            <w:vAlign w:val="center"/>
          </w:tcPr>
          <w:p>
            <w:pPr>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360</w:t>
            </w:r>
          </w:p>
        </w:tc>
        <w:tc>
          <w:tcPr>
            <w:tcW w:w="1729" w:type="dxa"/>
            <w:shd w:val="clear" w:color="auto" w:fill="auto"/>
            <w:vAlign w:val="center"/>
          </w:tcPr>
          <w:p>
            <w:pPr>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1396.8</w:t>
            </w:r>
          </w:p>
        </w:tc>
        <w:tc>
          <w:tcPr>
            <w:tcW w:w="1616" w:type="dxa"/>
            <w:shd w:val="clear" w:color="auto" w:fill="auto"/>
            <w:vAlign w:val="center"/>
          </w:tcPr>
          <w:p>
            <w:pPr>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1543.8</w:t>
            </w:r>
          </w:p>
        </w:tc>
        <w:tc>
          <w:tcPr>
            <w:tcW w:w="1406" w:type="dxa"/>
            <w:shd w:val="clear" w:color="auto" w:fill="auto"/>
            <w:vAlign w:val="center"/>
          </w:tcPr>
          <w:p>
            <w:pPr>
              <w:ind w:firstLine="0" w:firstLineChars="0"/>
              <w:jc w:val="center"/>
              <w:rPr>
                <w:rFonts w:cs="Times New Roman"/>
                <w:color w:val="auto"/>
                <w:sz w:val="21"/>
                <w:szCs w:val="21"/>
                <w:highlight w:val="none"/>
              </w:rPr>
            </w:pPr>
            <w:r>
              <w:rPr>
                <w:rFonts w:cs="Times New Roman"/>
                <w:color w:val="auto"/>
                <w:sz w:val="21"/>
                <w:szCs w:val="21"/>
                <w:highlight w:val="none"/>
              </w:rPr>
              <w:t>76</w:t>
            </w:r>
          </w:p>
        </w:tc>
        <w:tc>
          <w:tcPr>
            <w:tcW w:w="1049" w:type="dxa"/>
            <w:shd w:val="clear" w:color="auto" w:fill="auto"/>
            <w:vAlign w:val="center"/>
          </w:tcPr>
          <w:p>
            <w:pPr>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1319" w:type="dxa"/>
            <w:shd w:val="clear" w:color="auto" w:fill="auto"/>
            <w:vAlign w:val="center"/>
          </w:tcPr>
          <w:p>
            <w:pPr>
              <w:ind w:firstLine="0" w:firstLineChars="0"/>
              <w:jc w:val="center"/>
              <w:rPr>
                <w:rFonts w:hint="default"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1510.8</w:t>
            </w:r>
          </w:p>
        </w:tc>
      </w:tr>
    </w:tbl>
    <w:p>
      <w:pPr>
        <w:rPr>
          <w:rFonts w:eastAsia="黑体" w:cs="Times New Roman"/>
          <w:color w:val="auto"/>
          <w:highlight w:val="none"/>
        </w:rPr>
      </w:pPr>
    </w:p>
    <w:p>
      <w:pPr>
        <w:rPr>
          <w:rFonts w:eastAsia="黑体" w:cs="Times New Roman"/>
          <w:color w:val="auto"/>
          <w:highlight w:val="none"/>
        </w:rPr>
      </w:pPr>
    </w:p>
    <w:p>
      <w:pPr>
        <w:rPr>
          <w:rFonts w:eastAsia="黑体" w:cs="Times New Roman"/>
          <w:color w:val="auto"/>
          <w:highlight w:val="none"/>
        </w:rPr>
      </w:pPr>
    </w:p>
    <w:p>
      <w:pPr>
        <w:pStyle w:val="12"/>
        <w:ind w:firstLine="560"/>
        <w:rPr>
          <w:rFonts w:eastAsia="黑体"/>
          <w:color w:val="auto"/>
          <w:highlight w:val="none"/>
        </w:rPr>
      </w:pPr>
      <w:r>
        <w:rPr>
          <w:rFonts w:eastAsia="黑体"/>
          <w:color w:val="auto"/>
          <w:highlight w:val="none"/>
        </w:rPr>
        <w:t>附表2                             柳江区社会经济现状表</w:t>
      </w:r>
    </w:p>
    <w:tbl>
      <w:tblPr>
        <w:tblStyle w:val="31"/>
        <w:tblW w:w="12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26"/>
        <w:gridCol w:w="1126"/>
        <w:gridCol w:w="1261"/>
        <w:gridCol w:w="1121"/>
        <w:gridCol w:w="1121"/>
        <w:gridCol w:w="1163"/>
        <w:gridCol w:w="1224"/>
        <w:gridCol w:w="152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0" w:type="dxa"/>
            <w:vAlign w:val="center"/>
          </w:tcPr>
          <w:p>
            <w:pPr>
              <w:ind w:firstLine="0" w:firstLineChars="0"/>
              <w:rPr>
                <w:rFonts w:eastAsia="黑体" w:cs="Times New Roman"/>
                <w:color w:val="auto"/>
                <w:kern w:val="0"/>
                <w:sz w:val="21"/>
                <w:szCs w:val="21"/>
                <w:highlight w:val="none"/>
              </w:rPr>
            </w:pPr>
            <w:r>
              <w:rPr>
                <w:rFonts w:eastAsia="黑体" w:cs="Times New Roman"/>
                <w:color w:val="auto"/>
                <w:kern w:val="0"/>
                <w:sz w:val="21"/>
                <w:szCs w:val="21"/>
                <w:highlight w:val="none"/>
              </w:rPr>
              <w:br w:type="page"/>
            </w:r>
            <w:r>
              <w:rPr>
                <w:rFonts w:eastAsia="黑体" w:cs="Times New Roman"/>
                <w:color w:val="auto"/>
                <w:kern w:val="0"/>
                <w:sz w:val="21"/>
                <w:szCs w:val="21"/>
                <w:highlight w:val="none"/>
              </w:rPr>
              <w:t>行政区</w:t>
            </w:r>
          </w:p>
        </w:tc>
        <w:tc>
          <w:tcPr>
            <w:tcW w:w="1126"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户籍总人口（万人）</w:t>
            </w:r>
          </w:p>
        </w:tc>
        <w:tc>
          <w:tcPr>
            <w:tcW w:w="1126"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地区生产总值</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（亿元）</w:t>
            </w:r>
          </w:p>
        </w:tc>
        <w:tc>
          <w:tcPr>
            <w:tcW w:w="1261"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第一产业增加值</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（亿元）</w:t>
            </w:r>
          </w:p>
        </w:tc>
        <w:tc>
          <w:tcPr>
            <w:tcW w:w="1121"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第二产业增加值</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（亿元）</w:t>
            </w:r>
          </w:p>
        </w:tc>
        <w:tc>
          <w:tcPr>
            <w:tcW w:w="1121"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第三产业增加值</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（亿元）</w:t>
            </w:r>
          </w:p>
        </w:tc>
        <w:tc>
          <w:tcPr>
            <w:tcW w:w="1163"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人均地区生产总值</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（元）</w:t>
            </w:r>
          </w:p>
        </w:tc>
        <w:tc>
          <w:tcPr>
            <w:tcW w:w="1224"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财政收入</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（亿元）</w:t>
            </w:r>
          </w:p>
        </w:tc>
        <w:tc>
          <w:tcPr>
            <w:tcW w:w="1522"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城镇居民人均可支配收入</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（元）</w:t>
            </w:r>
          </w:p>
        </w:tc>
        <w:tc>
          <w:tcPr>
            <w:tcW w:w="1584" w:type="dxa"/>
            <w:vAlign w:val="center"/>
          </w:tcPr>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农村居民人均可支配收入</w:t>
            </w:r>
          </w:p>
          <w:p>
            <w:pPr>
              <w:snapToGrid w:val="0"/>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90" w:type="dxa"/>
            <w:vAlign w:val="center"/>
          </w:tcPr>
          <w:p>
            <w:pPr>
              <w:snapToGrid w:val="0"/>
              <w:spacing w:line="240" w:lineRule="auto"/>
              <w:ind w:firstLine="0" w:firstLineChars="0"/>
              <w:jc w:val="center"/>
              <w:rPr>
                <w:rFonts w:cs="Times New Roman"/>
                <w:color w:val="auto"/>
                <w:kern w:val="0"/>
                <w:sz w:val="21"/>
                <w:szCs w:val="21"/>
                <w:highlight w:val="none"/>
              </w:rPr>
            </w:pPr>
            <w:r>
              <w:rPr>
                <w:rFonts w:cs="Times New Roman"/>
                <w:color w:val="auto"/>
                <w:kern w:val="0"/>
                <w:sz w:val="21"/>
                <w:szCs w:val="21"/>
                <w:highlight w:val="none"/>
              </w:rPr>
              <w:t>柳江区</w:t>
            </w:r>
          </w:p>
        </w:tc>
        <w:tc>
          <w:tcPr>
            <w:tcW w:w="1126"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color w:val="auto"/>
                <w:kern w:val="0"/>
                <w:sz w:val="21"/>
                <w:szCs w:val="21"/>
                <w:highlight w:val="none"/>
                <w:lang w:val="en-US"/>
              </w:rPr>
              <w:t>48.</w:t>
            </w:r>
            <w:r>
              <w:rPr>
                <w:rFonts w:hint="eastAsia"/>
                <w:color w:val="auto"/>
                <w:kern w:val="0"/>
                <w:sz w:val="21"/>
                <w:szCs w:val="21"/>
                <w:highlight w:val="none"/>
                <w:lang w:val="en-US" w:eastAsia="zh-CN"/>
              </w:rPr>
              <w:t>40</w:t>
            </w:r>
          </w:p>
        </w:tc>
        <w:tc>
          <w:tcPr>
            <w:tcW w:w="1126"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286.14</w:t>
            </w:r>
          </w:p>
        </w:tc>
        <w:tc>
          <w:tcPr>
            <w:tcW w:w="1261"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46.51</w:t>
            </w:r>
          </w:p>
        </w:tc>
        <w:tc>
          <w:tcPr>
            <w:tcW w:w="1121"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87.70</w:t>
            </w:r>
          </w:p>
        </w:tc>
        <w:tc>
          <w:tcPr>
            <w:tcW w:w="1121"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151.93</w:t>
            </w:r>
          </w:p>
        </w:tc>
        <w:tc>
          <w:tcPr>
            <w:tcW w:w="1163"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59120</w:t>
            </w:r>
          </w:p>
        </w:tc>
        <w:tc>
          <w:tcPr>
            <w:tcW w:w="1224"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25.09</w:t>
            </w:r>
          </w:p>
        </w:tc>
        <w:tc>
          <w:tcPr>
            <w:tcW w:w="1522"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42025</w:t>
            </w:r>
          </w:p>
        </w:tc>
        <w:tc>
          <w:tcPr>
            <w:tcW w:w="1584" w:type="dxa"/>
            <w:vAlign w:val="center"/>
          </w:tcPr>
          <w:p>
            <w:pPr>
              <w:pStyle w:val="12"/>
              <w:snapToGrid w:val="0"/>
              <w:spacing w:line="240" w:lineRule="auto"/>
              <w:ind w:firstLine="0" w:firstLineChars="0"/>
              <w:jc w:val="center"/>
              <w:rPr>
                <w:rFonts w:hint="default" w:eastAsia="华文仿宋"/>
                <w:color w:val="auto"/>
                <w:kern w:val="0"/>
                <w:sz w:val="21"/>
                <w:szCs w:val="21"/>
                <w:highlight w:val="none"/>
                <w:lang w:val="en-US" w:eastAsia="zh-CN"/>
              </w:rPr>
            </w:pPr>
            <w:r>
              <w:rPr>
                <w:rFonts w:hint="eastAsia"/>
                <w:color w:val="auto"/>
                <w:kern w:val="0"/>
                <w:sz w:val="21"/>
                <w:szCs w:val="21"/>
                <w:highlight w:val="none"/>
                <w:lang w:val="en-US" w:eastAsia="zh-CN"/>
              </w:rPr>
              <w:t>17943</w:t>
            </w:r>
          </w:p>
        </w:tc>
      </w:tr>
    </w:tbl>
    <w:p>
      <w:pPr>
        <w:rPr>
          <w:rFonts w:eastAsia="黑体" w:cs="Times New Roman"/>
          <w:color w:val="auto"/>
          <w:highlight w:val="none"/>
        </w:rPr>
      </w:pPr>
    </w:p>
    <w:p>
      <w:pPr>
        <w:rPr>
          <w:rFonts w:eastAsia="黑体" w:cs="Times New Roman"/>
          <w:color w:val="auto"/>
          <w:highlight w:val="none"/>
        </w:rPr>
        <w:sectPr>
          <w:headerReference r:id="rId20" w:type="first"/>
          <w:footerReference r:id="rId23" w:type="first"/>
          <w:headerReference r:id="rId18" w:type="default"/>
          <w:footerReference r:id="rId21" w:type="default"/>
          <w:headerReference r:id="rId19" w:type="even"/>
          <w:footerReference r:id="rId22" w:type="even"/>
          <w:pgSz w:w="16838" w:h="11906" w:orient="landscape"/>
          <w:pgMar w:top="1797" w:right="1440" w:bottom="1797" w:left="1440" w:header="851" w:footer="992" w:gutter="0"/>
          <w:cols w:space="0" w:num="1"/>
          <w:docGrid w:type="lines" w:linePitch="395" w:charSpace="0"/>
        </w:sectPr>
      </w:pPr>
    </w:p>
    <w:p>
      <w:pPr>
        <w:pStyle w:val="12"/>
        <w:ind w:firstLine="560"/>
        <w:rPr>
          <w:rFonts w:eastAsia="黑体"/>
          <w:color w:val="auto"/>
          <w:highlight w:val="none"/>
        </w:rPr>
      </w:pPr>
      <w:r>
        <w:rPr>
          <w:rFonts w:eastAsia="黑体"/>
          <w:color w:val="auto"/>
          <w:highlight w:val="none"/>
        </w:rPr>
        <w:t>附表3                             柳江区土地利用现状表单位：km</w:t>
      </w:r>
      <w:r>
        <w:rPr>
          <w:rFonts w:eastAsia="黑体"/>
          <w:color w:val="auto"/>
          <w:highlight w:val="none"/>
          <w:vertAlign w:val="superscript"/>
        </w:rPr>
        <w:t>2</w:t>
      </w:r>
    </w:p>
    <w:tbl>
      <w:tblPr>
        <w:tblStyle w:val="30"/>
        <w:tblW w:w="10728" w:type="dxa"/>
        <w:jc w:val="center"/>
        <w:tblInd w:w="0" w:type="dxa"/>
        <w:tblLayout w:type="fixed"/>
        <w:tblCellMar>
          <w:top w:w="0" w:type="dxa"/>
          <w:left w:w="108" w:type="dxa"/>
          <w:bottom w:w="0" w:type="dxa"/>
          <w:right w:w="108" w:type="dxa"/>
        </w:tblCellMar>
      </w:tblPr>
      <w:tblGrid>
        <w:gridCol w:w="1004"/>
        <w:gridCol w:w="1498"/>
        <w:gridCol w:w="905"/>
        <w:gridCol w:w="905"/>
        <w:gridCol w:w="905"/>
        <w:gridCol w:w="905"/>
        <w:gridCol w:w="905"/>
        <w:gridCol w:w="905"/>
        <w:gridCol w:w="899"/>
        <w:gridCol w:w="905"/>
        <w:gridCol w:w="992"/>
      </w:tblGrid>
      <w:tr>
        <w:tblPrEx>
          <w:tblLayout w:type="fixed"/>
          <w:tblCellMar>
            <w:top w:w="0" w:type="dxa"/>
            <w:left w:w="108" w:type="dxa"/>
            <w:bottom w:w="0" w:type="dxa"/>
            <w:right w:w="108" w:type="dxa"/>
          </w:tblCellMar>
        </w:tblPrEx>
        <w:trPr>
          <w:trHeight w:val="20" w:hRule="atLeast"/>
          <w:tblHeader/>
          <w:jc w:val="center"/>
        </w:trPr>
        <w:tc>
          <w:tcPr>
            <w:tcW w:w="25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行政区域</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百朋镇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成团镇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穿山镇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进德镇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拉堡镇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里高镇</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三都镇</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土博镇</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b/>
                <w:bCs/>
                <w:color w:val="auto"/>
                <w:kern w:val="0"/>
                <w:sz w:val="18"/>
                <w:szCs w:val="18"/>
                <w:highlight w:val="none"/>
              </w:rPr>
            </w:pPr>
            <w:r>
              <w:rPr>
                <w:rFonts w:eastAsia="宋体" w:cs="Times New Roman"/>
                <w:b/>
                <w:bCs/>
                <w:color w:val="auto"/>
                <w:kern w:val="0"/>
                <w:sz w:val="18"/>
                <w:szCs w:val="18"/>
                <w:highlight w:val="none"/>
              </w:rPr>
              <w:t>柳江区</w:t>
            </w: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耕地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29.99</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29.13</w:t>
            </w: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33.07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30.33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6.04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8.21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12.97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11.82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161.56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水浇地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0.01</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0.20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旱地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93.77</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22.91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225.39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40.37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4.25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26.55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16.16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71.69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501.10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123.77</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52.08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258.60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70.71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10.29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34.77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29.13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83.51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662.86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园地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果园</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0.37</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0.19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1.28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5.16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8.78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茶园</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0.43</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0.44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其他园地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0.28</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7.87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3.19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16.48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0.65</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0.59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0.19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9.15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4.84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8.35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25.70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林地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有林地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70.56</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44.92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76.07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16.29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2.80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23.08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62.05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167.55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463.32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灌木林地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113.15</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16.24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50.40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7.65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60.57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21.99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110.11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381.21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其他林地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6.46</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7.08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0.05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1.50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2.06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8.04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28.21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190.16</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62.04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133.55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26.08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3.97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85.15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86.10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285.70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180" w:firstLineChars="100"/>
              <w:rPr>
                <w:rFonts w:eastAsia="等线" w:cs="Times New Roman"/>
                <w:color w:val="auto"/>
                <w:sz w:val="18"/>
                <w:szCs w:val="18"/>
                <w:highlight w:val="none"/>
              </w:rPr>
            </w:pPr>
            <w:r>
              <w:rPr>
                <w:rFonts w:eastAsia="等线" w:cs="Times New Roman"/>
                <w:color w:val="auto"/>
                <w:sz w:val="18"/>
                <w:szCs w:val="18"/>
                <w:highlight w:val="none"/>
              </w:rPr>
              <w:t xml:space="preserve">872.74 </w:t>
            </w: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草地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其他草地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7.34</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4.12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15.01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4.06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8.64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21.42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64.23 </w:t>
            </w: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7.34</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4.12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15.01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2.82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4.06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8.64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21.42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64.23 </w:t>
            </w:r>
          </w:p>
        </w:tc>
      </w:tr>
      <w:tr>
        <w:tblPrEx>
          <w:tblLayout w:type="fixed"/>
          <w:tblCellMar>
            <w:top w:w="0" w:type="dxa"/>
            <w:left w:w="108" w:type="dxa"/>
            <w:bottom w:w="0" w:type="dxa"/>
            <w:right w:w="108" w:type="dxa"/>
          </w:tblCellMar>
        </w:tblPrEx>
        <w:trPr>
          <w:trHeight w:val="340"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城镇村及工矿用地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城市建设用地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1.17</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0.82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9.53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9.45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5.28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22.71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农村建设用地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8.38</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7.88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11.92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10.97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2.94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2.19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55.56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其他建设用地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0.01</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0.29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1.23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0.48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3.98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1.47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2.68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人为扰动用地</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1.06</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12.07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3.36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4.85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2.14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29.07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340"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10.62</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10.50</w:t>
            </w: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34.75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15.78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9.45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4.65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0.34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5.28 </w:t>
            </w:r>
          </w:p>
        </w:tc>
        <w:tc>
          <w:tcPr>
            <w:tcW w:w="992"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110.01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交通运输用地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农村道路</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其他交通</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1.39</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5.49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3.08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0.12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13.69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1.39</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0.76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5.55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2.67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3.09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0.14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0.20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0.05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13.85 </w:t>
            </w:r>
          </w:p>
          <w:p>
            <w:pPr>
              <w:widowControl/>
              <w:adjustRightInd/>
              <w:snapToGrid w:val="0"/>
              <w:spacing w:line="240" w:lineRule="auto"/>
              <w:ind w:firstLine="0" w:firstLineChars="0"/>
              <w:jc w:val="center"/>
              <w:rPr>
                <w:rFonts w:eastAsia="等线" w:cs="Times New Roman"/>
                <w:color w:val="auto"/>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100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水域及水利设施用地</w:t>
            </w: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河湖塘库水面</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3.30</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8.58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3.76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0.98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1.76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23.60 </w:t>
            </w:r>
          </w:p>
        </w:tc>
      </w:tr>
      <w:tr>
        <w:tblPrEx>
          <w:tblLayout w:type="fixed"/>
          <w:tblCellMar>
            <w:top w:w="0" w:type="dxa"/>
            <w:left w:w="108" w:type="dxa"/>
            <w:bottom w:w="0" w:type="dxa"/>
            <w:right w:w="108" w:type="dxa"/>
          </w:tblCellMar>
        </w:tblPrEx>
        <w:trPr>
          <w:trHeight w:val="496" w:hRule="exact"/>
          <w:jc w:val="center"/>
        </w:trPr>
        <w:tc>
          <w:tcPr>
            <w:tcW w:w="10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left"/>
              <w:rPr>
                <w:rFonts w:eastAsia="宋体" w:cs="Times New Roman"/>
                <w:color w:val="auto"/>
                <w:kern w:val="0"/>
                <w:sz w:val="18"/>
                <w:szCs w:val="18"/>
                <w:highlight w:val="none"/>
              </w:rPr>
            </w:pPr>
          </w:p>
        </w:tc>
        <w:tc>
          <w:tcPr>
            <w:tcW w:w="1498"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小计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等线" w:cs="Times New Roman"/>
                <w:color w:val="auto"/>
                <w:sz w:val="18"/>
                <w:szCs w:val="18"/>
                <w:highlight w:val="none"/>
              </w:rPr>
              <w:t>3.30</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1.97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8.58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3.76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0.98</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1.76 </w:t>
            </w: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1.92 </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1.35 </w:t>
            </w: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23.60 </w:t>
            </w:r>
          </w:p>
        </w:tc>
      </w:tr>
      <w:tr>
        <w:tblPrEx>
          <w:tblLayout w:type="fixed"/>
          <w:tblCellMar>
            <w:top w:w="0" w:type="dxa"/>
            <w:left w:w="108" w:type="dxa"/>
            <w:bottom w:w="0" w:type="dxa"/>
            <w:right w:w="108" w:type="dxa"/>
          </w:tblCellMar>
        </w:tblPrEx>
        <w:trPr>
          <w:trHeight w:val="284" w:hRule="exact"/>
          <w:jc w:val="center"/>
        </w:trPr>
        <w:tc>
          <w:tcPr>
            <w:tcW w:w="25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合计</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宋体" w:cs="Times New Roman"/>
                <w:color w:val="auto"/>
                <w:kern w:val="0"/>
                <w:sz w:val="18"/>
                <w:szCs w:val="18"/>
                <w:highlight w:val="none"/>
              </w:rPr>
            </w:pPr>
            <w:r>
              <w:rPr>
                <w:rFonts w:eastAsia="宋体" w:cs="Times New Roman"/>
                <w:color w:val="auto"/>
                <w:kern w:val="0"/>
                <w:sz w:val="18"/>
                <w:szCs w:val="18"/>
                <w:highlight w:val="none"/>
              </w:rPr>
              <w:t>337.23</w:t>
            </w: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131.89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469.63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125.76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39.05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140.37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899"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136.79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05"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407.71 </w:t>
            </w:r>
          </w:p>
          <w:p>
            <w:pPr>
              <w:widowControl/>
              <w:adjustRightInd/>
              <w:snapToGrid w:val="0"/>
              <w:spacing w:line="240" w:lineRule="auto"/>
              <w:ind w:firstLine="0" w:firstLineChars="0"/>
              <w:jc w:val="center"/>
              <w:rPr>
                <w:rFonts w:eastAsia="等线" w:cs="Times New Roman"/>
                <w:color w:val="auto"/>
                <w:sz w:val="18"/>
                <w:szCs w:val="18"/>
                <w:highlight w:val="none"/>
              </w:rPr>
            </w:pPr>
          </w:p>
        </w:tc>
        <w:tc>
          <w:tcPr>
            <w:tcW w:w="992" w:type="dxa"/>
            <w:tcBorders>
              <w:top w:val="nil"/>
              <w:left w:val="nil"/>
              <w:bottom w:val="single" w:color="auto" w:sz="4" w:space="0"/>
              <w:right w:val="single" w:color="auto" w:sz="4" w:space="0"/>
            </w:tcBorders>
            <w:shd w:val="clear" w:color="auto" w:fill="auto"/>
            <w:vAlign w:val="center"/>
          </w:tcPr>
          <w:p>
            <w:pPr>
              <w:widowControl/>
              <w:adjustRightInd/>
              <w:snapToGrid w:val="0"/>
              <w:spacing w:line="240" w:lineRule="auto"/>
              <w:ind w:firstLine="0" w:firstLineChars="0"/>
              <w:jc w:val="center"/>
              <w:rPr>
                <w:rFonts w:eastAsia="等线" w:cs="Times New Roman"/>
                <w:color w:val="auto"/>
                <w:sz w:val="18"/>
                <w:szCs w:val="18"/>
                <w:highlight w:val="none"/>
              </w:rPr>
            </w:pPr>
            <w:r>
              <w:rPr>
                <w:rFonts w:eastAsia="等线" w:cs="Times New Roman"/>
                <w:color w:val="auto"/>
                <w:sz w:val="18"/>
                <w:szCs w:val="18"/>
                <w:highlight w:val="none"/>
              </w:rPr>
              <w:t xml:space="preserve">1773.00 </w:t>
            </w:r>
          </w:p>
          <w:p>
            <w:pPr>
              <w:widowControl/>
              <w:adjustRightInd/>
              <w:snapToGrid w:val="0"/>
              <w:spacing w:line="240" w:lineRule="auto"/>
              <w:ind w:firstLine="0" w:firstLineChars="0"/>
              <w:jc w:val="center"/>
              <w:rPr>
                <w:rFonts w:eastAsia="等线" w:cs="Times New Roman"/>
                <w:color w:val="auto"/>
                <w:sz w:val="18"/>
                <w:szCs w:val="18"/>
                <w:highlight w:val="none"/>
              </w:rPr>
            </w:pPr>
          </w:p>
        </w:tc>
      </w:tr>
    </w:tbl>
    <w:p>
      <w:pPr>
        <w:rPr>
          <w:rFonts w:eastAsia="黑体" w:cs="Times New Roman"/>
          <w:color w:val="auto"/>
          <w:highlight w:val="none"/>
        </w:rPr>
        <w:sectPr>
          <w:pgSz w:w="16838" w:h="11906" w:orient="landscape"/>
          <w:pgMar w:top="1570" w:right="1157" w:bottom="1570" w:left="1157" w:header="851" w:footer="992" w:gutter="0"/>
          <w:cols w:space="0" w:num="1"/>
          <w:docGrid w:type="lines" w:linePitch="395" w:charSpace="0"/>
        </w:sectPr>
      </w:pPr>
    </w:p>
    <w:p>
      <w:pPr>
        <w:pStyle w:val="12"/>
        <w:ind w:firstLine="560"/>
        <w:rPr>
          <w:rFonts w:eastAsia="黑体"/>
          <w:color w:val="auto"/>
          <w:highlight w:val="none"/>
        </w:rPr>
      </w:pPr>
      <w:r>
        <w:rPr>
          <w:rFonts w:eastAsia="黑体"/>
          <w:color w:val="auto"/>
          <w:highlight w:val="none"/>
        </w:rPr>
        <w:t>附表4                            柳江区耕地坡度组成表单位：hm</w:t>
      </w:r>
      <w:r>
        <w:rPr>
          <w:rFonts w:eastAsia="黑体"/>
          <w:color w:val="auto"/>
          <w:highlight w:val="none"/>
          <w:vertAlign w:val="superscript"/>
        </w:rPr>
        <w:t>2</w:t>
      </w:r>
    </w:p>
    <w:tbl>
      <w:tblPr>
        <w:tblStyle w:val="30"/>
        <w:tblW w:w="15340" w:type="dxa"/>
        <w:tblInd w:w="-688" w:type="dxa"/>
        <w:tblLayout w:type="fixed"/>
        <w:tblCellMar>
          <w:top w:w="0" w:type="dxa"/>
          <w:left w:w="108" w:type="dxa"/>
          <w:bottom w:w="0" w:type="dxa"/>
          <w:right w:w="108" w:type="dxa"/>
        </w:tblCellMar>
      </w:tblPr>
      <w:tblGrid>
        <w:gridCol w:w="1900"/>
        <w:gridCol w:w="1600"/>
        <w:gridCol w:w="1600"/>
        <w:gridCol w:w="1600"/>
        <w:gridCol w:w="1080"/>
        <w:gridCol w:w="1080"/>
        <w:gridCol w:w="1080"/>
        <w:gridCol w:w="1080"/>
        <w:gridCol w:w="1080"/>
        <w:gridCol w:w="1080"/>
        <w:gridCol w:w="1080"/>
        <w:gridCol w:w="1080"/>
      </w:tblGrid>
      <w:tr>
        <w:tblPrEx>
          <w:tblLayout w:type="fixed"/>
          <w:tblCellMar>
            <w:top w:w="0" w:type="dxa"/>
            <w:left w:w="108" w:type="dxa"/>
            <w:bottom w:w="0" w:type="dxa"/>
            <w:right w:w="108" w:type="dxa"/>
          </w:tblCellMar>
        </w:tblPrEx>
        <w:trPr>
          <w:trHeight w:val="300" w:hRule="atLeast"/>
        </w:trPr>
        <w:tc>
          <w:tcPr>
            <w:tcW w:w="1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行政区</w:t>
            </w:r>
          </w:p>
        </w:tc>
        <w:tc>
          <w:tcPr>
            <w:tcW w:w="16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耕地面积</w:t>
            </w:r>
          </w:p>
        </w:tc>
        <w:tc>
          <w:tcPr>
            <w:tcW w:w="3200"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ind w:firstLine="0" w:firstLineChars="0"/>
              <w:jc w:val="center"/>
              <w:rPr>
                <w:rFonts w:eastAsia="黑体" w:cs="Times New Roman"/>
                <w:b/>
                <w:bCs/>
                <w:color w:val="auto"/>
                <w:kern w:val="0"/>
                <w:sz w:val="21"/>
                <w:szCs w:val="21"/>
                <w:highlight w:val="none"/>
              </w:rPr>
            </w:pPr>
            <w:r>
              <w:rPr>
                <w:rFonts w:eastAsia="黑体" w:cs="Times New Roman"/>
                <w:b/>
                <w:bCs/>
                <w:color w:val="auto"/>
                <w:kern w:val="0"/>
                <w:sz w:val="21"/>
                <w:szCs w:val="21"/>
                <w:highlight w:val="none"/>
              </w:rPr>
              <w:t>＜5°</w:t>
            </w: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1"/>
                <w:szCs w:val="21"/>
                <w:highlight w:val="none"/>
              </w:rPr>
            </w:pPr>
            <w:r>
              <w:rPr>
                <w:rFonts w:eastAsia="等线" w:cs="Times New Roman"/>
                <w:b/>
                <w:bCs/>
                <w:color w:val="auto"/>
                <w:kern w:val="0"/>
                <w:sz w:val="21"/>
                <w:szCs w:val="21"/>
                <w:highlight w:val="none"/>
              </w:rPr>
              <w:t>5°</w:t>
            </w:r>
            <w:r>
              <w:rPr>
                <w:rFonts w:eastAsia="黑体" w:cs="Times New Roman"/>
                <w:b/>
                <w:bCs/>
                <w:color w:val="auto"/>
                <w:kern w:val="0"/>
                <w:sz w:val="21"/>
                <w:szCs w:val="21"/>
                <w:highlight w:val="none"/>
              </w:rPr>
              <w:t>～</w:t>
            </w:r>
            <w:r>
              <w:rPr>
                <w:rFonts w:eastAsia="等线" w:cs="Times New Roman"/>
                <w:b/>
                <w:bCs/>
                <w:color w:val="auto"/>
                <w:kern w:val="0"/>
                <w:sz w:val="21"/>
                <w:szCs w:val="21"/>
                <w:highlight w:val="none"/>
              </w:rPr>
              <w:t>8°</w:t>
            </w: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1"/>
                <w:szCs w:val="21"/>
                <w:highlight w:val="none"/>
              </w:rPr>
            </w:pPr>
            <w:r>
              <w:rPr>
                <w:rFonts w:eastAsia="等线" w:cs="Times New Roman"/>
                <w:b/>
                <w:bCs/>
                <w:color w:val="auto"/>
                <w:kern w:val="0"/>
                <w:sz w:val="21"/>
                <w:szCs w:val="21"/>
                <w:highlight w:val="none"/>
              </w:rPr>
              <w:t>8°</w:t>
            </w:r>
            <w:r>
              <w:rPr>
                <w:rFonts w:eastAsia="黑体" w:cs="Times New Roman"/>
                <w:b/>
                <w:bCs/>
                <w:color w:val="auto"/>
                <w:kern w:val="0"/>
                <w:sz w:val="21"/>
                <w:szCs w:val="21"/>
                <w:highlight w:val="none"/>
              </w:rPr>
              <w:t>～</w:t>
            </w:r>
            <w:r>
              <w:rPr>
                <w:rFonts w:eastAsia="等线" w:cs="Times New Roman"/>
                <w:b/>
                <w:bCs/>
                <w:color w:val="auto"/>
                <w:kern w:val="0"/>
                <w:sz w:val="21"/>
                <w:szCs w:val="21"/>
                <w:highlight w:val="none"/>
              </w:rPr>
              <w:t>15°</w:t>
            </w: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ind w:firstLine="0" w:firstLineChars="0"/>
              <w:jc w:val="center"/>
              <w:rPr>
                <w:rFonts w:eastAsia="等线" w:cs="Times New Roman"/>
                <w:b/>
                <w:bCs/>
                <w:color w:val="auto"/>
                <w:kern w:val="0"/>
                <w:sz w:val="21"/>
                <w:szCs w:val="21"/>
                <w:highlight w:val="none"/>
              </w:rPr>
            </w:pPr>
            <w:r>
              <w:rPr>
                <w:rFonts w:eastAsia="等线" w:cs="Times New Roman"/>
                <w:b/>
                <w:bCs/>
                <w:color w:val="auto"/>
                <w:kern w:val="0"/>
                <w:sz w:val="21"/>
                <w:szCs w:val="21"/>
                <w:highlight w:val="none"/>
              </w:rPr>
              <w:t>15°</w:t>
            </w:r>
            <w:r>
              <w:rPr>
                <w:rFonts w:eastAsia="黑体" w:cs="Times New Roman"/>
                <w:b/>
                <w:bCs/>
                <w:color w:val="auto"/>
                <w:kern w:val="0"/>
                <w:sz w:val="21"/>
                <w:szCs w:val="21"/>
                <w:highlight w:val="none"/>
              </w:rPr>
              <w:t>～</w:t>
            </w:r>
            <w:r>
              <w:rPr>
                <w:rFonts w:eastAsia="等线" w:cs="Times New Roman"/>
                <w:b/>
                <w:bCs/>
                <w:color w:val="auto"/>
                <w:kern w:val="0"/>
                <w:sz w:val="21"/>
                <w:szCs w:val="21"/>
                <w:highlight w:val="none"/>
              </w:rPr>
              <w:t>25°</w:t>
            </w: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ind w:firstLine="0" w:firstLineChars="0"/>
              <w:jc w:val="center"/>
              <w:rPr>
                <w:rFonts w:eastAsia="黑体" w:cs="Times New Roman"/>
                <w:b/>
                <w:bCs/>
                <w:color w:val="auto"/>
                <w:kern w:val="0"/>
                <w:sz w:val="21"/>
                <w:szCs w:val="21"/>
                <w:highlight w:val="none"/>
              </w:rPr>
            </w:pPr>
            <w:r>
              <w:rPr>
                <w:rFonts w:eastAsia="黑体" w:cs="Times New Roman"/>
                <w:b/>
                <w:bCs/>
                <w:color w:val="auto"/>
                <w:kern w:val="0"/>
                <w:sz w:val="21"/>
                <w:szCs w:val="21"/>
                <w:highlight w:val="none"/>
              </w:rPr>
              <w:t>＞25°</w:t>
            </w:r>
          </w:p>
        </w:tc>
      </w:tr>
      <w:tr>
        <w:tblPrEx>
          <w:tblLayout w:type="fixed"/>
          <w:tblCellMar>
            <w:top w:w="0" w:type="dxa"/>
            <w:left w:w="108" w:type="dxa"/>
            <w:bottom w:w="0" w:type="dxa"/>
            <w:right w:w="108" w:type="dxa"/>
          </w:tblCellMar>
        </w:tblPrEx>
        <w:trPr>
          <w:trHeight w:val="600" w:hRule="atLeast"/>
        </w:trPr>
        <w:tc>
          <w:tcPr>
            <w:tcW w:w="1900"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ind w:firstLine="0" w:firstLineChars="0"/>
              <w:jc w:val="left"/>
              <w:rPr>
                <w:rFonts w:eastAsia="黑体" w:cs="Times New Roman"/>
                <w:color w:val="auto"/>
                <w:kern w:val="0"/>
                <w:sz w:val="21"/>
                <w:szCs w:val="21"/>
                <w:highlight w:val="none"/>
              </w:rPr>
            </w:pPr>
          </w:p>
        </w:tc>
        <w:tc>
          <w:tcPr>
            <w:tcW w:w="1600"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ind w:firstLine="0" w:firstLineChars="0"/>
              <w:jc w:val="left"/>
              <w:rPr>
                <w:rFonts w:eastAsia="黑体" w:cs="Times New Roman"/>
                <w:color w:val="auto"/>
                <w:kern w:val="0"/>
                <w:sz w:val="21"/>
                <w:szCs w:val="21"/>
                <w:highlight w:val="none"/>
              </w:rPr>
            </w:pP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面积（hm</w:t>
            </w:r>
            <w:r>
              <w:rPr>
                <w:rFonts w:eastAsia="黑体" w:cs="Times New Roman"/>
                <w:color w:val="auto"/>
                <w:kern w:val="0"/>
                <w:sz w:val="21"/>
                <w:szCs w:val="21"/>
                <w:highlight w:val="none"/>
                <w:vertAlign w:val="superscript"/>
              </w:rPr>
              <w:t>2</w:t>
            </w:r>
            <w:r>
              <w:rPr>
                <w:rFonts w:eastAsia="黑体" w:cs="Times New Roman"/>
                <w:color w:val="auto"/>
                <w:kern w:val="0"/>
                <w:sz w:val="21"/>
                <w:szCs w:val="21"/>
                <w:highlight w:val="none"/>
              </w:rPr>
              <w:t>）</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占比（%）</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面积（hm</w:t>
            </w:r>
            <w:r>
              <w:rPr>
                <w:rFonts w:eastAsia="黑体" w:cs="Times New Roman"/>
                <w:color w:val="auto"/>
                <w:kern w:val="0"/>
                <w:sz w:val="21"/>
                <w:szCs w:val="21"/>
                <w:highlight w:val="none"/>
                <w:vertAlign w:val="superscript"/>
              </w:rPr>
              <w:t>2</w:t>
            </w:r>
            <w:r>
              <w:rPr>
                <w:rFonts w:eastAsia="黑体" w:cs="Times New Roman"/>
                <w:color w:val="auto"/>
                <w:kern w:val="0"/>
                <w:sz w:val="21"/>
                <w:szCs w:val="21"/>
                <w:highlight w:val="none"/>
              </w:rPr>
              <w:t>）</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占比（%）</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面积（hm</w:t>
            </w:r>
            <w:r>
              <w:rPr>
                <w:rFonts w:eastAsia="黑体" w:cs="Times New Roman"/>
                <w:color w:val="auto"/>
                <w:kern w:val="0"/>
                <w:sz w:val="21"/>
                <w:szCs w:val="21"/>
                <w:highlight w:val="none"/>
                <w:vertAlign w:val="superscript"/>
              </w:rPr>
              <w:t>2</w:t>
            </w:r>
            <w:r>
              <w:rPr>
                <w:rFonts w:eastAsia="黑体" w:cs="Times New Roman"/>
                <w:color w:val="auto"/>
                <w:kern w:val="0"/>
                <w:sz w:val="21"/>
                <w:szCs w:val="21"/>
                <w:highlight w:val="none"/>
              </w:rPr>
              <w:t>）</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占比（%）</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面积（hm</w:t>
            </w:r>
            <w:r>
              <w:rPr>
                <w:rFonts w:eastAsia="黑体" w:cs="Times New Roman"/>
                <w:color w:val="auto"/>
                <w:kern w:val="0"/>
                <w:sz w:val="21"/>
                <w:szCs w:val="21"/>
                <w:highlight w:val="none"/>
                <w:vertAlign w:val="superscript"/>
              </w:rPr>
              <w:t>2</w:t>
            </w:r>
            <w:r>
              <w:rPr>
                <w:rFonts w:eastAsia="黑体" w:cs="Times New Roman"/>
                <w:color w:val="auto"/>
                <w:kern w:val="0"/>
                <w:sz w:val="21"/>
                <w:szCs w:val="21"/>
                <w:highlight w:val="none"/>
              </w:rPr>
              <w:t>）</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占比（%）</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面积（hm</w:t>
            </w:r>
            <w:r>
              <w:rPr>
                <w:rFonts w:eastAsia="黑体" w:cs="Times New Roman"/>
                <w:color w:val="auto"/>
                <w:kern w:val="0"/>
                <w:sz w:val="21"/>
                <w:szCs w:val="21"/>
                <w:highlight w:val="none"/>
                <w:vertAlign w:val="superscript"/>
              </w:rPr>
              <w:t>2</w:t>
            </w:r>
            <w:r>
              <w:rPr>
                <w:rFonts w:eastAsia="黑体" w:cs="Times New Roman"/>
                <w:color w:val="auto"/>
                <w:kern w:val="0"/>
                <w:sz w:val="21"/>
                <w:szCs w:val="21"/>
                <w:highlight w:val="none"/>
              </w:rPr>
              <w:t>）</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黑体" w:cs="Times New Roman"/>
                <w:color w:val="auto"/>
                <w:kern w:val="0"/>
                <w:sz w:val="21"/>
                <w:szCs w:val="21"/>
                <w:highlight w:val="none"/>
              </w:rPr>
            </w:pPr>
            <w:r>
              <w:rPr>
                <w:rFonts w:eastAsia="黑体" w:cs="Times New Roman"/>
                <w:color w:val="auto"/>
                <w:kern w:val="0"/>
                <w:sz w:val="21"/>
                <w:szCs w:val="21"/>
                <w:highlight w:val="none"/>
              </w:rPr>
              <w:t>占比（%）</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百朋镇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123.76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78.17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63.16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14.38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11.62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17.97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14.52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10.55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8.53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2.69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2.17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成团镇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52.09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43.41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83.35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4.69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9.00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2.26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4.33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2.29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0.54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1.03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穿山镇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258.57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178.39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68.99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41.69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16.12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29.87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11.55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7.63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2.95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1.00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0.39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进德镇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68.91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56.75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82.35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6.98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10.13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3.52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5.12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1.36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1.97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0.30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0.44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拉堡镇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10.30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9.31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90.44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0.73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7.10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0.18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1.77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0.05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0.52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0.02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0.18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里高镇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34.76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24.34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70.02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3.27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9.42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4.12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11.85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2.29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6.60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0.74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2.12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三都镇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29.14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21.21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72.78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3.28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11.26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2.83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9.71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1.37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4.69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0.45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1.56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土博镇</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83.52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49.31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59.04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7.87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9.42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13.19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15.79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9.82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11.76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3.33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3.99 </w:t>
            </w:r>
          </w:p>
        </w:tc>
      </w:tr>
      <w:tr>
        <w:tblPrEx>
          <w:tblLayout w:type="fixed"/>
          <w:tblCellMar>
            <w:top w:w="0" w:type="dxa"/>
            <w:left w:w="108" w:type="dxa"/>
            <w:bottom w:w="0" w:type="dxa"/>
            <w:right w:w="108" w:type="dxa"/>
          </w:tblCellMar>
        </w:tblPrEx>
        <w:trPr>
          <w:trHeight w:val="300" w:hRule="atLeast"/>
        </w:trPr>
        <w:tc>
          <w:tcPr>
            <w:tcW w:w="1900" w:type="dxa"/>
            <w:tcBorders>
              <w:top w:val="nil"/>
              <w:left w:val="single" w:color="auto" w:sz="8" w:space="0"/>
              <w:bottom w:val="single" w:color="auto" w:sz="8" w:space="0"/>
              <w:right w:val="single" w:color="auto" w:sz="8"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661.06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460.89 </w:t>
            </w:r>
          </w:p>
        </w:tc>
        <w:tc>
          <w:tcPr>
            <w:tcW w:w="160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69.72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82.89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12.54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73.93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11.18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34.28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5.19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9.07 </w:t>
            </w:r>
          </w:p>
        </w:tc>
        <w:tc>
          <w:tcPr>
            <w:tcW w:w="1080" w:type="dxa"/>
            <w:tcBorders>
              <w:top w:val="nil"/>
              <w:left w:val="nil"/>
              <w:bottom w:val="single" w:color="auto" w:sz="8" w:space="0"/>
              <w:right w:val="single" w:color="auto" w:sz="8" w:space="0"/>
            </w:tcBorders>
            <w:shd w:val="clear" w:color="auto" w:fill="auto"/>
            <w:vAlign w:val="center"/>
          </w:tcPr>
          <w:p>
            <w:pPr>
              <w:widowControl/>
              <w:adjustRightInd/>
              <w:spacing w:line="240" w:lineRule="auto"/>
              <w:ind w:firstLine="0" w:firstLineChars="0"/>
              <w:jc w:val="center"/>
              <w:rPr>
                <w:rFonts w:eastAsia="等线" w:cs="Times New Roman"/>
                <w:color w:val="auto"/>
                <w:kern w:val="0"/>
                <w:sz w:val="18"/>
                <w:szCs w:val="18"/>
                <w:highlight w:val="none"/>
              </w:rPr>
            </w:pPr>
            <w:r>
              <w:rPr>
                <w:rFonts w:eastAsia="等线" w:cs="Times New Roman"/>
                <w:color w:val="auto"/>
                <w:kern w:val="0"/>
                <w:sz w:val="18"/>
                <w:szCs w:val="18"/>
                <w:highlight w:val="none"/>
              </w:rPr>
              <w:t xml:space="preserve">1.37 </w:t>
            </w:r>
          </w:p>
        </w:tc>
      </w:tr>
    </w:tbl>
    <w:p>
      <w:pPr>
        <w:rPr>
          <w:rFonts w:cs="Times New Roman"/>
          <w:color w:val="auto"/>
          <w:highlight w:val="none"/>
        </w:rPr>
      </w:pPr>
      <w:r>
        <w:rPr>
          <w:rFonts w:cs="Times New Roman"/>
          <w:color w:val="auto"/>
          <w:highlight w:val="none"/>
        </w:rPr>
        <w:br w:type="page"/>
      </w:r>
    </w:p>
    <w:p>
      <w:pPr>
        <w:pStyle w:val="12"/>
        <w:ind w:firstLine="560"/>
        <w:rPr>
          <w:rFonts w:eastAsia="黑体"/>
          <w:color w:val="auto"/>
          <w:highlight w:val="none"/>
        </w:rPr>
      </w:pPr>
      <w:r>
        <w:rPr>
          <w:rFonts w:eastAsia="黑体"/>
          <w:color w:val="auto"/>
          <w:highlight w:val="none"/>
        </w:rPr>
        <w:t>附表5 柳江区水土流失现状表</w:t>
      </w:r>
    </w:p>
    <w:tbl>
      <w:tblPr>
        <w:tblStyle w:val="30"/>
        <w:tblW w:w="16329" w:type="dxa"/>
        <w:tblInd w:w="-1183" w:type="dxa"/>
        <w:tblLayout w:type="fixed"/>
        <w:tblCellMar>
          <w:top w:w="0" w:type="dxa"/>
          <w:left w:w="108" w:type="dxa"/>
          <w:bottom w:w="0" w:type="dxa"/>
          <w:right w:w="108" w:type="dxa"/>
        </w:tblCellMar>
      </w:tblPr>
      <w:tblGrid>
        <w:gridCol w:w="2080"/>
        <w:gridCol w:w="2026"/>
        <w:gridCol w:w="2268"/>
        <w:gridCol w:w="2268"/>
        <w:gridCol w:w="1701"/>
        <w:gridCol w:w="1701"/>
        <w:gridCol w:w="1559"/>
        <w:gridCol w:w="1418"/>
        <w:gridCol w:w="1308"/>
      </w:tblGrid>
      <w:tr>
        <w:tblPrEx>
          <w:tblLayout w:type="fixed"/>
          <w:tblCellMar>
            <w:top w:w="0" w:type="dxa"/>
            <w:left w:w="108" w:type="dxa"/>
            <w:bottom w:w="0" w:type="dxa"/>
            <w:right w:w="108" w:type="dxa"/>
          </w:tblCellMar>
        </w:tblPrEx>
        <w:trPr>
          <w:trHeight w:val="525" w:hRule="atLeast"/>
        </w:trPr>
        <w:tc>
          <w:tcPr>
            <w:tcW w:w="2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乡镇名称</w:t>
            </w:r>
          </w:p>
        </w:tc>
        <w:tc>
          <w:tcPr>
            <w:tcW w:w="2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1"/>
                <w:szCs w:val="21"/>
                <w:highlight w:val="none"/>
                <w:lang w:eastAsia="zh-CN"/>
              </w:rPr>
            </w:pPr>
            <w:r>
              <w:rPr>
                <w:rFonts w:eastAsia="宋体" w:cs="Times New Roman"/>
                <w:b/>
                <w:bCs/>
                <w:color w:val="auto"/>
                <w:kern w:val="0"/>
                <w:sz w:val="21"/>
                <w:szCs w:val="21"/>
                <w:highlight w:val="none"/>
              </w:rPr>
              <w:t>水土流失面积</w:t>
            </w:r>
          </w:p>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（km</w:t>
            </w:r>
            <w:r>
              <w:rPr>
                <w:rFonts w:eastAsia="宋体" w:cs="Times New Roman"/>
                <w:b/>
                <w:bCs/>
                <w:color w:val="auto"/>
                <w:kern w:val="0"/>
                <w:sz w:val="21"/>
                <w:szCs w:val="21"/>
                <w:highlight w:val="none"/>
                <w:vertAlign w:val="superscript"/>
              </w:rPr>
              <w:t>2</w:t>
            </w:r>
            <w:r>
              <w:rPr>
                <w:rFonts w:eastAsia="宋体" w:cs="Times New Roman"/>
                <w:b/>
                <w:bCs/>
                <w:color w:val="auto"/>
                <w:kern w:val="0"/>
                <w:sz w:val="21"/>
                <w:szCs w:val="21"/>
                <w:highlight w:val="none"/>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2"/>
                <w:szCs w:val="22"/>
                <w:highlight w:val="none"/>
              </w:rPr>
              <w:t>水土流失面积占乡镇面积比例（%）</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水土流失面积占柳江区国土面积比例（%）</w:t>
            </w:r>
          </w:p>
        </w:tc>
        <w:tc>
          <w:tcPr>
            <w:tcW w:w="7687"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水土流失面积（km</w:t>
            </w:r>
            <w:r>
              <w:rPr>
                <w:rFonts w:eastAsia="宋体" w:cs="Times New Roman"/>
                <w:b/>
                <w:bCs/>
                <w:color w:val="auto"/>
                <w:kern w:val="0"/>
                <w:sz w:val="21"/>
                <w:szCs w:val="21"/>
                <w:highlight w:val="none"/>
                <w:vertAlign w:val="superscript"/>
              </w:rPr>
              <w:t>2</w:t>
            </w:r>
            <w:r>
              <w:rPr>
                <w:rFonts w:eastAsia="宋体" w:cs="Times New Roman"/>
                <w:b/>
                <w:bCs/>
                <w:color w:val="auto"/>
                <w:kern w:val="0"/>
                <w:sz w:val="21"/>
                <w:szCs w:val="21"/>
                <w:highlight w:val="none"/>
              </w:rPr>
              <w:t>）</w:t>
            </w:r>
          </w:p>
        </w:tc>
      </w:tr>
      <w:tr>
        <w:tblPrEx>
          <w:tblLayout w:type="fixed"/>
          <w:tblCellMar>
            <w:top w:w="0" w:type="dxa"/>
            <w:left w:w="108" w:type="dxa"/>
            <w:bottom w:w="0" w:type="dxa"/>
            <w:right w:w="108" w:type="dxa"/>
          </w:tblCellMar>
        </w:tblPrEx>
        <w:trPr>
          <w:trHeight w:val="345" w:hRule="atLeast"/>
        </w:trPr>
        <w:tc>
          <w:tcPr>
            <w:tcW w:w="2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1"/>
                <w:szCs w:val="21"/>
                <w:highlight w:val="none"/>
              </w:rPr>
            </w:pPr>
          </w:p>
        </w:tc>
        <w:tc>
          <w:tcPr>
            <w:tcW w:w="2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1"/>
                <w:szCs w:val="21"/>
                <w:highlight w:val="none"/>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left"/>
              <w:rPr>
                <w:rFonts w:eastAsia="宋体" w:cs="Times New Roman"/>
                <w:b/>
                <w:bCs/>
                <w:color w:val="auto"/>
                <w:kern w:val="0"/>
                <w:sz w:val="21"/>
                <w:szCs w:val="21"/>
                <w:highlight w:val="none"/>
              </w:rPr>
            </w:pP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left"/>
              <w:rPr>
                <w:rFonts w:eastAsia="宋体" w:cs="Times New Roman"/>
                <w:b/>
                <w:bCs/>
                <w:color w:val="auto"/>
                <w:kern w:val="0"/>
                <w:sz w:val="21"/>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轻度侵蚀</w:t>
            </w:r>
          </w:p>
        </w:tc>
        <w:tc>
          <w:tcPr>
            <w:tcW w:w="1701"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中度侵蚀</w:t>
            </w:r>
          </w:p>
        </w:tc>
        <w:tc>
          <w:tcPr>
            <w:tcW w:w="1559"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强烈侵蚀</w:t>
            </w:r>
          </w:p>
        </w:tc>
        <w:tc>
          <w:tcPr>
            <w:tcW w:w="141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极强烈侵蚀</w:t>
            </w:r>
          </w:p>
        </w:tc>
        <w:tc>
          <w:tcPr>
            <w:tcW w:w="1308"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eastAsia="宋体" w:cs="Times New Roman"/>
                <w:b/>
                <w:bCs/>
                <w:color w:val="auto"/>
                <w:kern w:val="0"/>
                <w:sz w:val="21"/>
                <w:szCs w:val="21"/>
                <w:highlight w:val="none"/>
              </w:rPr>
              <w:t>剧烈侵蚀</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75.30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22.33%</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4.25%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36.31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11.57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6.20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9.06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12.16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24.18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18.34%</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1.36%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17.97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3.21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1.45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0.89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0.66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165.99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36.28%</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9.36%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91.23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39.11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14.00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12.79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8.85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进德镇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27.25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22.26%</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1.54%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17.30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4.52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2.16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1.60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1.68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拉堡镇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4.60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11.78%</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0.26%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3.10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1.36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0.05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0.05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0.04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19.31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13.75%</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1.09%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9.79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3.76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1.69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1.87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2.19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20.13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14.72%</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1.14%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13.63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3.45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0.95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1.13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0.97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54.01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13.25%</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3.05%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25.35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8.77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4.36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6.98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cs="Times New Roman"/>
                <w:color w:val="auto"/>
                <w:sz w:val="22"/>
                <w:szCs w:val="22"/>
                <w:highlight w:val="none"/>
              </w:rPr>
              <w:t xml:space="preserve">8.55 </w:t>
            </w:r>
          </w:p>
        </w:tc>
      </w:tr>
      <w:tr>
        <w:tblPrEx>
          <w:tblLayout w:type="fixed"/>
          <w:tblCellMar>
            <w:top w:w="0" w:type="dxa"/>
            <w:left w:w="108" w:type="dxa"/>
            <w:bottom w:w="0" w:type="dxa"/>
            <w:right w:w="108" w:type="dxa"/>
          </w:tblCellMar>
        </w:tblPrEx>
        <w:trPr>
          <w:trHeight w:val="270"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color w:val="auto"/>
                <w:kern w:val="0"/>
                <w:sz w:val="21"/>
                <w:szCs w:val="21"/>
                <w:highlight w:val="none"/>
              </w:rPr>
            </w:pPr>
            <w:r>
              <w:rPr>
                <w:rFonts w:eastAsia="宋体" w:cs="Times New Roman"/>
                <w:b/>
                <w:bCs/>
                <w:color w:val="auto"/>
                <w:kern w:val="0"/>
                <w:sz w:val="22"/>
                <w:szCs w:val="22"/>
                <w:highlight w:val="none"/>
              </w:rPr>
              <w:t>合计</w:t>
            </w:r>
          </w:p>
        </w:tc>
        <w:tc>
          <w:tcPr>
            <w:tcW w:w="202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390.76 </w:t>
            </w:r>
          </w:p>
        </w:tc>
        <w:tc>
          <w:tcPr>
            <w:tcW w:w="226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p>
        </w:tc>
        <w:tc>
          <w:tcPr>
            <w:tcW w:w="2268"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22.04%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214.69 </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75.75 </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30.86 </w:t>
            </w:r>
          </w:p>
        </w:tc>
        <w:tc>
          <w:tcPr>
            <w:tcW w:w="141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34.37 </w:t>
            </w:r>
          </w:p>
        </w:tc>
        <w:tc>
          <w:tcPr>
            <w:tcW w:w="1308"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宋体" w:cs="Times New Roman"/>
                <w:b/>
                <w:bCs/>
                <w:color w:val="auto"/>
                <w:kern w:val="0"/>
                <w:sz w:val="21"/>
                <w:szCs w:val="21"/>
                <w:highlight w:val="none"/>
              </w:rPr>
            </w:pPr>
            <w:r>
              <w:rPr>
                <w:rFonts w:cs="Times New Roman"/>
                <w:b/>
                <w:bCs/>
                <w:color w:val="auto"/>
                <w:sz w:val="22"/>
                <w:szCs w:val="22"/>
                <w:highlight w:val="none"/>
              </w:rPr>
              <w:t xml:space="preserve">35.09 </w:t>
            </w:r>
          </w:p>
        </w:tc>
      </w:tr>
    </w:tbl>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pStyle w:val="12"/>
        <w:ind w:firstLine="560"/>
        <w:rPr>
          <w:rFonts w:eastAsia="黑体"/>
          <w:color w:val="auto"/>
          <w:highlight w:val="none"/>
        </w:rPr>
      </w:pPr>
      <w:r>
        <w:rPr>
          <w:rFonts w:eastAsia="黑体"/>
          <w:color w:val="auto"/>
          <w:highlight w:val="none"/>
        </w:rPr>
        <w:t>附表6柳江区水土保持区划成果表</w:t>
      </w:r>
    </w:p>
    <w:tbl>
      <w:tblPr>
        <w:tblStyle w:val="3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392"/>
        <w:gridCol w:w="1406"/>
        <w:gridCol w:w="1434"/>
        <w:gridCol w:w="1145"/>
        <w:gridCol w:w="3022"/>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190" w:type="dxa"/>
            <w:gridSpan w:val="3"/>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全国区划名称</w:t>
            </w:r>
          </w:p>
        </w:tc>
        <w:tc>
          <w:tcPr>
            <w:tcW w:w="1434"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广西区划名称</w:t>
            </w:r>
          </w:p>
        </w:tc>
        <w:tc>
          <w:tcPr>
            <w:tcW w:w="1145"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柳州三级区划名称</w:t>
            </w:r>
          </w:p>
        </w:tc>
        <w:tc>
          <w:tcPr>
            <w:tcW w:w="3022"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县级区划</w:t>
            </w:r>
          </w:p>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名称</w:t>
            </w:r>
          </w:p>
        </w:tc>
        <w:tc>
          <w:tcPr>
            <w:tcW w:w="4383" w:type="dxa"/>
            <w:vMerge w:val="restart"/>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392"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一级区划</w:t>
            </w:r>
          </w:p>
        </w:tc>
        <w:tc>
          <w:tcPr>
            <w:tcW w:w="1392"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二级区划</w:t>
            </w:r>
          </w:p>
        </w:tc>
        <w:tc>
          <w:tcPr>
            <w:tcW w:w="1406" w:type="dxa"/>
            <w:vAlign w:val="center"/>
          </w:tcPr>
          <w:p>
            <w:pPr>
              <w:snapToGrid w:val="0"/>
              <w:spacing w:line="240" w:lineRule="auto"/>
              <w:ind w:firstLine="0" w:firstLineChars="0"/>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三级区划</w:t>
            </w:r>
          </w:p>
        </w:tc>
        <w:tc>
          <w:tcPr>
            <w:tcW w:w="1434"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1145"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3022"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c>
          <w:tcPr>
            <w:tcW w:w="4383" w:type="dxa"/>
            <w:vMerge w:val="continue"/>
            <w:vAlign w:val="center"/>
          </w:tcPr>
          <w:p>
            <w:pPr>
              <w:snapToGrid w:val="0"/>
              <w:spacing w:line="240" w:lineRule="auto"/>
              <w:ind w:firstLine="0" w:firstLineChars="0"/>
              <w:jc w:val="center"/>
              <w:rPr>
                <w:rFonts w:eastAsia="宋体" w:cs="Times New Roman"/>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392"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南方红壤区（南方山地丘陵区）</w:t>
            </w:r>
          </w:p>
        </w:tc>
        <w:tc>
          <w:tcPr>
            <w:tcW w:w="1392"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南岭山地丘陵区</w:t>
            </w:r>
          </w:p>
        </w:tc>
        <w:tc>
          <w:tcPr>
            <w:tcW w:w="1406"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桂中低山丘陵土壤保持区</w:t>
            </w:r>
          </w:p>
        </w:tc>
        <w:tc>
          <w:tcPr>
            <w:tcW w:w="1434" w:type="dxa"/>
            <w:vMerge w:val="restart"/>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桂中低山丘陵土壤保持区</w:t>
            </w:r>
          </w:p>
        </w:tc>
        <w:tc>
          <w:tcPr>
            <w:tcW w:w="1145"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中部平原人居环境维护区</w:t>
            </w:r>
            <w:r>
              <w:rPr>
                <w:rFonts w:hint="eastAsia" w:eastAsia="宋体" w:cs="Times New Roman"/>
                <w:color w:val="auto"/>
                <w:kern w:val="0"/>
                <w:sz w:val="21"/>
                <w:szCs w:val="21"/>
                <w:highlight w:val="none"/>
                <w:lang w:eastAsia="zh-CN"/>
              </w:rPr>
              <w:t>、</w:t>
            </w:r>
            <w:r>
              <w:rPr>
                <w:rFonts w:eastAsia="宋体" w:cs="Times New Roman"/>
                <w:color w:val="auto"/>
                <w:kern w:val="0"/>
                <w:sz w:val="21"/>
                <w:szCs w:val="21"/>
                <w:highlight w:val="none"/>
              </w:rPr>
              <w:t>南部低山丘陵保土区</w:t>
            </w:r>
          </w:p>
        </w:tc>
        <w:tc>
          <w:tcPr>
            <w:tcW w:w="3022"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东部低山丘陵植被维护保土区</w:t>
            </w:r>
          </w:p>
        </w:tc>
        <w:tc>
          <w:tcPr>
            <w:tcW w:w="4383"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穿山镇、百朋镇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trPr>
        <w:tc>
          <w:tcPr>
            <w:tcW w:w="139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39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40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434"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145"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中部平原人居环境维护区</w:t>
            </w:r>
          </w:p>
        </w:tc>
        <w:tc>
          <w:tcPr>
            <w:tcW w:w="3022"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中部平原人居环境维护区</w:t>
            </w:r>
          </w:p>
        </w:tc>
        <w:tc>
          <w:tcPr>
            <w:tcW w:w="4383" w:type="dxa"/>
            <w:vAlign w:val="center"/>
          </w:tcPr>
          <w:p>
            <w:pPr>
              <w:snapToGrid w:val="0"/>
              <w:spacing w:line="240" w:lineRule="auto"/>
              <w:ind w:firstLine="0" w:firstLineChars="0"/>
              <w:jc w:val="left"/>
              <w:rPr>
                <w:rFonts w:eastAsia="宋体" w:cs="Times New Roman"/>
                <w:color w:val="auto"/>
                <w:kern w:val="0"/>
                <w:sz w:val="21"/>
                <w:szCs w:val="21"/>
                <w:highlight w:val="none"/>
              </w:rPr>
            </w:pPr>
            <w:r>
              <w:rPr>
                <w:rFonts w:eastAsia="宋体" w:cs="Times New Roman"/>
                <w:color w:val="auto"/>
                <w:kern w:val="0"/>
                <w:sz w:val="21"/>
                <w:szCs w:val="21"/>
                <w:highlight w:val="none"/>
              </w:rPr>
              <w:t>拉堡镇</w:t>
            </w:r>
            <w:r>
              <w:rPr>
                <w:rFonts w:hint="eastAsia" w:eastAsia="宋体" w:cs="Times New Roman"/>
                <w:color w:val="auto"/>
                <w:kern w:val="0"/>
                <w:sz w:val="21"/>
                <w:szCs w:val="21"/>
                <w:highlight w:val="none"/>
                <w:lang w:eastAsia="zh-CN"/>
              </w:rPr>
              <w:t>、</w:t>
            </w:r>
            <w:r>
              <w:rPr>
                <w:rFonts w:eastAsia="宋体" w:cs="Times New Roman"/>
                <w:color w:val="auto"/>
                <w:kern w:val="0"/>
                <w:sz w:val="21"/>
                <w:szCs w:val="21"/>
                <w:highlight w:val="none"/>
              </w:rPr>
              <w:t>进德镇、成团镇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trPr>
        <w:tc>
          <w:tcPr>
            <w:tcW w:w="139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392"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406"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434" w:type="dxa"/>
            <w:vMerge w:val="continue"/>
            <w:vAlign w:val="center"/>
          </w:tcPr>
          <w:p>
            <w:pPr>
              <w:snapToGrid w:val="0"/>
              <w:spacing w:line="240" w:lineRule="auto"/>
              <w:ind w:firstLine="0" w:firstLineChars="0"/>
              <w:jc w:val="center"/>
              <w:rPr>
                <w:rFonts w:eastAsia="宋体" w:cs="Times New Roman"/>
                <w:color w:val="auto"/>
                <w:kern w:val="0"/>
                <w:sz w:val="21"/>
                <w:szCs w:val="21"/>
                <w:highlight w:val="none"/>
              </w:rPr>
            </w:pPr>
          </w:p>
        </w:tc>
        <w:tc>
          <w:tcPr>
            <w:tcW w:w="1145"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eastAsia="宋体" w:cs="Times New Roman"/>
                <w:color w:val="auto"/>
                <w:kern w:val="0"/>
                <w:sz w:val="21"/>
                <w:szCs w:val="21"/>
                <w:highlight w:val="none"/>
              </w:rPr>
              <w:t>南部低山丘陵保土区</w:t>
            </w:r>
          </w:p>
        </w:tc>
        <w:tc>
          <w:tcPr>
            <w:tcW w:w="3022" w:type="dxa"/>
            <w:vAlign w:val="center"/>
          </w:tcPr>
          <w:p>
            <w:pPr>
              <w:snapToGrid w:val="0"/>
              <w:spacing w:line="240" w:lineRule="auto"/>
              <w:ind w:firstLine="0" w:firstLineChars="0"/>
              <w:jc w:val="center"/>
              <w:rPr>
                <w:rFonts w:eastAsia="宋体" w:cs="Times New Roman"/>
                <w:color w:val="auto"/>
                <w:kern w:val="0"/>
                <w:sz w:val="21"/>
                <w:szCs w:val="21"/>
                <w:highlight w:val="none"/>
              </w:rPr>
            </w:pPr>
            <w:r>
              <w:rPr>
                <w:rFonts w:hint="eastAsia" w:eastAsia="宋体" w:cs="Times New Roman"/>
                <w:color w:val="auto"/>
                <w:kern w:val="0"/>
                <w:sz w:val="21"/>
                <w:szCs w:val="21"/>
                <w:highlight w:val="none"/>
              </w:rPr>
              <w:t>西部低山丘陵生态维护区</w:t>
            </w:r>
          </w:p>
        </w:tc>
        <w:tc>
          <w:tcPr>
            <w:tcW w:w="4383" w:type="dxa"/>
            <w:vAlign w:val="center"/>
          </w:tcPr>
          <w:p>
            <w:pPr>
              <w:snapToGrid w:val="0"/>
              <w:spacing w:line="240" w:lineRule="auto"/>
              <w:ind w:firstLine="0" w:firstLineChars="0"/>
              <w:jc w:val="left"/>
              <w:rPr>
                <w:rFonts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 xml:space="preserve"> </w:t>
            </w:r>
            <w:r>
              <w:rPr>
                <w:rFonts w:eastAsia="宋体" w:cs="Times New Roman"/>
                <w:color w:val="auto"/>
                <w:kern w:val="0"/>
                <w:sz w:val="21"/>
                <w:szCs w:val="21"/>
                <w:highlight w:val="none"/>
              </w:rPr>
              <w:t>土博镇、里高镇、三都镇、</w:t>
            </w:r>
          </w:p>
        </w:tc>
      </w:tr>
    </w:tbl>
    <w:p>
      <w:pPr>
        <w:widowControl/>
        <w:adjustRightInd/>
        <w:spacing w:line="240" w:lineRule="auto"/>
        <w:ind w:firstLine="0" w:firstLineChars="0"/>
        <w:jc w:val="left"/>
        <w:rPr>
          <w:rFonts w:eastAsia="黑体" w:cs="Times New Roman"/>
          <w:color w:val="auto"/>
          <w:highlight w:val="none"/>
        </w:rPr>
      </w:pPr>
      <w:r>
        <w:rPr>
          <w:rFonts w:eastAsia="黑体" w:cs="Times New Roman"/>
          <w:color w:val="auto"/>
          <w:highlight w:val="none"/>
        </w:rPr>
        <w:br w:type="page"/>
      </w:r>
    </w:p>
    <w:p>
      <w:pPr>
        <w:pStyle w:val="12"/>
        <w:ind w:firstLine="560"/>
        <w:rPr>
          <w:rFonts w:eastAsia="黑体"/>
          <w:color w:val="auto"/>
          <w:highlight w:val="none"/>
        </w:rPr>
      </w:pPr>
      <w:r>
        <w:rPr>
          <w:rFonts w:eastAsia="黑体"/>
          <w:color w:val="auto"/>
          <w:highlight w:val="none"/>
        </w:rPr>
        <w:t>附表</w:t>
      </w:r>
      <w:r>
        <w:rPr>
          <w:rFonts w:hint="eastAsia" w:eastAsia="黑体"/>
          <w:color w:val="auto"/>
          <w:highlight w:val="none"/>
          <w:lang w:val="en-US" w:eastAsia="zh-CN"/>
        </w:rPr>
        <w:t>7</w:t>
      </w:r>
      <w:r>
        <w:rPr>
          <w:rFonts w:eastAsia="黑体"/>
          <w:color w:val="auto"/>
          <w:highlight w:val="none"/>
        </w:rPr>
        <w:t>柳江区水土流失重点预防保护项目规划表单位：km</w:t>
      </w:r>
      <w:r>
        <w:rPr>
          <w:rFonts w:eastAsia="黑体"/>
          <w:color w:val="auto"/>
          <w:highlight w:val="none"/>
          <w:vertAlign w:val="superscript"/>
        </w:rPr>
        <w:t>2</w:t>
      </w:r>
    </w:p>
    <w:tbl>
      <w:tblPr>
        <w:tblStyle w:val="30"/>
        <w:tblW w:w="14143" w:type="dxa"/>
        <w:tblInd w:w="0" w:type="dxa"/>
        <w:tblLayout w:type="fixed"/>
        <w:tblCellMar>
          <w:top w:w="0" w:type="dxa"/>
          <w:left w:w="108" w:type="dxa"/>
          <w:bottom w:w="0" w:type="dxa"/>
          <w:right w:w="108" w:type="dxa"/>
        </w:tblCellMar>
      </w:tblPr>
      <w:tblGrid>
        <w:gridCol w:w="464"/>
        <w:gridCol w:w="6035"/>
        <w:gridCol w:w="2054"/>
        <w:gridCol w:w="3123"/>
        <w:gridCol w:w="2467"/>
      </w:tblGrid>
      <w:tr>
        <w:tblPrEx>
          <w:tblLayout w:type="fixed"/>
          <w:tblCellMar>
            <w:top w:w="0" w:type="dxa"/>
            <w:left w:w="108" w:type="dxa"/>
            <w:bottom w:w="0" w:type="dxa"/>
            <w:right w:w="108" w:type="dxa"/>
          </w:tblCellMar>
        </w:tblPrEx>
        <w:trPr>
          <w:trHeight w:val="369" w:hRule="exact"/>
        </w:trPr>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6035"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名称</w:t>
            </w:r>
          </w:p>
        </w:tc>
        <w:tc>
          <w:tcPr>
            <w:tcW w:w="205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近期规模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2022-2025</w:t>
            </w:r>
            <w:r>
              <w:rPr>
                <w:rFonts w:hint="eastAsia" w:eastAsia="宋体" w:cs="Times New Roman"/>
                <w:b/>
                <w:bCs/>
                <w:color w:val="auto"/>
                <w:kern w:val="0"/>
                <w:sz w:val="22"/>
                <w:szCs w:val="22"/>
                <w:highlight w:val="none"/>
                <w:lang w:eastAsia="zh-CN"/>
              </w:rPr>
              <w:t>）</w:t>
            </w:r>
          </w:p>
        </w:tc>
        <w:tc>
          <w:tcPr>
            <w:tcW w:w="312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远期规模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2026-2030</w:t>
            </w:r>
            <w:r>
              <w:rPr>
                <w:rFonts w:hint="eastAsia" w:eastAsia="宋体" w:cs="Times New Roman"/>
                <w:b/>
                <w:bCs/>
                <w:color w:val="auto"/>
                <w:kern w:val="0"/>
                <w:sz w:val="22"/>
                <w:szCs w:val="22"/>
                <w:highlight w:val="none"/>
                <w:lang w:eastAsia="zh-CN"/>
              </w:rPr>
              <w:t>）</w:t>
            </w:r>
          </w:p>
        </w:tc>
        <w:tc>
          <w:tcPr>
            <w:tcW w:w="246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hint="eastAsia" w:eastAsia="宋体" w:cs="Times New Roman"/>
                <w:b/>
                <w:bCs/>
                <w:color w:val="auto"/>
                <w:kern w:val="0"/>
                <w:sz w:val="22"/>
                <w:szCs w:val="22"/>
                <w:highlight w:val="none"/>
                <w:lang w:eastAsia="zh-CN"/>
              </w:rPr>
            </w:pPr>
            <w:r>
              <w:rPr>
                <w:rFonts w:eastAsia="宋体" w:cs="Times New Roman"/>
                <w:b/>
                <w:bCs/>
                <w:color w:val="auto"/>
                <w:kern w:val="0"/>
                <w:sz w:val="22"/>
                <w:szCs w:val="22"/>
                <w:highlight w:val="none"/>
              </w:rPr>
              <w:t>总体规模</w:t>
            </w:r>
            <w:r>
              <w:rPr>
                <w:rFonts w:hint="eastAsia" w:eastAsia="宋体" w:cs="Times New Roman"/>
                <w:b/>
                <w:bCs/>
                <w:color w:val="auto"/>
                <w:kern w:val="0"/>
                <w:sz w:val="22"/>
                <w:szCs w:val="22"/>
                <w:highlight w:val="none"/>
                <w:lang w:eastAsia="zh-CN"/>
              </w:rPr>
              <w:t>（</w:t>
            </w:r>
            <w:r>
              <w:rPr>
                <w:rFonts w:eastAsia="宋体" w:cs="Times New Roman"/>
                <w:b/>
                <w:bCs/>
                <w:color w:val="auto"/>
                <w:kern w:val="0"/>
                <w:sz w:val="22"/>
                <w:szCs w:val="22"/>
                <w:highlight w:val="none"/>
              </w:rPr>
              <w:t>2022-2030</w:t>
            </w:r>
            <w:r>
              <w:rPr>
                <w:rFonts w:hint="eastAsia" w:eastAsia="宋体" w:cs="Times New Roman"/>
                <w:b/>
                <w:bCs/>
                <w:color w:val="auto"/>
                <w:kern w:val="0"/>
                <w:sz w:val="22"/>
                <w:szCs w:val="22"/>
                <w:highlight w:val="none"/>
                <w:lang w:eastAsia="zh-CN"/>
              </w:rPr>
              <w:t>）</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土博镇梅里村梅里屯水土保持重点预防项目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等线" w:cs="Times New Roman"/>
                <w:color w:val="auto"/>
                <w:kern w:val="0"/>
                <w:sz w:val="22"/>
                <w:szCs w:val="22"/>
                <w:highlight w:val="none"/>
              </w:rPr>
              <w:t>21.80</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进德镇岜公塘湿地公园水土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1.07</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1.07</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3</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百朋镇百朋荷苑景区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0.79</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0.79</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w:t>
            </w:r>
            <w:r>
              <w:rPr>
                <w:rFonts w:hint="eastAsia" w:eastAsia="宋体" w:cs="Times New Roman"/>
                <w:color w:val="auto"/>
                <w:kern w:val="0"/>
                <w:sz w:val="22"/>
                <w:szCs w:val="22"/>
                <w:highlight w:val="none"/>
              </w:rPr>
              <w:t>古岭龙景区</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0.13</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0.13</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羊占度假庄园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0.05</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0.05</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6</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晋航农业生态园</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0.70</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0.70</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7</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进德镇</w:t>
            </w:r>
            <w:r>
              <w:rPr>
                <w:rFonts w:hint="eastAsia" w:eastAsia="宋体" w:cs="Times New Roman"/>
                <w:color w:val="auto"/>
                <w:kern w:val="0"/>
                <w:sz w:val="22"/>
                <w:szCs w:val="22"/>
                <w:highlight w:val="none"/>
              </w:rPr>
              <w:t>紫藤花农庄</w:t>
            </w:r>
            <w:r>
              <w:rPr>
                <w:rFonts w:hint="eastAsia" w:eastAsia="宋体" w:cs="Times New Roman"/>
                <w:color w:val="auto"/>
                <w:kern w:val="0"/>
                <w:sz w:val="22"/>
                <w:szCs w:val="22"/>
                <w:highlight w:val="none"/>
                <w:lang w:val="en-US" w:eastAsia="zh-CN"/>
              </w:rPr>
              <w:t>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0.04</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0.04</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8</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rPr>
              <w:t>百朋镇</w:t>
            </w:r>
            <w:r>
              <w:rPr>
                <w:rFonts w:hint="eastAsia" w:eastAsia="宋体" w:cs="Times New Roman"/>
                <w:color w:val="auto"/>
                <w:kern w:val="0"/>
                <w:sz w:val="22"/>
                <w:szCs w:val="22"/>
                <w:highlight w:val="none"/>
                <w:lang w:val="en-US" w:eastAsia="zh-CN"/>
              </w:rPr>
              <w:t>和村庄园水土</w:t>
            </w:r>
            <w:r>
              <w:rPr>
                <w:rFonts w:eastAsia="宋体" w:cs="Times New Roman"/>
                <w:color w:val="auto"/>
                <w:kern w:val="0"/>
                <w:sz w:val="22"/>
                <w:szCs w:val="22"/>
                <w:highlight w:val="none"/>
              </w:rPr>
              <w:t>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0.07</w:t>
            </w: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0.07</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9</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百朋镇百朋水厂水源地水土保持重点预防项目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2.008</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10</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成团镇北弓水厂水源地水土保持重点预防项目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12.371</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11</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三都镇三都水厂水源地水土保持重点预防项目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1.642</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12</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里高镇里高水厂水源地水土保持重点预防项目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5.212</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13</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穿山镇雄良水厂水源地水土保持重点预防项目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4.617</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14</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土博镇土博水厂水源地水土保持重点预防项目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1.926</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15</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穿山镇思荣村思炉屯水源地水土保持重点预防项目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0.75</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16</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穿山镇竹山村竹山屯水源地水土保持重点预防项目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0.79</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17</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穿山镇龙平村弓村屯水源地水土保持重点预防项目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0.43</w:t>
            </w:r>
          </w:p>
        </w:tc>
      </w:tr>
      <w:tr>
        <w:tblPrEx>
          <w:tblLayout w:type="fixed"/>
          <w:tblCellMar>
            <w:top w:w="0" w:type="dxa"/>
            <w:left w:w="108" w:type="dxa"/>
            <w:bottom w:w="0" w:type="dxa"/>
            <w:right w:w="108" w:type="dxa"/>
          </w:tblCellMar>
        </w:tblPrEx>
        <w:trPr>
          <w:trHeight w:val="284" w:hRule="exact"/>
        </w:trPr>
        <w:tc>
          <w:tcPr>
            <w:tcW w:w="46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exact"/>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18</w:t>
            </w:r>
          </w:p>
        </w:tc>
        <w:tc>
          <w:tcPr>
            <w:tcW w:w="6035"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北之江柳江</w:t>
            </w:r>
            <w:r>
              <w:rPr>
                <w:rFonts w:hint="eastAsia" w:eastAsia="宋体" w:cs="Times New Roman"/>
                <w:color w:val="auto"/>
                <w:kern w:val="0"/>
                <w:sz w:val="22"/>
                <w:szCs w:val="22"/>
                <w:highlight w:val="none"/>
                <w:lang w:eastAsia="zh-CN"/>
              </w:rPr>
              <w:t>－</w:t>
            </w:r>
            <w:r>
              <w:rPr>
                <w:rFonts w:eastAsia="宋体" w:cs="Times New Roman"/>
                <w:color w:val="auto"/>
                <w:kern w:val="0"/>
                <w:sz w:val="22"/>
                <w:szCs w:val="22"/>
                <w:highlight w:val="none"/>
              </w:rPr>
              <w:t>忻城源头水保护区水土保持重点预防项目</w:t>
            </w:r>
          </w:p>
        </w:tc>
        <w:tc>
          <w:tcPr>
            <w:tcW w:w="2054"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p>
        </w:tc>
        <w:tc>
          <w:tcPr>
            <w:tcW w:w="3123"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2.10</w:t>
            </w:r>
          </w:p>
        </w:tc>
      </w:tr>
      <w:tr>
        <w:tblPrEx>
          <w:tblLayout w:type="fixed"/>
          <w:tblCellMar>
            <w:top w:w="0" w:type="dxa"/>
            <w:left w:w="108" w:type="dxa"/>
            <w:bottom w:w="0" w:type="dxa"/>
            <w:right w:w="108" w:type="dxa"/>
          </w:tblCellMar>
        </w:tblPrEx>
        <w:trPr>
          <w:trHeight w:val="284" w:hRule="exact"/>
        </w:trPr>
        <w:tc>
          <w:tcPr>
            <w:tcW w:w="649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exact"/>
              <w:ind w:firstLine="0" w:firstLineChars="0"/>
              <w:jc w:val="center"/>
              <w:rPr>
                <w:rFonts w:eastAsia="宋体" w:cs="Times New Roman"/>
                <w:color w:val="auto"/>
                <w:kern w:val="0"/>
                <w:sz w:val="22"/>
                <w:szCs w:val="22"/>
                <w:highlight w:val="none"/>
              </w:rPr>
            </w:pPr>
            <w:r>
              <w:rPr>
                <w:rFonts w:eastAsia="宋体" w:cs="Times New Roman"/>
                <w:color w:val="auto"/>
                <w:kern w:val="0"/>
                <w:sz w:val="22"/>
                <w:szCs w:val="22"/>
                <w:highlight w:val="none"/>
              </w:rPr>
              <w:t>合计</w:t>
            </w:r>
          </w:p>
        </w:tc>
        <w:tc>
          <w:tcPr>
            <w:tcW w:w="2054"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hint="eastAsia" w:eastAsia="等线" w:cs="Times New Roman"/>
                <w:color w:val="auto"/>
                <w:kern w:val="0"/>
                <w:sz w:val="22"/>
                <w:szCs w:val="22"/>
                <w:highlight w:val="none"/>
                <w:lang w:val="en-US" w:eastAsia="zh-CN"/>
              </w:rPr>
              <w:t>24.65</w:t>
            </w:r>
          </w:p>
        </w:tc>
        <w:tc>
          <w:tcPr>
            <w:tcW w:w="3123"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ind w:firstLine="0" w:firstLineChars="0"/>
              <w:jc w:val="center"/>
              <w:rPr>
                <w:rFonts w:eastAsia="等线" w:cs="Times New Roman"/>
                <w:color w:val="auto"/>
                <w:kern w:val="0"/>
                <w:sz w:val="22"/>
                <w:szCs w:val="22"/>
                <w:highlight w:val="none"/>
              </w:rPr>
            </w:pPr>
            <w:r>
              <w:rPr>
                <w:rFonts w:eastAsia="宋体" w:cs="Times New Roman"/>
                <w:color w:val="auto"/>
                <w:kern w:val="0"/>
                <w:sz w:val="22"/>
                <w:szCs w:val="22"/>
                <w:highlight w:val="none"/>
              </w:rPr>
              <w:t>31.85</w:t>
            </w:r>
          </w:p>
        </w:tc>
        <w:tc>
          <w:tcPr>
            <w:tcW w:w="2467"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eastAsia="宋体" w:cs="Times New Roman"/>
                <w:color w:val="auto"/>
                <w:kern w:val="0"/>
                <w:sz w:val="22"/>
                <w:szCs w:val="22"/>
                <w:highlight w:val="none"/>
                <w:lang w:val="en-US" w:eastAsia="zh-CN"/>
              </w:rPr>
              <w:t>56.50</w:t>
            </w:r>
          </w:p>
        </w:tc>
      </w:tr>
    </w:tbl>
    <w:p>
      <w:pPr>
        <w:pStyle w:val="12"/>
        <w:snapToGrid w:val="0"/>
        <w:spacing w:line="240" w:lineRule="auto"/>
        <w:ind w:left="650" w:leftChars="232" w:firstLine="0" w:firstLineChars="0"/>
        <w:rPr>
          <w:rFonts w:eastAsia="黑体"/>
          <w:color w:val="auto"/>
          <w:szCs w:val="28"/>
          <w:highlight w:val="none"/>
          <w:lang w:val="en-US"/>
        </w:rPr>
      </w:pPr>
    </w:p>
    <w:p>
      <w:pPr>
        <w:widowControl/>
        <w:adjustRightInd/>
        <w:spacing w:after="197" w:afterLines="50" w:line="240" w:lineRule="auto"/>
        <w:ind w:firstLine="1960" w:firstLineChars="700"/>
        <w:jc w:val="left"/>
        <w:rPr>
          <w:rFonts w:eastAsia="黑体" w:cs="Times New Roman"/>
          <w:color w:val="auto"/>
          <w:highlight w:val="none"/>
        </w:rPr>
      </w:pPr>
      <w:r>
        <w:rPr>
          <w:rFonts w:eastAsia="黑体" w:cs="Times New Roman"/>
          <w:color w:val="auto"/>
          <w:highlight w:val="none"/>
        </w:rPr>
        <w:br w:type="page"/>
      </w:r>
      <w:r>
        <w:rPr>
          <w:rFonts w:eastAsia="黑体" w:cs="Times New Roman"/>
          <w:color w:val="auto"/>
          <w:highlight w:val="none"/>
        </w:rPr>
        <w:t>附表</w:t>
      </w:r>
      <w:r>
        <w:rPr>
          <w:rFonts w:hint="eastAsia" w:eastAsia="黑体" w:cs="Times New Roman"/>
          <w:color w:val="auto"/>
          <w:highlight w:val="none"/>
          <w:lang w:val="en-US" w:eastAsia="zh-CN"/>
        </w:rPr>
        <w:t>8</w:t>
      </w:r>
      <w:r>
        <w:rPr>
          <w:rFonts w:eastAsia="黑体" w:cs="Times New Roman"/>
          <w:color w:val="auto"/>
          <w:highlight w:val="none"/>
        </w:rPr>
        <w:t>柳江区水土流失重点治理项目规划表</w:t>
      </w:r>
    </w:p>
    <w:tbl>
      <w:tblPr>
        <w:tblStyle w:val="30"/>
        <w:tblW w:w="11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6358"/>
        <w:gridCol w:w="1441"/>
        <w:gridCol w:w="1554"/>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126"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序号</w:t>
            </w:r>
          </w:p>
        </w:tc>
        <w:tc>
          <w:tcPr>
            <w:tcW w:w="6358"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项目名称</w:t>
            </w:r>
          </w:p>
        </w:tc>
        <w:tc>
          <w:tcPr>
            <w:tcW w:w="1441"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拟实施年度</w:t>
            </w:r>
          </w:p>
        </w:tc>
        <w:tc>
          <w:tcPr>
            <w:tcW w:w="1554"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建设地点</w:t>
            </w:r>
          </w:p>
        </w:tc>
        <w:tc>
          <w:tcPr>
            <w:tcW w:w="1473" w:type="dxa"/>
            <w:shd w:val="clear" w:color="auto" w:fill="auto"/>
            <w:vAlign w:val="center"/>
          </w:tcPr>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拟治理面积</w:t>
            </w:r>
          </w:p>
          <w:p>
            <w:pPr>
              <w:widowControl/>
              <w:adjustRightInd/>
              <w:spacing w:line="240" w:lineRule="auto"/>
              <w:ind w:firstLine="0" w:firstLineChars="0"/>
              <w:jc w:val="center"/>
              <w:rPr>
                <w:rFonts w:eastAsia="宋体" w:cs="Times New Roman"/>
                <w:b/>
                <w:bCs/>
                <w:color w:val="auto"/>
                <w:kern w:val="0"/>
                <w:sz w:val="22"/>
                <w:szCs w:val="22"/>
                <w:highlight w:val="none"/>
              </w:rPr>
            </w:pPr>
            <w:r>
              <w:rPr>
                <w:rFonts w:eastAsia="宋体" w:cs="Times New Roman"/>
                <w:b/>
                <w:bCs/>
                <w:color w:val="auto"/>
                <w:kern w:val="0"/>
                <w:sz w:val="22"/>
                <w:szCs w:val="22"/>
                <w:highlight w:val="none"/>
              </w:rPr>
              <w:t>（km</w:t>
            </w:r>
            <w:r>
              <w:rPr>
                <w:rFonts w:eastAsia="宋体" w:cs="Times New Roman"/>
                <w:b/>
                <w:bCs/>
                <w:color w:val="auto"/>
                <w:kern w:val="0"/>
                <w:sz w:val="22"/>
                <w:szCs w:val="22"/>
                <w:highlight w:val="none"/>
                <w:vertAlign w:val="superscript"/>
              </w:rPr>
              <w:t>2</w:t>
            </w:r>
            <w:r>
              <w:rPr>
                <w:rFonts w:eastAsia="宋体" w:cs="Times New Roman"/>
                <w:b/>
                <w:bCs/>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1126" w:type="dxa"/>
            <w:shd w:val="clear" w:color="auto" w:fill="auto"/>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1</w:t>
            </w:r>
          </w:p>
        </w:tc>
        <w:tc>
          <w:tcPr>
            <w:tcW w:w="6358" w:type="dxa"/>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1"/>
                <w:szCs w:val="21"/>
                <w:highlight w:val="none"/>
              </w:rPr>
              <w:t>柳江区里高镇牛腊河清洁型小流域水土保持治理工程</w:t>
            </w:r>
          </w:p>
        </w:tc>
        <w:tc>
          <w:tcPr>
            <w:tcW w:w="1441" w:type="dxa"/>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1"/>
                <w:szCs w:val="21"/>
                <w:highlight w:val="none"/>
              </w:rPr>
              <w:t>2023</w:t>
            </w:r>
          </w:p>
        </w:tc>
        <w:tc>
          <w:tcPr>
            <w:tcW w:w="1554" w:type="dxa"/>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1"/>
                <w:szCs w:val="21"/>
                <w:highlight w:val="none"/>
              </w:rPr>
              <w:t>里高镇</w:t>
            </w:r>
          </w:p>
        </w:tc>
        <w:tc>
          <w:tcPr>
            <w:tcW w:w="1473" w:type="dxa"/>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126" w:type="dxa"/>
            <w:vAlign w:val="center"/>
          </w:tcPr>
          <w:p>
            <w:pPr>
              <w:snapToGrid w:val="0"/>
              <w:spacing w:line="240" w:lineRule="auto"/>
              <w:ind w:firstLine="0" w:firstLineChars="0"/>
              <w:jc w:val="center"/>
              <w:rPr>
                <w:rFonts w:cs="Times New Roman"/>
                <w:color w:val="auto"/>
                <w:sz w:val="21"/>
                <w:szCs w:val="21"/>
                <w:highlight w:val="none"/>
              </w:rPr>
            </w:pPr>
            <w:r>
              <w:rPr>
                <w:rFonts w:cs="Times New Roman"/>
                <w:color w:val="auto"/>
                <w:sz w:val="21"/>
                <w:szCs w:val="21"/>
                <w:highlight w:val="none"/>
              </w:rPr>
              <w:t>2</w:t>
            </w:r>
          </w:p>
        </w:tc>
        <w:tc>
          <w:tcPr>
            <w:tcW w:w="6358" w:type="dxa"/>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2"/>
                <w:szCs w:val="22"/>
                <w:highlight w:val="none"/>
              </w:rPr>
              <w:t>柳江区成团镇莲花河清洁型小流域水土保持治理工程</w:t>
            </w:r>
          </w:p>
        </w:tc>
        <w:tc>
          <w:tcPr>
            <w:tcW w:w="1441" w:type="dxa"/>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color w:val="auto"/>
                <w:sz w:val="21"/>
                <w:szCs w:val="21"/>
                <w:highlight w:val="none"/>
              </w:rPr>
              <w:t>2025</w:t>
            </w:r>
          </w:p>
        </w:tc>
        <w:tc>
          <w:tcPr>
            <w:tcW w:w="1554" w:type="dxa"/>
            <w:shd w:val="clear" w:color="auto" w:fill="auto"/>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hint="eastAsia" w:cs="Times New Roman"/>
                <w:color w:val="auto"/>
                <w:sz w:val="21"/>
                <w:szCs w:val="21"/>
                <w:highlight w:val="none"/>
              </w:rPr>
              <w:t>成团镇</w:t>
            </w:r>
          </w:p>
        </w:tc>
        <w:tc>
          <w:tcPr>
            <w:tcW w:w="1473" w:type="dxa"/>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0479" w:type="dxa"/>
            <w:gridSpan w:val="4"/>
            <w:vAlign w:val="center"/>
          </w:tcPr>
          <w:p>
            <w:pPr>
              <w:widowControl/>
              <w:adjustRightInd/>
              <w:spacing w:line="240" w:lineRule="auto"/>
              <w:ind w:firstLine="0" w:firstLineChars="0"/>
              <w:jc w:val="center"/>
              <w:rPr>
                <w:rFonts w:eastAsia="宋体" w:cs="Times New Roman"/>
                <w:color w:val="auto"/>
                <w:kern w:val="0"/>
                <w:sz w:val="22"/>
                <w:szCs w:val="22"/>
                <w:highlight w:val="none"/>
              </w:rPr>
            </w:pPr>
            <w:r>
              <w:rPr>
                <w:rFonts w:cs="Times New Roman"/>
                <w:b/>
                <w:bCs/>
                <w:color w:val="auto"/>
                <w:sz w:val="21"/>
                <w:szCs w:val="21"/>
                <w:highlight w:val="none"/>
              </w:rPr>
              <w:t>合计</w:t>
            </w:r>
          </w:p>
        </w:tc>
        <w:tc>
          <w:tcPr>
            <w:tcW w:w="1473" w:type="dxa"/>
            <w:shd w:val="clear" w:color="auto" w:fill="auto"/>
            <w:vAlign w:val="center"/>
          </w:tcPr>
          <w:p>
            <w:pPr>
              <w:widowControl/>
              <w:adjustRightInd/>
              <w:spacing w:line="240" w:lineRule="auto"/>
              <w:ind w:firstLine="0" w:firstLineChars="0"/>
              <w:jc w:val="center"/>
              <w:rPr>
                <w:rFonts w:hint="default" w:eastAsia="宋体" w:cs="Times New Roman"/>
                <w:color w:val="auto"/>
                <w:kern w:val="0"/>
                <w:sz w:val="22"/>
                <w:szCs w:val="22"/>
                <w:highlight w:val="none"/>
                <w:lang w:val="en-US" w:eastAsia="zh-CN"/>
              </w:rPr>
            </w:pPr>
            <w:r>
              <w:rPr>
                <w:rFonts w:hint="eastAsia" w:eastAsia="宋体" w:cs="Times New Roman"/>
                <w:b/>
                <w:bCs/>
                <w:color w:val="auto"/>
                <w:sz w:val="21"/>
                <w:szCs w:val="21"/>
                <w:highlight w:val="none"/>
                <w:lang w:val="en-US" w:eastAsia="zh-CN"/>
              </w:rPr>
              <w:t>20</w:t>
            </w:r>
          </w:p>
        </w:tc>
      </w:tr>
    </w:tbl>
    <w:p>
      <w:pPr>
        <w:ind w:firstLine="0" w:firstLineChars="0"/>
        <w:rPr>
          <w:rFonts w:cs="Times New Roman"/>
          <w:color w:val="auto"/>
          <w:highlight w:val="none"/>
        </w:rPr>
      </w:pPr>
    </w:p>
    <w:p>
      <w:pPr>
        <w:rPr>
          <w:rFonts w:cs="Times New Roman"/>
          <w:color w:val="auto"/>
          <w:highlight w:val="none"/>
        </w:rPr>
      </w:pPr>
    </w:p>
    <w:p>
      <w:pPr>
        <w:pStyle w:val="12"/>
        <w:ind w:firstLine="560"/>
        <w:rPr>
          <w:color w:val="auto"/>
          <w:highlight w:val="none"/>
        </w:rPr>
      </w:pPr>
    </w:p>
    <w:p>
      <w:pPr>
        <w:widowControl/>
        <w:adjustRightInd/>
        <w:spacing w:line="240" w:lineRule="auto"/>
        <w:ind w:firstLine="0" w:firstLineChars="0"/>
        <w:jc w:val="left"/>
        <w:rPr>
          <w:rFonts w:cs="Times New Roman"/>
          <w:color w:val="auto"/>
          <w:highlight w:val="none"/>
        </w:rPr>
      </w:pPr>
    </w:p>
    <w:sectPr>
      <w:pgSz w:w="16838" w:h="11906" w:orient="landscape"/>
      <w:pgMar w:top="1797" w:right="1440" w:bottom="1797" w:left="1440" w:header="851" w:footer="992" w:gutter="0"/>
      <w:cols w:space="0" w:num="1"/>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txbxContent>
              </v:textbox>
            </v:shape>
          </w:pict>
        </mc:Fallback>
      </mc:AlternateContent>
    </w:r>
  </w:p>
  <w:p>
    <w:pPr>
      <w:pStyle w:val="2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9984806"/>
                            <w:docPartObj>
                              <w:docPartGallery w:val="autotext"/>
                            </w:docPartObj>
                          </w:sdtPr>
                          <w:sdtContent>
                            <w:p>
                              <w:pPr>
                                <w:pStyle w:val="21"/>
                                <w:ind w:firstLine="360"/>
                                <w:jc w:val="center"/>
                              </w:pPr>
                              <w:r>
                                <w:fldChar w:fldCharType="begin"/>
                              </w:r>
                              <w:r>
                                <w:instrText xml:space="preserve">PAGE   \* MERGEFORMAT</w:instrText>
                              </w:r>
                              <w:r>
                                <w:fldChar w:fldCharType="separate"/>
                              </w:r>
                              <w:r>
                                <w:rPr>
                                  <w:lang w:val="zh-CN"/>
                                </w:rPr>
                                <w:t>138</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509984806"/>
                      <w:docPartObj>
                        <w:docPartGallery w:val="autotext"/>
                      </w:docPartObj>
                    </w:sdtPr>
                    <w:sdtContent>
                      <w:p>
                        <w:pPr>
                          <w:pStyle w:val="21"/>
                          <w:ind w:firstLine="360"/>
                          <w:jc w:val="center"/>
                        </w:pPr>
                        <w:r>
                          <w:fldChar w:fldCharType="begin"/>
                        </w:r>
                        <w:r>
                          <w:instrText xml:space="preserve">PAGE   \* MERGEFORMAT</w:instrText>
                        </w:r>
                        <w:r>
                          <w:fldChar w:fldCharType="separate"/>
                        </w:r>
                        <w:r>
                          <w:rPr>
                            <w:lang w:val="zh-CN"/>
                          </w:rPr>
                          <w:t>138</w:t>
                        </w:r>
                        <w:r>
                          <w:rPr>
                            <w:lang w:val="zh-CN"/>
                          </w:rPr>
                          <w:fldChar w:fldCharType="end"/>
                        </w:r>
                      </w:p>
                    </w:sdtContent>
                  </w:sdt>
                  <w:p/>
                </w:txbxContent>
              </v:textbox>
            </v:shape>
          </w:pict>
        </mc:Fallback>
      </mc:AlternateContent>
    </w:r>
  </w:p>
  <w:p>
    <w:pPr>
      <w:pStyle w:val="21"/>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txbxContent>
              </v:textbox>
            </v:shape>
          </w:pict>
        </mc:Fallback>
      </mc:AlternateContent>
    </w:r>
  </w:p>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BAAEB"/>
    <w:multiLevelType w:val="singleLevel"/>
    <w:tmpl w:val="D26BAAEB"/>
    <w:lvl w:ilvl="0" w:tentative="0">
      <w:start w:val="1"/>
      <w:numFmt w:val="decimal"/>
      <w:suff w:val="nothing"/>
      <w:lvlText w:val="（%1）"/>
      <w:lvlJc w:val="left"/>
    </w:lvl>
  </w:abstractNum>
  <w:abstractNum w:abstractNumId="1">
    <w:nsid w:val="F9462A72"/>
    <w:multiLevelType w:val="singleLevel"/>
    <w:tmpl w:val="F9462A72"/>
    <w:lvl w:ilvl="0" w:tentative="0">
      <w:start w:val="1"/>
      <w:numFmt w:val="decimal"/>
      <w:suff w:val="nothing"/>
      <w:lvlText w:val="（%1）"/>
      <w:lvlJc w:val="left"/>
    </w:lvl>
  </w:abstractNum>
  <w:abstractNum w:abstractNumId="2">
    <w:nsid w:val="1766F68E"/>
    <w:multiLevelType w:val="multilevel"/>
    <w:tmpl w:val="1766F68E"/>
    <w:lvl w:ilvl="0" w:tentative="0">
      <w:start w:val="1"/>
      <w:numFmt w:val="decimal"/>
      <w:lvlText w:val="%1"/>
      <w:lvlJc w:val="left"/>
      <w:pPr>
        <w:ind w:left="432" w:hanging="43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ind w:left="576" w:hanging="576"/>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val="en-GB"/>
      </w:rPr>
    </w:lvl>
    <w:lvl w:ilvl="2" w:tentative="0">
      <w:start w:val="1"/>
      <w:numFmt w:val="decimal"/>
      <w:lvlText w:val="%1.%2.%3"/>
      <w:lvlJc w:val="left"/>
      <w:pPr>
        <w:ind w:left="862"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AAF6226"/>
    <w:multiLevelType w:val="multilevel"/>
    <w:tmpl w:val="1AAF6226"/>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60BBFB8"/>
    <w:multiLevelType w:val="singleLevel"/>
    <w:tmpl w:val="260BBFB8"/>
    <w:lvl w:ilvl="0" w:tentative="0">
      <w:start w:val="1"/>
      <w:numFmt w:val="decimal"/>
      <w:suff w:val="nothing"/>
      <w:lvlText w:val="（%1）"/>
      <w:lvlJc w:val="left"/>
    </w:lvl>
  </w:abstractNum>
  <w:abstractNum w:abstractNumId="5">
    <w:nsid w:val="2E742293"/>
    <w:multiLevelType w:val="singleLevel"/>
    <w:tmpl w:val="2E742293"/>
    <w:lvl w:ilvl="0" w:tentative="0">
      <w:start w:val="1"/>
      <w:numFmt w:val="decimal"/>
      <w:suff w:val="nothing"/>
      <w:lvlText w:val="（%1）"/>
      <w:lvlJc w:val="left"/>
    </w:lvl>
  </w:abstractNum>
  <w:abstractNum w:abstractNumId="6">
    <w:nsid w:val="48C6D629"/>
    <w:multiLevelType w:val="singleLevel"/>
    <w:tmpl w:val="48C6D629"/>
    <w:lvl w:ilvl="0" w:tentative="0">
      <w:start w:val="8"/>
      <w:numFmt w:val="decimal"/>
      <w:suff w:val="nothing"/>
      <w:lvlText w:val="（%1）"/>
      <w:lvlJc w:val="left"/>
    </w:lvl>
  </w:abstractNum>
  <w:abstractNum w:abstractNumId="7">
    <w:nsid w:val="5DB07A02"/>
    <w:multiLevelType w:val="multilevel"/>
    <w:tmpl w:val="5DB07A02"/>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6"/>
  </w:num>
  <w:num w:numId="4">
    <w:abstractNumId w:val="4"/>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wNjE0Yzk1ZmM1NjY4M2ZhZWY2YWE4NjlkYjNkZmUifQ=="/>
  </w:docVars>
  <w:rsids>
    <w:rsidRoot w:val="00224FCB"/>
    <w:rsid w:val="0000371D"/>
    <w:rsid w:val="000055BB"/>
    <w:rsid w:val="000248B6"/>
    <w:rsid w:val="00044371"/>
    <w:rsid w:val="00054598"/>
    <w:rsid w:val="000576F4"/>
    <w:rsid w:val="00072B9A"/>
    <w:rsid w:val="00085287"/>
    <w:rsid w:val="000900C8"/>
    <w:rsid w:val="00092B75"/>
    <w:rsid w:val="00096DC1"/>
    <w:rsid w:val="000A01C1"/>
    <w:rsid w:val="000A2E89"/>
    <w:rsid w:val="000B1005"/>
    <w:rsid w:val="000B4DF5"/>
    <w:rsid w:val="000C41BC"/>
    <w:rsid w:val="000C7928"/>
    <w:rsid w:val="000D5CC7"/>
    <w:rsid w:val="000F62C0"/>
    <w:rsid w:val="001100DD"/>
    <w:rsid w:val="001315A8"/>
    <w:rsid w:val="00131F3C"/>
    <w:rsid w:val="00133612"/>
    <w:rsid w:val="00136088"/>
    <w:rsid w:val="0014699E"/>
    <w:rsid w:val="00146E3D"/>
    <w:rsid w:val="00147C09"/>
    <w:rsid w:val="00147D6A"/>
    <w:rsid w:val="00161E45"/>
    <w:rsid w:val="00167D2F"/>
    <w:rsid w:val="001745E6"/>
    <w:rsid w:val="00174B1C"/>
    <w:rsid w:val="00174CA8"/>
    <w:rsid w:val="00177503"/>
    <w:rsid w:val="0018011B"/>
    <w:rsid w:val="00181BF3"/>
    <w:rsid w:val="00182296"/>
    <w:rsid w:val="0018471E"/>
    <w:rsid w:val="00192567"/>
    <w:rsid w:val="00193B9C"/>
    <w:rsid w:val="00195B39"/>
    <w:rsid w:val="001A4B48"/>
    <w:rsid w:val="001B6481"/>
    <w:rsid w:val="001C16FA"/>
    <w:rsid w:val="001C477C"/>
    <w:rsid w:val="001D50FA"/>
    <w:rsid w:val="001D603F"/>
    <w:rsid w:val="0020656D"/>
    <w:rsid w:val="00206F4C"/>
    <w:rsid w:val="00207E6D"/>
    <w:rsid w:val="00211394"/>
    <w:rsid w:val="00215FA7"/>
    <w:rsid w:val="00224FCB"/>
    <w:rsid w:val="00262249"/>
    <w:rsid w:val="00267E08"/>
    <w:rsid w:val="0027169B"/>
    <w:rsid w:val="002745A0"/>
    <w:rsid w:val="0029615D"/>
    <w:rsid w:val="002965E3"/>
    <w:rsid w:val="002B13DD"/>
    <w:rsid w:val="002C5193"/>
    <w:rsid w:val="002D2E82"/>
    <w:rsid w:val="002D32E8"/>
    <w:rsid w:val="002E7189"/>
    <w:rsid w:val="002F2D27"/>
    <w:rsid w:val="0030610A"/>
    <w:rsid w:val="00311E12"/>
    <w:rsid w:val="0031400A"/>
    <w:rsid w:val="0031581D"/>
    <w:rsid w:val="00316858"/>
    <w:rsid w:val="00320A4F"/>
    <w:rsid w:val="003240CF"/>
    <w:rsid w:val="00343F93"/>
    <w:rsid w:val="00347C37"/>
    <w:rsid w:val="0035414F"/>
    <w:rsid w:val="00354EA7"/>
    <w:rsid w:val="00355452"/>
    <w:rsid w:val="00361A6F"/>
    <w:rsid w:val="00374058"/>
    <w:rsid w:val="00392B09"/>
    <w:rsid w:val="00394237"/>
    <w:rsid w:val="0039634A"/>
    <w:rsid w:val="003A710A"/>
    <w:rsid w:val="003B772A"/>
    <w:rsid w:val="003B7B27"/>
    <w:rsid w:val="003C2E01"/>
    <w:rsid w:val="003C3952"/>
    <w:rsid w:val="003C7CF7"/>
    <w:rsid w:val="003D5464"/>
    <w:rsid w:val="004068AB"/>
    <w:rsid w:val="004138D0"/>
    <w:rsid w:val="00414167"/>
    <w:rsid w:val="0041540F"/>
    <w:rsid w:val="004275FF"/>
    <w:rsid w:val="00431711"/>
    <w:rsid w:val="0045545F"/>
    <w:rsid w:val="00463728"/>
    <w:rsid w:val="00466E1B"/>
    <w:rsid w:val="00486C6B"/>
    <w:rsid w:val="0049192A"/>
    <w:rsid w:val="004A0E96"/>
    <w:rsid w:val="004C1954"/>
    <w:rsid w:val="004C62B2"/>
    <w:rsid w:val="004C6CD2"/>
    <w:rsid w:val="004D15F3"/>
    <w:rsid w:val="004E230E"/>
    <w:rsid w:val="004F00EA"/>
    <w:rsid w:val="004F1F37"/>
    <w:rsid w:val="004F65FC"/>
    <w:rsid w:val="00500828"/>
    <w:rsid w:val="005148D4"/>
    <w:rsid w:val="00516E4C"/>
    <w:rsid w:val="005202D7"/>
    <w:rsid w:val="00545202"/>
    <w:rsid w:val="005525EA"/>
    <w:rsid w:val="00577718"/>
    <w:rsid w:val="00577763"/>
    <w:rsid w:val="005800C7"/>
    <w:rsid w:val="00586DE5"/>
    <w:rsid w:val="00590C99"/>
    <w:rsid w:val="00593060"/>
    <w:rsid w:val="005936E3"/>
    <w:rsid w:val="005A12F7"/>
    <w:rsid w:val="005A2483"/>
    <w:rsid w:val="005A3127"/>
    <w:rsid w:val="005B4645"/>
    <w:rsid w:val="005C18F3"/>
    <w:rsid w:val="005C2F5B"/>
    <w:rsid w:val="005C4488"/>
    <w:rsid w:val="005C4A02"/>
    <w:rsid w:val="005D16B8"/>
    <w:rsid w:val="005D771B"/>
    <w:rsid w:val="00621A6F"/>
    <w:rsid w:val="0063151D"/>
    <w:rsid w:val="006356B7"/>
    <w:rsid w:val="006472C3"/>
    <w:rsid w:val="006670B9"/>
    <w:rsid w:val="006753E0"/>
    <w:rsid w:val="006A6779"/>
    <w:rsid w:val="006A6F86"/>
    <w:rsid w:val="006B1183"/>
    <w:rsid w:val="006C3628"/>
    <w:rsid w:val="006D5940"/>
    <w:rsid w:val="006E316F"/>
    <w:rsid w:val="006E3E56"/>
    <w:rsid w:val="006E55B2"/>
    <w:rsid w:val="006E569A"/>
    <w:rsid w:val="006E6AB5"/>
    <w:rsid w:val="006F19F8"/>
    <w:rsid w:val="006F6D60"/>
    <w:rsid w:val="007106A3"/>
    <w:rsid w:val="007130BA"/>
    <w:rsid w:val="0072213A"/>
    <w:rsid w:val="007401A5"/>
    <w:rsid w:val="00754199"/>
    <w:rsid w:val="00761B4D"/>
    <w:rsid w:val="007620BE"/>
    <w:rsid w:val="00762240"/>
    <w:rsid w:val="00771B68"/>
    <w:rsid w:val="00795A4D"/>
    <w:rsid w:val="007A32CF"/>
    <w:rsid w:val="007C6733"/>
    <w:rsid w:val="007D25D2"/>
    <w:rsid w:val="007D27F0"/>
    <w:rsid w:val="007D7027"/>
    <w:rsid w:val="007E34F0"/>
    <w:rsid w:val="007E6578"/>
    <w:rsid w:val="00801FA3"/>
    <w:rsid w:val="008137A0"/>
    <w:rsid w:val="00826812"/>
    <w:rsid w:val="00864579"/>
    <w:rsid w:val="008843A1"/>
    <w:rsid w:val="00887E7A"/>
    <w:rsid w:val="00896DC4"/>
    <w:rsid w:val="0089764F"/>
    <w:rsid w:val="008A11B0"/>
    <w:rsid w:val="008A3C0A"/>
    <w:rsid w:val="008B6315"/>
    <w:rsid w:val="008B6B19"/>
    <w:rsid w:val="008C2086"/>
    <w:rsid w:val="008D2461"/>
    <w:rsid w:val="008D26C0"/>
    <w:rsid w:val="008E5C18"/>
    <w:rsid w:val="008F3EF2"/>
    <w:rsid w:val="008F6A37"/>
    <w:rsid w:val="008F748A"/>
    <w:rsid w:val="00911C0A"/>
    <w:rsid w:val="00911CB0"/>
    <w:rsid w:val="00920367"/>
    <w:rsid w:val="00940A77"/>
    <w:rsid w:val="00945CE6"/>
    <w:rsid w:val="0095782F"/>
    <w:rsid w:val="00972B15"/>
    <w:rsid w:val="00976D73"/>
    <w:rsid w:val="00985A96"/>
    <w:rsid w:val="009A750B"/>
    <w:rsid w:val="009A7AF2"/>
    <w:rsid w:val="009B5AF4"/>
    <w:rsid w:val="009C15B9"/>
    <w:rsid w:val="009C2F14"/>
    <w:rsid w:val="009E3867"/>
    <w:rsid w:val="009E579C"/>
    <w:rsid w:val="009F1F46"/>
    <w:rsid w:val="009F3F0B"/>
    <w:rsid w:val="009F644F"/>
    <w:rsid w:val="00A07477"/>
    <w:rsid w:val="00A11581"/>
    <w:rsid w:val="00A259BE"/>
    <w:rsid w:val="00A354C0"/>
    <w:rsid w:val="00A4195B"/>
    <w:rsid w:val="00A44870"/>
    <w:rsid w:val="00A44F0C"/>
    <w:rsid w:val="00A470EE"/>
    <w:rsid w:val="00A54172"/>
    <w:rsid w:val="00A70D9A"/>
    <w:rsid w:val="00A73304"/>
    <w:rsid w:val="00A8570C"/>
    <w:rsid w:val="00A872DF"/>
    <w:rsid w:val="00A8759D"/>
    <w:rsid w:val="00A91D26"/>
    <w:rsid w:val="00A93022"/>
    <w:rsid w:val="00A938C3"/>
    <w:rsid w:val="00AA4B59"/>
    <w:rsid w:val="00AB02DF"/>
    <w:rsid w:val="00AC73D0"/>
    <w:rsid w:val="00AD4E7A"/>
    <w:rsid w:val="00AD785E"/>
    <w:rsid w:val="00AE64FB"/>
    <w:rsid w:val="00B05D86"/>
    <w:rsid w:val="00B0796A"/>
    <w:rsid w:val="00B140C9"/>
    <w:rsid w:val="00B15D29"/>
    <w:rsid w:val="00B3305C"/>
    <w:rsid w:val="00B4786A"/>
    <w:rsid w:val="00B51999"/>
    <w:rsid w:val="00B578FF"/>
    <w:rsid w:val="00B64C3B"/>
    <w:rsid w:val="00B677DF"/>
    <w:rsid w:val="00B754C9"/>
    <w:rsid w:val="00B77380"/>
    <w:rsid w:val="00B82C5D"/>
    <w:rsid w:val="00BB785F"/>
    <w:rsid w:val="00BD38A0"/>
    <w:rsid w:val="00BE0FC6"/>
    <w:rsid w:val="00BF4599"/>
    <w:rsid w:val="00C07A1A"/>
    <w:rsid w:val="00C07BDF"/>
    <w:rsid w:val="00C119FF"/>
    <w:rsid w:val="00C31BF4"/>
    <w:rsid w:val="00C325E3"/>
    <w:rsid w:val="00C443DE"/>
    <w:rsid w:val="00C640BF"/>
    <w:rsid w:val="00C706AA"/>
    <w:rsid w:val="00C70C1A"/>
    <w:rsid w:val="00C72C96"/>
    <w:rsid w:val="00C760BA"/>
    <w:rsid w:val="00C840AA"/>
    <w:rsid w:val="00C84458"/>
    <w:rsid w:val="00C87F85"/>
    <w:rsid w:val="00C9733E"/>
    <w:rsid w:val="00CC7302"/>
    <w:rsid w:val="00CD1351"/>
    <w:rsid w:val="00CD2407"/>
    <w:rsid w:val="00CD616E"/>
    <w:rsid w:val="00CD6ED5"/>
    <w:rsid w:val="00CE05A2"/>
    <w:rsid w:val="00CE6A60"/>
    <w:rsid w:val="00CF165B"/>
    <w:rsid w:val="00CF26C6"/>
    <w:rsid w:val="00CF3928"/>
    <w:rsid w:val="00D30DE6"/>
    <w:rsid w:val="00D434A7"/>
    <w:rsid w:val="00D5435F"/>
    <w:rsid w:val="00D62A80"/>
    <w:rsid w:val="00D65E99"/>
    <w:rsid w:val="00D868C6"/>
    <w:rsid w:val="00D97B17"/>
    <w:rsid w:val="00DA337F"/>
    <w:rsid w:val="00DB06B9"/>
    <w:rsid w:val="00DB3ED6"/>
    <w:rsid w:val="00DB43F7"/>
    <w:rsid w:val="00DB5003"/>
    <w:rsid w:val="00DB6D08"/>
    <w:rsid w:val="00DC4CEC"/>
    <w:rsid w:val="00DC55BD"/>
    <w:rsid w:val="00DD3A27"/>
    <w:rsid w:val="00DD5D65"/>
    <w:rsid w:val="00DE136B"/>
    <w:rsid w:val="00DE19FF"/>
    <w:rsid w:val="00DE1AC0"/>
    <w:rsid w:val="00DF5497"/>
    <w:rsid w:val="00E0423C"/>
    <w:rsid w:val="00E06670"/>
    <w:rsid w:val="00E11BF9"/>
    <w:rsid w:val="00E124EB"/>
    <w:rsid w:val="00E134E4"/>
    <w:rsid w:val="00E26604"/>
    <w:rsid w:val="00E40CA7"/>
    <w:rsid w:val="00E51C27"/>
    <w:rsid w:val="00E53740"/>
    <w:rsid w:val="00E70267"/>
    <w:rsid w:val="00E708DF"/>
    <w:rsid w:val="00E869EC"/>
    <w:rsid w:val="00E908EF"/>
    <w:rsid w:val="00EA0900"/>
    <w:rsid w:val="00EA0ED9"/>
    <w:rsid w:val="00EA4A74"/>
    <w:rsid w:val="00EA5554"/>
    <w:rsid w:val="00EA7C90"/>
    <w:rsid w:val="00EB25EB"/>
    <w:rsid w:val="00EC3BF9"/>
    <w:rsid w:val="00ED2411"/>
    <w:rsid w:val="00ED3FF2"/>
    <w:rsid w:val="00EE26BA"/>
    <w:rsid w:val="00EE48B2"/>
    <w:rsid w:val="00EF48F6"/>
    <w:rsid w:val="00EF7574"/>
    <w:rsid w:val="00F012E2"/>
    <w:rsid w:val="00F0357D"/>
    <w:rsid w:val="00F12682"/>
    <w:rsid w:val="00F12B8C"/>
    <w:rsid w:val="00F12BC0"/>
    <w:rsid w:val="00F14D0A"/>
    <w:rsid w:val="00F1679F"/>
    <w:rsid w:val="00F17A57"/>
    <w:rsid w:val="00F236C6"/>
    <w:rsid w:val="00F31D2A"/>
    <w:rsid w:val="00F33BA9"/>
    <w:rsid w:val="00F43BD7"/>
    <w:rsid w:val="00F4629F"/>
    <w:rsid w:val="00F50CAD"/>
    <w:rsid w:val="00F52E41"/>
    <w:rsid w:val="00F554A7"/>
    <w:rsid w:val="00F5759C"/>
    <w:rsid w:val="00F62D08"/>
    <w:rsid w:val="00F67300"/>
    <w:rsid w:val="00F752EF"/>
    <w:rsid w:val="00F84045"/>
    <w:rsid w:val="00F92225"/>
    <w:rsid w:val="00F93FBA"/>
    <w:rsid w:val="00F971FB"/>
    <w:rsid w:val="00FB1E9A"/>
    <w:rsid w:val="00FB555E"/>
    <w:rsid w:val="00FB576B"/>
    <w:rsid w:val="00FD0D2C"/>
    <w:rsid w:val="00FF1AC7"/>
    <w:rsid w:val="00FF5903"/>
    <w:rsid w:val="00FF5B3B"/>
    <w:rsid w:val="01A7146D"/>
    <w:rsid w:val="01D46BE9"/>
    <w:rsid w:val="024A0BB7"/>
    <w:rsid w:val="029C58B6"/>
    <w:rsid w:val="02B209D8"/>
    <w:rsid w:val="030376E3"/>
    <w:rsid w:val="030B2A3C"/>
    <w:rsid w:val="031C2081"/>
    <w:rsid w:val="03354270"/>
    <w:rsid w:val="036118B7"/>
    <w:rsid w:val="0386419E"/>
    <w:rsid w:val="056D6190"/>
    <w:rsid w:val="05956642"/>
    <w:rsid w:val="05ED6EE5"/>
    <w:rsid w:val="06224324"/>
    <w:rsid w:val="093C394F"/>
    <w:rsid w:val="0A656ED5"/>
    <w:rsid w:val="0B3E6402"/>
    <w:rsid w:val="0BF65A15"/>
    <w:rsid w:val="0CBE2103"/>
    <w:rsid w:val="10E741A0"/>
    <w:rsid w:val="110C1E59"/>
    <w:rsid w:val="14C03686"/>
    <w:rsid w:val="15D13671"/>
    <w:rsid w:val="162776F9"/>
    <w:rsid w:val="16B729CE"/>
    <w:rsid w:val="16DE1BA1"/>
    <w:rsid w:val="183C4CBB"/>
    <w:rsid w:val="185365BF"/>
    <w:rsid w:val="18E66AF8"/>
    <w:rsid w:val="19A32719"/>
    <w:rsid w:val="19E31364"/>
    <w:rsid w:val="19F81C9F"/>
    <w:rsid w:val="1A9108CA"/>
    <w:rsid w:val="1AE6371B"/>
    <w:rsid w:val="1AF27192"/>
    <w:rsid w:val="1B123C98"/>
    <w:rsid w:val="1B74483B"/>
    <w:rsid w:val="1BE53E44"/>
    <w:rsid w:val="1C584DF0"/>
    <w:rsid w:val="1DD71A40"/>
    <w:rsid w:val="1E116D00"/>
    <w:rsid w:val="1E4449C4"/>
    <w:rsid w:val="204F1D62"/>
    <w:rsid w:val="20A04750"/>
    <w:rsid w:val="20B80D7E"/>
    <w:rsid w:val="21D30B38"/>
    <w:rsid w:val="22370983"/>
    <w:rsid w:val="22AA7723"/>
    <w:rsid w:val="22C406DF"/>
    <w:rsid w:val="235326D8"/>
    <w:rsid w:val="23B65585"/>
    <w:rsid w:val="245142FB"/>
    <w:rsid w:val="25495A04"/>
    <w:rsid w:val="25545725"/>
    <w:rsid w:val="25CB2DFC"/>
    <w:rsid w:val="25DB4735"/>
    <w:rsid w:val="26BB7131"/>
    <w:rsid w:val="26D27AA2"/>
    <w:rsid w:val="26DB6B4C"/>
    <w:rsid w:val="27141FE2"/>
    <w:rsid w:val="27B801ED"/>
    <w:rsid w:val="27E45486"/>
    <w:rsid w:val="28EF5C4A"/>
    <w:rsid w:val="2951272C"/>
    <w:rsid w:val="29695805"/>
    <w:rsid w:val="29CD2BCE"/>
    <w:rsid w:val="2A4E2317"/>
    <w:rsid w:val="2A5E015A"/>
    <w:rsid w:val="2AD76BDC"/>
    <w:rsid w:val="2AEA1089"/>
    <w:rsid w:val="2D2A56E9"/>
    <w:rsid w:val="2E20085E"/>
    <w:rsid w:val="2E9F316F"/>
    <w:rsid w:val="31791B6B"/>
    <w:rsid w:val="319A0963"/>
    <w:rsid w:val="31A804C7"/>
    <w:rsid w:val="32A31CA7"/>
    <w:rsid w:val="330A18BB"/>
    <w:rsid w:val="3312147C"/>
    <w:rsid w:val="333F5C66"/>
    <w:rsid w:val="33AB534A"/>
    <w:rsid w:val="341C4A20"/>
    <w:rsid w:val="347B4A7C"/>
    <w:rsid w:val="35525E54"/>
    <w:rsid w:val="35AF70D3"/>
    <w:rsid w:val="36661B2B"/>
    <w:rsid w:val="36842149"/>
    <w:rsid w:val="37164F30"/>
    <w:rsid w:val="378E3B6A"/>
    <w:rsid w:val="37AD2E24"/>
    <w:rsid w:val="37D85978"/>
    <w:rsid w:val="38907B06"/>
    <w:rsid w:val="38A345A1"/>
    <w:rsid w:val="38D356E1"/>
    <w:rsid w:val="39214903"/>
    <w:rsid w:val="39B51143"/>
    <w:rsid w:val="39D0586A"/>
    <w:rsid w:val="3A0A3805"/>
    <w:rsid w:val="3ACA72AB"/>
    <w:rsid w:val="3B6B0D0B"/>
    <w:rsid w:val="3B885978"/>
    <w:rsid w:val="3C3155FA"/>
    <w:rsid w:val="3CBD0BCC"/>
    <w:rsid w:val="3CD25455"/>
    <w:rsid w:val="3CE21CB3"/>
    <w:rsid w:val="3CF74EBC"/>
    <w:rsid w:val="3E641DA7"/>
    <w:rsid w:val="3FD20B2C"/>
    <w:rsid w:val="40743C2F"/>
    <w:rsid w:val="42186000"/>
    <w:rsid w:val="42A038DB"/>
    <w:rsid w:val="43A51B15"/>
    <w:rsid w:val="44F909D8"/>
    <w:rsid w:val="44FA7C3F"/>
    <w:rsid w:val="45603F46"/>
    <w:rsid w:val="459C04E5"/>
    <w:rsid w:val="45CC5137"/>
    <w:rsid w:val="45F93F89"/>
    <w:rsid w:val="4710713C"/>
    <w:rsid w:val="476F66C2"/>
    <w:rsid w:val="48376AB4"/>
    <w:rsid w:val="48EA6784"/>
    <w:rsid w:val="499046CE"/>
    <w:rsid w:val="49DD73A3"/>
    <w:rsid w:val="4A3165EC"/>
    <w:rsid w:val="4A9D2AB4"/>
    <w:rsid w:val="4B36720F"/>
    <w:rsid w:val="4B5A31E5"/>
    <w:rsid w:val="4B9366F7"/>
    <w:rsid w:val="4C062461"/>
    <w:rsid w:val="4C17726F"/>
    <w:rsid w:val="4CC35A26"/>
    <w:rsid w:val="4CC90623"/>
    <w:rsid w:val="4D31511B"/>
    <w:rsid w:val="4FA42C81"/>
    <w:rsid w:val="4FB90DDE"/>
    <w:rsid w:val="4FD86DCF"/>
    <w:rsid w:val="500E459E"/>
    <w:rsid w:val="50354221"/>
    <w:rsid w:val="50412BC6"/>
    <w:rsid w:val="515A17C0"/>
    <w:rsid w:val="52495D62"/>
    <w:rsid w:val="52CC42CB"/>
    <w:rsid w:val="53146370"/>
    <w:rsid w:val="532C00C1"/>
    <w:rsid w:val="55366B43"/>
    <w:rsid w:val="567435B9"/>
    <w:rsid w:val="57770C7B"/>
    <w:rsid w:val="57AB225B"/>
    <w:rsid w:val="582B4D91"/>
    <w:rsid w:val="58B55EFF"/>
    <w:rsid w:val="5958603C"/>
    <w:rsid w:val="59D703FA"/>
    <w:rsid w:val="5C477662"/>
    <w:rsid w:val="5E20359E"/>
    <w:rsid w:val="5F520AB8"/>
    <w:rsid w:val="5F707950"/>
    <w:rsid w:val="5FB54A36"/>
    <w:rsid w:val="60844B35"/>
    <w:rsid w:val="60E02E7E"/>
    <w:rsid w:val="60F6015E"/>
    <w:rsid w:val="61AF2E1D"/>
    <w:rsid w:val="623954AB"/>
    <w:rsid w:val="627D31E4"/>
    <w:rsid w:val="628232F6"/>
    <w:rsid w:val="63AC7EFE"/>
    <w:rsid w:val="63B95393"/>
    <w:rsid w:val="63DF02D4"/>
    <w:rsid w:val="6486074F"/>
    <w:rsid w:val="64E500C2"/>
    <w:rsid w:val="65075D34"/>
    <w:rsid w:val="657B5DDA"/>
    <w:rsid w:val="66B94E0C"/>
    <w:rsid w:val="67B62C2F"/>
    <w:rsid w:val="68430E0B"/>
    <w:rsid w:val="69342E70"/>
    <w:rsid w:val="69442AB5"/>
    <w:rsid w:val="69EB1780"/>
    <w:rsid w:val="6B0C76DF"/>
    <w:rsid w:val="6B234F4A"/>
    <w:rsid w:val="6B2C02A3"/>
    <w:rsid w:val="6B53412F"/>
    <w:rsid w:val="6E5A0C83"/>
    <w:rsid w:val="6E5A6A6D"/>
    <w:rsid w:val="6F0B6421"/>
    <w:rsid w:val="6F282B2F"/>
    <w:rsid w:val="6FEE0C6A"/>
    <w:rsid w:val="70096E04"/>
    <w:rsid w:val="70AD1AC5"/>
    <w:rsid w:val="70B612CA"/>
    <w:rsid w:val="70E138DD"/>
    <w:rsid w:val="71D84CE0"/>
    <w:rsid w:val="71EC42E8"/>
    <w:rsid w:val="721918B4"/>
    <w:rsid w:val="733E137A"/>
    <w:rsid w:val="7406783B"/>
    <w:rsid w:val="75063BBA"/>
    <w:rsid w:val="76127D2C"/>
    <w:rsid w:val="76A41635"/>
    <w:rsid w:val="77102DDA"/>
    <w:rsid w:val="7833180D"/>
    <w:rsid w:val="78A376CA"/>
    <w:rsid w:val="78E35D19"/>
    <w:rsid w:val="79106F61"/>
    <w:rsid w:val="791D747D"/>
    <w:rsid w:val="79BA66DB"/>
    <w:rsid w:val="7AB7131F"/>
    <w:rsid w:val="7AF86ECA"/>
    <w:rsid w:val="7B165A10"/>
    <w:rsid w:val="7BE9680A"/>
    <w:rsid w:val="7C8233E8"/>
    <w:rsid w:val="7DDC1A7B"/>
    <w:rsid w:val="7E4137D5"/>
    <w:rsid w:val="7F104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sdException w:qFormat="1" w:uiPriority="9" w:name="heading 6"/>
    <w:lsdException w:qFormat="1" w:uiPriority="9" w:name="heading 7"/>
    <w:lsdException w:qFormat="1"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560" w:firstLineChars="200"/>
      <w:jc w:val="both"/>
    </w:pPr>
    <w:rPr>
      <w:rFonts w:ascii="Times New Roman" w:hAnsi="Times New Roman" w:eastAsia="仿宋" w:cstheme="minorBidi"/>
      <w:kern w:val="2"/>
      <w:sz w:val="28"/>
      <w:szCs w:val="28"/>
      <w:lang w:val="en-US" w:eastAsia="zh-CN" w:bidi="ar-SA"/>
    </w:rPr>
  </w:style>
  <w:style w:type="paragraph" w:styleId="2">
    <w:name w:val="heading 1"/>
    <w:basedOn w:val="1"/>
    <w:next w:val="1"/>
    <w:link w:val="40"/>
    <w:qFormat/>
    <w:uiPriority w:val="99"/>
    <w:pPr>
      <w:keepNext/>
      <w:keepLines/>
      <w:pageBreakBefore/>
      <w:spacing w:before="340" w:after="340"/>
      <w:ind w:left="432" w:hanging="432" w:firstLineChars="0"/>
      <w:jc w:val="center"/>
      <w:outlineLvl w:val="0"/>
    </w:pPr>
    <w:rPr>
      <w:rFonts w:eastAsia="黑体" w:cs="Times New Roman"/>
      <w:b/>
      <w:bCs/>
      <w:kern w:val="44"/>
      <w:sz w:val="36"/>
      <w:szCs w:val="32"/>
      <w:lang w:val="zh-CN"/>
    </w:rPr>
  </w:style>
  <w:style w:type="paragraph" w:styleId="3">
    <w:name w:val="heading 2"/>
    <w:basedOn w:val="1"/>
    <w:next w:val="1"/>
    <w:link w:val="37"/>
    <w:qFormat/>
    <w:uiPriority w:val="99"/>
    <w:pPr>
      <w:keepNext/>
      <w:keepLines/>
      <w:snapToGrid w:val="0"/>
      <w:spacing w:beforeLines="50"/>
      <w:ind w:firstLine="560" w:firstLineChars="200"/>
      <w:jc w:val="left"/>
      <w:outlineLvl w:val="1"/>
    </w:pPr>
    <w:rPr>
      <w:rFonts w:eastAsia="黑体" w:cs="Times New Roman"/>
      <w:b/>
      <w:bCs/>
      <w:sz w:val="30"/>
      <w:szCs w:val="30"/>
      <w:lang w:val="zh-CN"/>
    </w:rPr>
  </w:style>
  <w:style w:type="paragraph" w:styleId="4">
    <w:name w:val="heading 3"/>
    <w:basedOn w:val="1"/>
    <w:next w:val="1"/>
    <w:link w:val="38"/>
    <w:qFormat/>
    <w:uiPriority w:val="99"/>
    <w:pPr>
      <w:keepNext/>
      <w:keepLines/>
      <w:snapToGrid w:val="0"/>
      <w:spacing w:beforeLines="50"/>
      <w:ind w:firstLine="560" w:firstLineChars="200"/>
      <w:jc w:val="left"/>
      <w:outlineLvl w:val="2"/>
    </w:pPr>
    <w:rPr>
      <w:rFonts w:eastAsia="黑体" w:cs="Times New Roman"/>
      <w:b/>
      <w:bCs/>
      <w:lang w:val="zh-CN"/>
    </w:rPr>
  </w:style>
  <w:style w:type="paragraph" w:styleId="5">
    <w:name w:val="heading 4"/>
    <w:basedOn w:val="1"/>
    <w:next w:val="1"/>
    <w:link w:val="39"/>
    <w:qFormat/>
    <w:uiPriority w:val="99"/>
    <w:pPr>
      <w:keepNext/>
      <w:keepLines/>
      <w:snapToGrid w:val="0"/>
      <w:spacing w:beforeLines="50"/>
      <w:ind w:firstLine="561" w:firstLineChars="200"/>
      <w:jc w:val="left"/>
      <w:outlineLvl w:val="3"/>
    </w:pPr>
    <w:rPr>
      <w:rFonts w:eastAsia="黑体" w:cs="Times New Roman"/>
      <w:b/>
      <w:bCs/>
      <w:szCs w:val="24"/>
      <w:lang w:val="zh-CN"/>
    </w:rPr>
  </w:style>
  <w:style w:type="paragraph" w:styleId="6">
    <w:name w:val="heading 5"/>
    <w:basedOn w:val="1"/>
    <w:next w:val="1"/>
    <w:link w:val="53"/>
    <w:unhideWhenUsed/>
    <w:qFormat/>
    <w:uiPriority w:val="9"/>
    <w:pPr>
      <w:keepNext/>
      <w:keepLines/>
      <w:snapToGrid w:val="0"/>
      <w:spacing w:beforeLines="50"/>
      <w:ind w:left="1120" w:leftChars="400" w:firstLine="560" w:firstLineChars="200"/>
      <w:outlineLvl w:val="4"/>
    </w:pPr>
    <w:rPr>
      <w:rFonts w:cs="Times New Roman"/>
      <w:b/>
      <w:bCs/>
      <w:lang w:val="zh-CN"/>
    </w:rPr>
  </w:style>
  <w:style w:type="paragraph" w:styleId="7">
    <w:name w:val="heading 6"/>
    <w:basedOn w:val="1"/>
    <w:next w:val="1"/>
    <w:link w:val="54"/>
    <w:semiHidden/>
    <w:unhideWhenUsed/>
    <w:qFormat/>
    <w:uiPriority w:val="9"/>
    <w:pPr>
      <w:keepNext/>
      <w:keepLines/>
      <w:numPr>
        <w:ilvl w:val="5"/>
        <w:numId w:val="1"/>
      </w:numPr>
      <w:spacing w:before="240" w:after="64" w:line="320" w:lineRule="auto"/>
      <w:ind w:firstLine="0" w:firstLineChars="0"/>
      <w:outlineLvl w:val="5"/>
    </w:pPr>
    <w:rPr>
      <w:rFonts w:ascii="Calibri Light" w:hAnsi="Calibri Light" w:eastAsia="宋体" w:cs="Times New Roman"/>
      <w:b/>
      <w:bCs/>
      <w:sz w:val="24"/>
      <w:szCs w:val="24"/>
      <w:lang w:val="zh-CN"/>
    </w:rPr>
  </w:style>
  <w:style w:type="paragraph" w:styleId="8">
    <w:name w:val="heading 7"/>
    <w:basedOn w:val="1"/>
    <w:next w:val="1"/>
    <w:link w:val="55"/>
    <w:semiHidden/>
    <w:unhideWhenUsed/>
    <w:qFormat/>
    <w:uiPriority w:val="9"/>
    <w:pPr>
      <w:keepNext/>
      <w:keepLines/>
      <w:numPr>
        <w:ilvl w:val="6"/>
        <w:numId w:val="1"/>
      </w:numPr>
      <w:spacing w:before="240" w:after="64" w:line="320" w:lineRule="auto"/>
      <w:ind w:left="0" w:firstLine="0" w:firstLineChars="0"/>
      <w:outlineLvl w:val="6"/>
    </w:pPr>
    <w:rPr>
      <w:rFonts w:eastAsia="仿宋_GB2312" w:cs="Times New Roman"/>
      <w:b/>
      <w:bCs/>
      <w:sz w:val="24"/>
      <w:szCs w:val="24"/>
      <w:lang w:val="zh-CN"/>
    </w:rPr>
  </w:style>
  <w:style w:type="paragraph" w:styleId="9">
    <w:name w:val="heading 8"/>
    <w:basedOn w:val="1"/>
    <w:next w:val="1"/>
    <w:link w:val="56"/>
    <w:unhideWhenUsed/>
    <w:qFormat/>
    <w:uiPriority w:val="0"/>
    <w:pPr>
      <w:keepNext/>
      <w:keepLines/>
      <w:numPr>
        <w:ilvl w:val="7"/>
        <w:numId w:val="1"/>
      </w:numPr>
      <w:spacing w:before="240" w:after="64" w:line="320" w:lineRule="auto"/>
      <w:ind w:firstLine="0" w:firstLineChars="0"/>
      <w:outlineLvl w:val="7"/>
    </w:pPr>
    <w:rPr>
      <w:rFonts w:ascii="Arial" w:hAnsi="Arial" w:eastAsia="黑体" w:cs="Times New Roman"/>
      <w:sz w:val="24"/>
      <w:szCs w:val="24"/>
    </w:rPr>
  </w:style>
  <w:style w:type="paragraph" w:styleId="10">
    <w:name w:val="heading 9"/>
    <w:basedOn w:val="1"/>
    <w:next w:val="1"/>
    <w:link w:val="57"/>
    <w:semiHidden/>
    <w:unhideWhenUsed/>
    <w:qFormat/>
    <w:uiPriority w:val="9"/>
    <w:pPr>
      <w:keepNext/>
      <w:keepLines/>
      <w:numPr>
        <w:ilvl w:val="8"/>
        <w:numId w:val="1"/>
      </w:numPr>
      <w:spacing w:before="240" w:after="64" w:line="320" w:lineRule="auto"/>
      <w:ind w:firstLine="0" w:firstLineChars="0"/>
      <w:outlineLvl w:val="8"/>
    </w:pPr>
    <w:rPr>
      <w:rFonts w:ascii="Calibri Light" w:hAnsi="Calibri Light" w:eastAsia="宋体" w:cs="Times New Roman"/>
      <w:szCs w:val="21"/>
      <w:lang w:val="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firstLine="0" w:firstLineChars="0"/>
    </w:pPr>
    <w:rPr>
      <w:rFonts w:asciiTheme="minorHAnsi" w:hAnsiTheme="minorHAnsi" w:eastAsiaTheme="minorEastAsia"/>
      <w:sz w:val="21"/>
      <w:szCs w:val="22"/>
    </w:rPr>
  </w:style>
  <w:style w:type="paragraph" w:styleId="12">
    <w:name w:val="Normal Indent"/>
    <w:basedOn w:val="1"/>
    <w:link w:val="41"/>
    <w:qFormat/>
    <w:uiPriority w:val="0"/>
    <w:pPr>
      <w:ind w:firstLine="200"/>
    </w:pPr>
    <w:rPr>
      <w:rFonts w:eastAsia="华文仿宋" w:cs="Times New Roman"/>
      <w:szCs w:val="24"/>
      <w:lang w:val="zh-CN"/>
    </w:rPr>
  </w:style>
  <w:style w:type="paragraph" w:styleId="13">
    <w:name w:val="Document Map"/>
    <w:basedOn w:val="1"/>
    <w:link w:val="46"/>
    <w:semiHidden/>
    <w:unhideWhenUsed/>
    <w:qFormat/>
    <w:uiPriority w:val="99"/>
    <w:rPr>
      <w:rFonts w:ascii="宋体" w:eastAsia="宋体"/>
      <w:sz w:val="18"/>
      <w:szCs w:val="18"/>
    </w:rPr>
  </w:style>
  <w:style w:type="paragraph" w:styleId="14">
    <w:name w:val="annotation text"/>
    <w:basedOn w:val="1"/>
    <w:link w:val="58"/>
    <w:unhideWhenUsed/>
    <w:qFormat/>
    <w:uiPriority w:val="99"/>
    <w:pPr>
      <w:adjustRightInd/>
      <w:spacing w:line="240" w:lineRule="auto"/>
      <w:ind w:firstLine="0" w:firstLineChars="0"/>
      <w:jc w:val="left"/>
    </w:pPr>
    <w:rPr>
      <w:rFonts w:asciiTheme="minorHAnsi" w:hAnsiTheme="minorHAnsi" w:eastAsiaTheme="minorEastAsia"/>
      <w:sz w:val="21"/>
      <w:szCs w:val="22"/>
    </w:rPr>
  </w:style>
  <w:style w:type="paragraph" w:styleId="15">
    <w:name w:val="Body Text"/>
    <w:basedOn w:val="1"/>
    <w:link w:val="90"/>
    <w:qFormat/>
    <w:uiPriority w:val="1"/>
    <w:pPr>
      <w:autoSpaceDE w:val="0"/>
      <w:autoSpaceDN w:val="0"/>
      <w:adjustRightInd/>
      <w:spacing w:line="240" w:lineRule="auto"/>
      <w:ind w:left="197" w:firstLine="0" w:firstLineChars="0"/>
      <w:jc w:val="left"/>
    </w:pPr>
    <w:rPr>
      <w:rFonts w:ascii="仿宋" w:hAnsi="仿宋" w:cs="仿宋"/>
      <w:kern w:val="0"/>
      <w:sz w:val="30"/>
      <w:szCs w:val="30"/>
      <w:lang w:eastAsia="en-US"/>
    </w:rPr>
  </w:style>
  <w:style w:type="paragraph" w:styleId="16">
    <w:name w:val="toc 5"/>
    <w:basedOn w:val="1"/>
    <w:next w:val="1"/>
    <w:unhideWhenUsed/>
    <w:qFormat/>
    <w:uiPriority w:val="39"/>
    <w:pPr>
      <w:adjustRightInd/>
      <w:spacing w:line="240" w:lineRule="auto"/>
      <w:ind w:left="1680" w:leftChars="800" w:firstLine="0" w:firstLineChars="0"/>
    </w:pPr>
    <w:rPr>
      <w:rFonts w:asciiTheme="minorHAnsi" w:hAnsiTheme="minorHAnsi" w:eastAsiaTheme="minorEastAsia"/>
      <w:sz w:val="21"/>
      <w:szCs w:val="22"/>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adjustRightInd/>
      <w:spacing w:line="240" w:lineRule="auto"/>
      <w:ind w:left="2940" w:leftChars="1400" w:firstLine="0" w:firstLineChars="0"/>
    </w:pPr>
    <w:rPr>
      <w:rFonts w:asciiTheme="minorHAnsi" w:hAnsiTheme="minorHAnsi" w:eastAsiaTheme="minorEastAsia"/>
      <w:sz w:val="21"/>
      <w:szCs w:val="22"/>
    </w:rPr>
  </w:style>
  <w:style w:type="paragraph" w:styleId="19">
    <w:name w:val="Date"/>
    <w:basedOn w:val="1"/>
    <w:next w:val="1"/>
    <w:link w:val="89"/>
    <w:semiHidden/>
    <w:unhideWhenUsed/>
    <w:qFormat/>
    <w:uiPriority w:val="99"/>
    <w:pPr>
      <w:ind w:left="100" w:leftChars="2500"/>
    </w:pPr>
  </w:style>
  <w:style w:type="paragraph" w:styleId="20">
    <w:name w:val="Balloon Text"/>
    <w:basedOn w:val="1"/>
    <w:link w:val="51"/>
    <w:semiHidden/>
    <w:unhideWhenUsed/>
    <w:qFormat/>
    <w:uiPriority w:val="99"/>
    <w:pPr>
      <w:spacing w:line="240" w:lineRule="auto"/>
    </w:pPr>
    <w:rPr>
      <w:sz w:val="18"/>
      <w:szCs w:val="18"/>
    </w:rPr>
  </w:style>
  <w:style w:type="paragraph" w:styleId="21">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adjustRightInd/>
      <w:spacing w:line="240" w:lineRule="auto"/>
      <w:ind w:left="1260" w:leftChars="600" w:firstLine="0" w:firstLineChars="0"/>
    </w:pPr>
    <w:rPr>
      <w:rFonts w:asciiTheme="minorHAnsi" w:hAnsiTheme="minorHAnsi" w:eastAsiaTheme="minorEastAsia"/>
      <w:sz w:val="21"/>
      <w:szCs w:val="22"/>
    </w:rPr>
  </w:style>
  <w:style w:type="paragraph" w:styleId="25">
    <w:name w:val="toc 6"/>
    <w:basedOn w:val="1"/>
    <w:next w:val="1"/>
    <w:unhideWhenUsed/>
    <w:qFormat/>
    <w:uiPriority w:val="39"/>
    <w:pPr>
      <w:adjustRightInd/>
      <w:spacing w:line="240" w:lineRule="auto"/>
      <w:ind w:left="2100" w:leftChars="1000" w:firstLine="0" w:firstLineChars="0"/>
    </w:pPr>
    <w:rPr>
      <w:rFonts w:asciiTheme="minorHAnsi" w:hAnsiTheme="minorHAnsi" w:eastAsiaTheme="minorEastAsia"/>
      <w:sz w:val="21"/>
      <w:szCs w:val="22"/>
    </w:rPr>
  </w:style>
  <w:style w:type="paragraph" w:styleId="26">
    <w:name w:val="toc 2"/>
    <w:basedOn w:val="1"/>
    <w:next w:val="1"/>
    <w:unhideWhenUsed/>
    <w:qFormat/>
    <w:uiPriority w:val="39"/>
    <w:pPr>
      <w:tabs>
        <w:tab w:val="right" w:leader="dot" w:pos="8302"/>
      </w:tabs>
      <w:ind w:left="560" w:leftChars="200" w:firstLine="480"/>
    </w:pPr>
  </w:style>
  <w:style w:type="paragraph" w:styleId="27">
    <w:name w:val="toc 9"/>
    <w:basedOn w:val="1"/>
    <w:next w:val="1"/>
    <w:unhideWhenUsed/>
    <w:qFormat/>
    <w:uiPriority w:val="39"/>
    <w:pPr>
      <w:adjustRightInd/>
      <w:spacing w:line="240" w:lineRule="auto"/>
      <w:ind w:left="3360" w:leftChars="1600" w:firstLine="0" w:firstLineChars="0"/>
    </w:pPr>
    <w:rPr>
      <w:rFonts w:asciiTheme="minorHAnsi" w:hAnsiTheme="minorHAnsi" w:eastAsiaTheme="minorEastAsia"/>
      <w:sz w:val="21"/>
      <w:szCs w:val="22"/>
    </w:rPr>
  </w:style>
  <w:style w:type="paragraph" w:styleId="28">
    <w:name w:val="Normal (Web)"/>
    <w:basedOn w:val="1"/>
    <w:semiHidden/>
    <w:unhideWhenUsed/>
    <w:qFormat/>
    <w:uiPriority w:val="99"/>
    <w:pPr>
      <w:spacing w:beforeAutospacing="1" w:afterAutospacing="1"/>
      <w:jc w:val="left"/>
    </w:pPr>
    <w:rPr>
      <w:rFonts w:cs="Times New Roman"/>
      <w:kern w:val="0"/>
      <w:sz w:val="24"/>
    </w:rPr>
  </w:style>
  <w:style w:type="paragraph" w:styleId="29">
    <w:name w:val="annotation subject"/>
    <w:basedOn w:val="14"/>
    <w:next w:val="14"/>
    <w:link w:val="61"/>
    <w:semiHidden/>
    <w:unhideWhenUsed/>
    <w:qFormat/>
    <w:uiPriority w:val="99"/>
    <w:pPr>
      <w:adjustRightInd w:val="0"/>
      <w:spacing w:line="360" w:lineRule="auto"/>
      <w:ind w:firstLine="560" w:firstLineChars="200"/>
    </w:pPr>
    <w:rPr>
      <w:rFonts w:ascii="Times New Roman" w:hAnsi="Times New Roman" w:eastAsia="仿宋"/>
      <w:b/>
      <w:bCs/>
      <w:sz w:val="28"/>
      <w:szCs w:val="28"/>
    </w:rPr>
  </w:style>
  <w:style w:type="table" w:styleId="31">
    <w:name w:val="Table Grid"/>
    <w:basedOn w:val="3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Strong"/>
    <w:basedOn w:val="32"/>
    <w:qFormat/>
    <w:uiPriority w:val="22"/>
    <w:rPr>
      <w:b/>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character" w:customStyle="1" w:styleId="36">
    <w:name w:val="标题 1 字符"/>
    <w:basedOn w:val="32"/>
    <w:qFormat/>
    <w:uiPriority w:val="9"/>
    <w:rPr>
      <w:rFonts w:ascii="Times New Roman" w:hAnsi="Times New Roman" w:eastAsia="仿宋"/>
      <w:b/>
      <w:bCs/>
      <w:kern w:val="44"/>
      <w:sz w:val="44"/>
      <w:szCs w:val="44"/>
    </w:rPr>
  </w:style>
  <w:style w:type="character" w:customStyle="1" w:styleId="37">
    <w:name w:val="标题 2 字符"/>
    <w:basedOn w:val="32"/>
    <w:link w:val="3"/>
    <w:qFormat/>
    <w:uiPriority w:val="99"/>
    <w:rPr>
      <w:rFonts w:ascii="Times New Roman" w:hAnsi="Times New Roman" w:eastAsia="黑体" w:cs="Times New Roman"/>
      <w:b/>
      <w:bCs/>
      <w:sz w:val="30"/>
      <w:szCs w:val="30"/>
      <w:lang w:val="zh-CN"/>
    </w:rPr>
  </w:style>
  <w:style w:type="character" w:customStyle="1" w:styleId="38">
    <w:name w:val="标题 3 字符"/>
    <w:basedOn w:val="32"/>
    <w:link w:val="4"/>
    <w:qFormat/>
    <w:uiPriority w:val="99"/>
    <w:rPr>
      <w:rFonts w:ascii="Times New Roman" w:hAnsi="Times New Roman" w:eastAsia="黑体" w:cs="Times New Roman"/>
      <w:b/>
      <w:bCs/>
      <w:sz w:val="28"/>
      <w:szCs w:val="28"/>
      <w:lang w:val="zh-CN"/>
    </w:rPr>
  </w:style>
  <w:style w:type="character" w:customStyle="1" w:styleId="39">
    <w:name w:val="标题 4 字符"/>
    <w:basedOn w:val="32"/>
    <w:link w:val="5"/>
    <w:qFormat/>
    <w:uiPriority w:val="99"/>
    <w:rPr>
      <w:rFonts w:ascii="Times New Roman" w:hAnsi="Times New Roman" w:eastAsia="黑体" w:cs="Times New Roman"/>
      <w:b/>
      <w:bCs/>
      <w:sz w:val="28"/>
      <w:szCs w:val="24"/>
      <w:lang w:val="zh-CN"/>
    </w:rPr>
  </w:style>
  <w:style w:type="character" w:customStyle="1" w:styleId="40">
    <w:name w:val="标题 1 字符1"/>
    <w:link w:val="2"/>
    <w:qFormat/>
    <w:uiPriority w:val="99"/>
    <w:rPr>
      <w:rFonts w:ascii="Times New Roman" w:hAnsi="Times New Roman" w:eastAsia="黑体" w:cs="Times New Roman"/>
      <w:b/>
      <w:bCs/>
      <w:kern w:val="44"/>
      <w:sz w:val="36"/>
      <w:szCs w:val="32"/>
      <w:lang w:val="zh-CN"/>
    </w:rPr>
  </w:style>
  <w:style w:type="character" w:customStyle="1" w:styleId="41">
    <w:name w:val="正文缩进 字符"/>
    <w:link w:val="12"/>
    <w:qFormat/>
    <w:locked/>
    <w:uiPriority w:val="0"/>
    <w:rPr>
      <w:rFonts w:ascii="Times New Roman" w:hAnsi="Times New Roman" w:eastAsia="华文仿宋" w:cs="Times New Roman"/>
      <w:sz w:val="28"/>
      <w:szCs w:val="24"/>
      <w:lang w:val="zh-CN"/>
    </w:rPr>
  </w:style>
  <w:style w:type="character" w:customStyle="1" w:styleId="42">
    <w:name w:val="页眉 字符"/>
    <w:basedOn w:val="32"/>
    <w:link w:val="22"/>
    <w:qFormat/>
    <w:uiPriority w:val="99"/>
    <w:rPr>
      <w:rFonts w:ascii="Times New Roman" w:hAnsi="Times New Roman" w:eastAsia="仿宋"/>
      <w:sz w:val="18"/>
      <w:szCs w:val="18"/>
    </w:rPr>
  </w:style>
  <w:style w:type="character" w:customStyle="1" w:styleId="43">
    <w:name w:val="页脚 字符"/>
    <w:basedOn w:val="32"/>
    <w:link w:val="21"/>
    <w:qFormat/>
    <w:uiPriority w:val="99"/>
    <w:rPr>
      <w:rFonts w:ascii="Times New Roman" w:hAnsi="Times New Roman" w:eastAsia="仿宋"/>
      <w:sz w:val="18"/>
      <w:szCs w:val="18"/>
    </w:rPr>
  </w:style>
  <w:style w:type="character" w:customStyle="1" w:styleId="44">
    <w:name w:val="Intense Emphasis"/>
    <w:basedOn w:val="32"/>
    <w:qFormat/>
    <w:uiPriority w:val="21"/>
    <w:rPr>
      <w:b/>
      <w:bCs/>
      <w:i/>
      <w:iCs/>
      <w:color w:val="4472C4" w:themeColor="accent1"/>
      <w14:textFill>
        <w14:solidFill>
          <w14:schemeClr w14:val="accent1"/>
        </w14:solidFill>
      </w14:textFill>
    </w:rPr>
  </w:style>
  <w:style w:type="paragraph" w:styleId="45">
    <w:name w:val="List Paragraph"/>
    <w:basedOn w:val="1"/>
    <w:qFormat/>
    <w:uiPriority w:val="34"/>
    <w:pPr>
      <w:ind w:firstLine="420"/>
    </w:pPr>
  </w:style>
  <w:style w:type="character" w:customStyle="1" w:styleId="46">
    <w:name w:val="文档结构图 字符"/>
    <w:basedOn w:val="32"/>
    <w:link w:val="13"/>
    <w:semiHidden/>
    <w:qFormat/>
    <w:uiPriority w:val="99"/>
    <w:rPr>
      <w:rFonts w:ascii="宋体" w:hAnsi="Times New Roman" w:eastAsia="宋体"/>
      <w:sz w:val="18"/>
      <w:szCs w:val="18"/>
    </w:rPr>
  </w:style>
  <w:style w:type="character" w:customStyle="1" w:styleId="47">
    <w:name w:val="标题 2 Char1"/>
    <w:basedOn w:val="32"/>
    <w:qFormat/>
    <w:uiPriority w:val="99"/>
    <w:rPr>
      <w:rFonts w:ascii="Times New Roman" w:hAnsi="Times New Roman" w:eastAsia="黑体" w:cs="Times New Roman"/>
      <w:b/>
      <w:bCs/>
      <w:sz w:val="30"/>
      <w:szCs w:val="30"/>
      <w:lang w:val="zh-CN"/>
    </w:rPr>
  </w:style>
  <w:style w:type="character" w:customStyle="1" w:styleId="48">
    <w:name w:val="标题 3 Char1"/>
    <w:basedOn w:val="32"/>
    <w:qFormat/>
    <w:uiPriority w:val="99"/>
    <w:rPr>
      <w:rFonts w:ascii="Times New Roman" w:hAnsi="Times New Roman" w:eastAsia="黑体" w:cs="Times New Roman"/>
      <w:b/>
      <w:bCs/>
      <w:sz w:val="28"/>
      <w:szCs w:val="28"/>
      <w:lang w:val="zh-CN"/>
    </w:rPr>
  </w:style>
  <w:style w:type="paragraph" w:customStyle="1" w:styleId="49">
    <w:name w:val="表名"/>
    <w:basedOn w:val="1"/>
    <w:link w:val="50"/>
    <w:qFormat/>
    <w:uiPriority w:val="0"/>
    <w:pPr>
      <w:snapToGrid w:val="0"/>
      <w:spacing w:beforeLines="50"/>
      <w:jc w:val="center"/>
    </w:pPr>
    <w:rPr>
      <w:rFonts w:cs="Times New Roman"/>
      <w:b/>
    </w:rPr>
  </w:style>
  <w:style w:type="character" w:customStyle="1" w:styleId="50">
    <w:name w:val="表名 Char"/>
    <w:link w:val="49"/>
    <w:qFormat/>
    <w:uiPriority w:val="0"/>
    <w:rPr>
      <w:rFonts w:ascii="Times New Roman" w:hAnsi="Times New Roman" w:eastAsia="仿宋" w:cs="Times New Roman"/>
      <w:b/>
      <w:sz w:val="28"/>
      <w:szCs w:val="28"/>
    </w:rPr>
  </w:style>
  <w:style w:type="character" w:customStyle="1" w:styleId="51">
    <w:name w:val="批注框文本 字符"/>
    <w:basedOn w:val="32"/>
    <w:link w:val="20"/>
    <w:semiHidden/>
    <w:qFormat/>
    <w:uiPriority w:val="99"/>
    <w:rPr>
      <w:rFonts w:ascii="Times New Roman" w:hAnsi="Times New Roman" w:eastAsia="仿宋"/>
      <w:sz w:val="18"/>
      <w:szCs w:val="18"/>
    </w:rPr>
  </w:style>
  <w:style w:type="character" w:customStyle="1" w:styleId="52">
    <w:name w:val="fontstyle01"/>
    <w:basedOn w:val="32"/>
    <w:qFormat/>
    <w:uiPriority w:val="0"/>
    <w:rPr>
      <w:rFonts w:ascii="仿宋_GB2312" w:hAnsi="仿宋_GB2312" w:eastAsia="仿宋_GB2312" w:cs="仿宋_GB2312"/>
      <w:color w:val="000000"/>
      <w:sz w:val="30"/>
      <w:szCs w:val="30"/>
    </w:rPr>
  </w:style>
  <w:style w:type="character" w:customStyle="1" w:styleId="53">
    <w:name w:val="标题 5 字符"/>
    <w:basedOn w:val="32"/>
    <w:link w:val="6"/>
    <w:qFormat/>
    <w:uiPriority w:val="9"/>
    <w:rPr>
      <w:rFonts w:ascii="Times New Roman" w:hAnsi="Times New Roman" w:eastAsia="仿宋" w:cs="Times New Roman"/>
      <w:b/>
      <w:bCs/>
      <w:sz w:val="28"/>
      <w:szCs w:val="28"/>
      <w:lang w:val="zh-CN"/>
    </w:rPr>
  </w:style>
  <w:style w:type="character" w:customStyle="1" w:styleId="54">
    <w:name w:val="标题 6 字符"/>
    <w:basedOn w:val="32"/>
    <w:link w:val="7"/>
    <w:semiHidden/>
    <w:qFormat/>
    <w:uiPriority w:val="9"/>
    <w:rPr>
      <w:rFonts w:ascii="Calibri Light" w:hAnsi="Calibri Light" w:eastAsia="宋体" w:cs="Times New Roman"/>
      <w:b/>
      <w:bCs/>
      <w:sz w:val="24"/>
      <w:szCs w:val="24"/>
      <w:lang w:val="zh-CN"/>
    </w:rPr>
  </w:style>
  <w:style w:type="character" w:customStyle="1" w:styleId="55">
    <w:name w:val="标题 7 字符"/>
    <w:basedOn w:val="32"/>
    <w:link w:val="8"/>
    <w:semiHidden/>
    <w:qFormat/>
    <w:uiPriority w:val="9"/>
    <w:rPr>
      <w:rFonts w:ascii="Times New Roman" w:hAnsi="Times New Roman" w:eastAsia="仿宋_GB2312" w:cs="Times New Roman"/>
      <w:b/>
      <w:bCs/>
      <w:sz w:val="24"/>
      <w:szCs w:val="24"/>
      <w:lang w:val="zh-CN"/>
    </w:rPr>
  </w:style>
  <w:style w:type="character" w:customStyle="1" w:styleId="56">
    <w:name w:val="标题 8 字符"/>
    <w:basedOn w:val="32"/>
    <w:link w:val="9"/>
    <w:qFormat/>
    <w:uiPriority w:val="0"/>
    <w:rPr>
      <w:rFonts w:ascii="Arial" w:hAnsi="Arial" w:eastAsia="黑体" w:cs="Times New Roman"/>
      <w:sz w:val="24"/>
      <w:szCs w:val="24"/>
    </w:rPr>
  </w:style>
  <w:style w:type="character" w:customStyle="1" w:styleId="57">
    <w:name w:val="标题 9 字符"/>
    <w:basedOn w:val="32"/>
    <w:link w:val="10"/>
    <w:semiHidden/>
    <w:qFormat/>
    <w:uiPriority w:val="9"/>
    <w:rPr>
      <w:rFonts w:ascii="Calibri Light" w:hAnsi="Calibri Light" w:eastAsia="宋体" w:cs="Times New Roman"/>
      <w:sz w:val="28"/>
      <w:szCs w:val="21"/>
      <w:lang w:val="zh-CN"/>
    </w:rPr>
  </w:style>
  <w:style w:type="character" w:customStyle="1" w:styleId="58">
    <w:name w:val="批注文字 字符"/>
    <w:basedOn w:val="32"/>
    <w:link w:val="14"/>
    <w:qFormat/>
    <w:uiPriority w:val="99"/>
  </w:style>
  <w:style w:type="paragraph" w:customStyle="1" w:styleId="59">
    <w:name w:val="TOC Heading"/>
    <w:basedOn w:val="2"/>
    <w:next w:val="1"/>
    <w:unhideWhenUsed/>
    <w:qFormat/>
    <w:uiPriority w:val="39"/>
    <w:pPr>
      <w:pageBreakBefore w:val="0"/>
      <w:widowControl/>
      <w:adjustRightInd/>
      <w:spacing w:before="240" w:after="0" w:line="259" w:lineRule="auto"/>
      <w:ind w:left="0" w:firstLine="0"/>
      <w:jc w:val="left"/>
      <w:outlineLvl w:val="9"/>
    </w:pPr>
    <w:rPr>
      <w:rFonts w:asciiTheme="majorHAnsi" w:hAnsiTheme="majorHAnsi" w:eastAsiaTheme="majorEastAsia" w:cstheme="majorBidi"/>
      <w:b w:val="0"/>
      <w:bCs w:val="0"/>
      <w:color w:val="2F5597" w:themeColor="accent1" w:themeShade="BF"/>
      <w:kern w:val="0"/>
      <w:sz w:val="32"/>
      <w:lang w:val="en-US"/>
    </w:rPr>
  </w:style>
  <w:style w:type="character" w:customStyle="1" w:styleId="60">
    <w:name w:val="未处理的提及1"/>
    <w:basedOn w:val="32"/>
    <w:semiHidden/>
    <w:unhideWhenUsed/>
    <w:qFormat/>
    <w:uiPriority w:val="99"/>
    <w:rPr>
      <w:color w:val="605E5C"/>
      <w:shd w:val="clear" w:color="auto" w:fill="E1DFDD"/>
    </w:rPr>
  </w:style>
  <w:style w:type="character" w:customStyle="1" w:styleId="61">
    <w:name w:val="批注主题 字符"/>
    <w:basedOn w:val="58"/>
    <w:link w:val="29"/>
    <w:semiHidden/>
    <w:qFormat/>
    <w:uiPriority w:val="99"/>
    <w:rPr>
      <w:rFonts w:ascii="Times New Roman" w:hAnsi="Times New Roman" w:eastAsia="仿宋"/>
      <w:b/>
      <w:bCs/>
      <w:sz w:val="28"/>
      <w:szCs w:val="28"/>
    </w:rPr>
  </w:style>
  <w:style w:type="character" w:customStyle="1" w:styleId="62">
    <w:name w:val="标题 1 Char"/>
    <w:qFormat/>
    <w:uiPriority w:val="99"/>
    <w:rPr>
      <w:rFonts w:eastAsia="黑体"/>
      <w:b/>
      <w:bCs/>
      <w:kern w:val="44"/>
      <w:sz w:val="32"/>
      <w:szCs w:val="32"/>
      <w:lang w:val="zh-CN"/>
    </w:rPr>
  </w:style>
  <w:style w:type="character" w:customStyle="1" w:styleId="63">
    <w:name w:val="标题 2 Char"/>
    <w:qFormat/>
    <w:uiPriority w:val="99"/>
    <w:rPr>
      <w:rFonts w:eastAsia="黑体"/>
      <w:b/>
      <w:bCs/>
      <w:kern w:val="2"/>
      <w:sz w:val="30"/>
      <w:szCs w:val="30"/>
      <w:lang w:val="zh-CN"/>
    </w:rPr>
  </w:style>
  <w:style w:type="character" w:customStyle="1" w:styleId="64">
    <w:name w:val="标题 3 Char"/>
    <w:qFormat/>
    <w:uiPriority w:val="99"/>
    <w:rPr>
      <w:rFonts w:eastAsia="黑体"/>
      <w:b/>
      <w:bCs/>
      <w:kern w:val="2"/>
      <w:sz w:val="24"/>
      <w:szCs w:val="28"/>
      <w:lang w:val="zh-CN"/>
    </w:rPr>
  </w:style>
  <w:style w:type="character" w:customStyle="1" w:styleId="65">
    <w:name w:val="正文缩进 Char"/>
    <w:qFormat/>
    <w:locked/>
    <w:uiPriority w:val="0"/>
    <w:rPr>
      <w:rFonts w:eastAsia="华文仿宋"/>
      <w:kern w:val="2"/>
      <w:sz w:val="28"/>
      <w:szCs w:val="24"/>
      <w:lang w:eastAsia="zh-CN"/>
    </w:rPr>
  </w:style>
  <w:style w:type="character" w:customStyle="1" w:styleId="66">
    <w:name w:val="标题 3 字符1"/>
    <w:semiHidden/>
    <w:qFormat/>
    <w:locked/>
    <w:uiPriority w:val="99"/>
    <w:rPr>
      <w:rFonts w:ascii="Times New Roman" w:hAnsi="Times New Roman" w:eastAsia="黑体" w:cs="Times New Roman"/>
      <w:b/>
      <w:bCs/>
      <w:sz w:val="24"/>
      <w:szCs w:val="28"/>
      <w:lang w:val="zh-CN"/>
    </w:rPr>
  </w:style>
  <w:style w:type="character" w:customStyle="1" w:styleId="67">
    <w:name w:val="标题 4 字符1"/>
    <w:semiHidden/>
    <w:qFormat/>
    <w:locked/>
    <w:uiPriority w:val="99"/>
    <w:rPr>
      <w:rFonts w:ascii="Times New Roman" w:hAnsi="Times New Roman" w:eastAsia="黑体" w:cs="Times New Roman"/>
      <w:b/>
      <w:bCs/>
      <w:sz w:val="24"/>
      <w:szCs w:val="24"/>
      <w:lang w:val="zh-CN"/>
    </w:rPr>
  </w:style>
  <w:style w:type="character" w:customStyle="1" w:styleId="68">
    <w:name w:val="标题 5 Char"/>
    <w:semiHidden/>
    <w:qFormat/>
    <w:uiPriority w:val="9"/>
    <w:rPr>
      <w:rFonts w:eastAsia="仿宋_GB2312"/>
      <w:b/>
      <w:bCs/>
      <w:kern w:val="2"/>
      <w:sz w:val="28"/>
      <w:szCs w:val="28"/>
      <w:lang w:val="zh-CN"/>
    </w:rPr>
  </w:style>
  <w:style w:type="character" w:customStyle="1" w:styleId="69">
    <w:name w:val="标题 2 字符1"/>
    <w:semiHidden/>
    <w:qFormat/>
    <w:locked/>
    <w:uiPriority w:val="99"/>
    <w:rPr>
      <w:rFonts w:ascii="Times New Roman" w:hAnsi="Times New Roman" w:eastAsia="黑体" w:cs="Times New Roman"/>
      <w:b/>
      <w:bCs/>
      <w:sz w:val="30"/>
      <w:szCs w:val="30"/>
      <w:lang w:val="zh-CN"/>
    </w:rPr>
  </w:style>
  <w:style w:type="paragraph" w:customStyle="1" w:styleId="70">
    <w:name w:val="TOC 标题1"/>
    <w:basedOn w:val="2"/>
    <w:next w:val="1"/>
    <w:unhideWhenUsed/>
    <w:qFormat/>
    <w:uiPriority w:val="39"/>
    <w:pPr>
      <w:pageBreakBefore w:val="0"/>
      <w:widowControl/>
      <w:spacing w:before="240" w:after="0" w:line="259" w:lineRule="auto"/>
      <w:ind w:left="0" w:firstLine="0"/>
      <w:jc w:val="left"/>
      <w:outlineLvl w:val="9"/>
    </w:pPr>
    <w:rPr>
      <w:rFonts w:asciiTheme="majorHAnsi" w:hAnsiTheme="majorHAnsi" w:eastAsiaTheme="majorEastAsia" w:cstheme="majorBidi"/>
      <w:b w:val="0"/>
      <w:bCs w:val="0"/>
      <w:color w:val="2F5597" w:themeColor="accent1" w:themeShade="BF"/>
      <w:kern w:val="0"/>
      <w:lang w:val="en-US"/>
    </w:rPr>
  </w:style>
  <w:style w:type="table" w:customStyle="1" w:styleId="71">
    <w:name w:val="TableGri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paragraph" w:customStyle="1" w:styleId="72">
    <w:name w:val="Default"/>
    <w:unhideWhenUsed/>
    <w:qFormat/>
    <w:uiPriority w:val="0"/>
    <w:pPr>
      <w:widowControl w:val="0"/>
      <w:autoSpaceDE w:val="0"/>
      <w:autoSpaceDN w:val="0"/>
      <w:adjustRightInd w:val="0"/>
    </w:pPr>
    <w:rPr>
      <w:rFonts w:hint="eastAsia" w:ascii="宋体" w:hAnsi="宋体" w:eastAsia="宋体" w:cs="Times New Roman"/>
      <w:color w:val="000000"/>
      <w:kern w:val="0"/>
      <w:sz w:val="24"/>
      <w:szCs w:val="20"/>
      <w:lang w:val="en-US" w:eastAsia="zh-CN" w:bidi="ar-SA"/>
    </w:rPr>
  </w:style>
  <w:style w:type="character" w:customStyle="1" w:styleId="73">
    <w:name w:val="Body text_"/>
    <w:basedOn w:val="32"/>
    <w:link w:val="74"/>
    <w:qFormat/>
    <w:uiPriority w:val="0"/>
    <w:rPr>
      <w:rFonts w:ascii="宋体" w:hAnsi="宋体" w:cs="宋体"/>
      <w:spacing w:val="16"/>
      <w:szCs w:val="21"/>
      <w:shd w:val="clear" w:color="auto" w:fill="FFFFFF"/>
    </w:rPr>
  </w:style>
  <w:style w:type="paragraph" w:customStyle="1" w:styleId="74">
    <w:name w:val="正文文本4"/>
    <w:basedOn w:val="1"/>
    <w:link w:val="73"/>
    <w:qFormat/>
    <w:uiPriority w:val="0"/>
    <w:pPr>
      <w:shd w:val="clear" w:color="auto" w:fill="FFFFFF"/>
      <w:adjustRightInd/>
      <w:spacing w:line="0" w:lineRule="atLeast"/>
      <w:ind w:firstLine="0" w:firstLineChars="0"/>
      <w:jc w:val="left"/>
    </w:pPr>
    <w:rPr>
      <w:rFonts w:ascii="宋体" w:hAnsi="宋体" w:cs="宋体" w:eastAsiaTheme="minorEastAsia"/>
      <w:spacing w:val="16"/>
      <w:sz w:val="21"/>
      <w:szCs w:val="21"/>
    </w:rPr>
  </w:style>
  <w:style w:type="character" w:customStyle="1" w:styleId="75">
    <w:name w:val="正文文本1"/>
    <w:basedOn w:val="73"/>
    <w:qFormat/>
    <w:uiPriority w:val="0"/>
    <w:rPr>
      <w:rFonts w:ascii="宋体" w:hAnsi="宋体" w:cs="宋体"/>
      <w:color w:val="000000"/>
      <w:spacing w:val="10"/>
      <w:w w:val="100"/>
      <w:position w:val="0"/>
      <w:sz w:val="22"/>
      <w:szCs w:val="22"/>
      <w:shd w:val="clear" w:color="auto" w:fill="FFFFFF"/>
      <w:lang w:val="zh-TW"/>
    </w:rPr>
  </w:style>
  <w:style w:type="character" w:customStyle="1" w:styleId="76">
    <w:name w:val="Header or footer_"/>
    <w:basedOn w:val="32"/>
    <w:qFormat/>
    <w:uiPriority w:val="0"/>
    <w:rPr>
      <w:rFonts w:ascii="宋体" w:hAnsi="宋体" w:eastAsia="宋体" w:cs="宋体"/>
      <w:spacing w:val="10"/>
      <w:sz w:val="20"/>
      <w:szCs w:val="20"/>
      <w:u w:val="none"/>
    </w:rPr>
  </w:style>
  <w:style w:type="character" w:customStyle="1" w:styleId="77">
    <w:name w:val="Heading #3_"/>
    <w:basedOn w:val="32"/>
    <w:qFormat/>
    <w:uiPriority w:val="0"/>
    <w:rPr>
      <w:rFonts w:ascii="宋体" w:hAnsi="宋体" w:eastAsia="宋体" w:cs="宋体"/>
      <w:sz w:val="27"/>
      <w:szCs w:val="27"/>
      <w:u w:val="none"/>
    </w:rPr>
  </w:style>
  <w:style w:type="character" w:customStyle="1" w:styleId="78">
    <w:name w:val="Heading #3"/>
    <w:basedOn w:val="77"/>
    <w:qFormat/>
    <w:uiPriority w:val="0"/>
    <w:rPr>
      <w:rFonts w:ascii="宋体" w:hAnsi="宋体" w:eastAsia="宋体" w:cs="宋体"/>
      <w:color w:val="000000"/>
      <w:spacing w:val="0"/>
      <w:w w:val="100"/>
      <w:position w:val="0"/>
      <w:sz w:val="27"/>
      <w:szCs w:val="27"/>
      <w:u w:val="none"/>
      <w:lang w:val="zh-TW"/>
    </w:rPr>
  </w:style>
  <w:style w:type="character" w:customStyle="1" w:styleId="79">
    <w:name w:val="Heading #3 + MS Gothic"/>
    <w:basedOn w:val="77"/>
    <w:qFormat/>
    <w:uiPriority w:val="0"/>
    <w:rPr>
      <w:rFonts w:ascii="MS Gothic" w:hAnsi="MS Gothic" w:eastAsia="MS Gothic" w:cs="MS Gothic"/>
      <w:color w:val="000000"/>
      <w:spacing w:val="0"/>
      <w:w w:val="100"/>
      <w:position w:val="0"/>
      <w:sz w:val="22"/>
      <w:szCs w:val="22"/>
      <w:u w:val="none"/>
      <w:lang w:val="en-US"/>
    </w:rPr>
  </w:style>
  <w:style w:type="character" w:customStyle="1" w:styleId="80">
    <w:name w:val="Body text + MS Gothic"/>
    <w:basedOn w:val="73"/>
    <w:qFormat/>
    <w:uiPriority w:val="0"/>
    <w:rPr>
      <w:rFonts w:ascii="MS Gothic" w:hAnsi="MS Gothic" w:eastAsia="MS Gothic" w:cs="MS Gothic"/>
      <w:color w:val="000000"/>
      <w:spacing w:val="0"/>
      <w:w w:val="100"/>
      <w:position w:val="0"/>
      <w:sz w:val="18"/>
      <w:szCs w:val="18"/>
      <w:shd w:val="clear" w:color="auto" w:fill="FFFFFF"/>
      <w:lang w:val="en-US"/>
    </w:rPr>
  </w:style>
  <w:style w:type="character" w:customStyle="1" w:styleId="81">
    <w:name w:val="Header or footer"/>
    <w:basedOn w:val="76"/>
    <w:qFormat/>
    <w:uiPriority w:val="0"/>
    <w:rPr>
      <w:rFonts w:ascii="宋体" w:hAnsi="宋体" w:eastAsia="宋体" w:cs="宋体"/>
      <w:color w:val="000000"/>
      <w:spacing w:val="10"/>
      <w:w w:val="100"/>
      <w:position w:val="0"/>
      <w:sz w:val="20"/>
      <w:szCs w:val="20"/>
      <w:u w:val="none"/>
      <w:lang w:val="zh-TW"/>
    </w:rPr>
  </w:style>
  <w:style w:type="character" w:customStyle="1" w:styleId="82">
    <w:name w:val="Header or footer (3)"/>
    <w:basedOn w:val="32"/>
    <w:qFormat/>
    <w:uiPriority w:val="0"/>
    <w:rPr>
      <w:rFonts w:ascii="宋体" w:hAnsi="宋体" w:eastAsia="宋体" w:cs="宋体"/>
      <w:sz w:val="19"/>
      <w:szCs w:val="19"/>
      <w:u w:val="none"/>
    </w:rPr>
  </w:style>
  <w:style w:type="character" w:customStyle="1" w:styleId="83">
    <w:name w:val="Heading #3 + Times New Roman"/>
    <w:basedOn w:val="77"/>
    <w:qFormat/>
    <w:uiPriority w:val="0"/>
    <w:rPr>
      <w:rFonts w:ascii="Times New Roman" w:hAnsi="Times New Roman" w:eastAsia="Times New Roman" w:cs="Times New Roman"/>
      <w:color w:val="000000"/>
      <w:spacing w:val="0"/>
      <w:w w:val="100"/>
      <w:position w:val="0"/>
      <w:sz w:val="27"/>
      <w:szCs w:val="27"/>
      <w:u w:val="none"/>
      <w:lang w:val="en-US"/>
    </w:rPr>
  </w:style>
  <w:style w:type="character" w:customStyle="1" w:styleId="84">
    <w:name w:val="Body text + Spacing 0 pt"/>
    <w:basedOn w:val="73"/>
    <w:qFormat/>
    <w:uiPriority w:val="0"/>
    <w:rPr>
      <w:rFonts w:ascii="宋体" w:hAnsi="宋体" w:eastAsia="宋体" w:cs="宋体"/>
      <w:color w:val="000000"/>
      <w:spacing w:val="-10"/>
      <w:w w:val="100"/>
      <w:position w:val="0"/>
      <w:sz w:val="22"/>
      <w:szCs w:val="22"/>
      <w:u w:val="none"/>
      <w:shd w:val="clear" w:color="auto" w:fill="FFFFFF"/>
      <w:lang w:val="zh-TW"/>
    </w:rPr>
  </w:style>
  <w:style w:type="paragraph" w:customStyle="1" w:styleId="85">
    <w:name w:val="p0"/>
    <w:basedOn w:val="1"/>
    <w:qFormat/>
    <w:uiPriority w:val="0"/>
    <w:pPr>
      <w:widowControl/>
      <w:adjustRightInd/>
      <w:spacing w:line="240" w:lineRule="auto"/>
      <w:ind w:firstLine="0" w:firstLineChars="0"/>
    </w:pPr>
    <w:rPr>
      <w:rFonts w:eastAsia="宋体" w:cs="Times New Roman"/>
      <w:kern w:val="0"/>
      <w:sz w:val="21"/>
      <w:szCs w:val="21"/>
    </w:rPr>
  </w:style>
  <w:style w:type="paragraph" w:customStyle="1" w:styleId="86">
    <w:name w:val="Char"/>
    <w:basedOn w:val="1"/>
    <w:qFormat/>
    <w:uiPriority w:val="0"/>
    <w:pPr>
      <w:adjustRightInd/>
      <w:spacing w:line="240" w:lineRule="auto"/>
      <w:ind w:firstLine="0" w:firstLineChars="0"/>
    </w:pPr>
    <w:rPr>
      <w:rFonts w:eastAsia="宋体" w:cs="Times New Roman"/>
      <w:sz w:val="21"/>
      <w:szCs w:val="24"/>
    </w:rPr>
  </w:style>
  <w:style w:type="character" w:customStyle="1" w:styleId="87">
    <w:name w:val="Body text + 10 pt"/>
    <w:basedOn w:val="73"/>
    <w:qFormat/>
    <w:uiPriority w:val="0"/>
    <w:rPr>
      <w:rFonts w:ascii="黑体" w:hAnsi="黑体" w:eastAsia="黑体" w:cs="黑体"/>
      <w:color w:val="000000"/>
      <w:spacing w:val="20"/>
      <w:w w:val="100"/>
      <w:position w:val="0"/>
      <w:sz w:val="20"/>
      <w:szCs w:val="20"/>
      <w:u w:val="none"/>
      <w:shd w:val="clear" w:color="auto" w:fill="FFFFFF"/>
      <w:lang w:val="zh-TW"/>
    </w:rPr>
  </w:style>
  <w:style w:type="paragraph" w:styleId="88">
    <w:name w:val="No Spacing"/>
    <w:qFormat/>
    <w:uiPriority w:val="1"/>
    <w:pPr>
      <w:widowControl w:val="0"/>
      <w:adjustRightInd w:val="0"/>
      <w:ind w:firstLine="560" w:firstLineChars="200"/>
      <w:jc w:val="both"/>
    </w:pPr>
    <w:rPr>
      <w:rFonts w:ascii="Times New Roman" w:hAnsi="Times New Roman" w:eastAsia="仿宋" w:cstheme="minorBidi"/>
      <w:kern w:val="2"/>
      <w:sz w:val="28"/>
      <w:szCs w:val="28"/>
      <w:lang w:val="en-US" w:eastAsia="zh-CN" w:bidi="ar-SA"/>
    </w:rPr>
  </w:style>
  <w:style w:type="character" w:customStyle="1" w:styleId="89">
    <w:name w:val="日期 字符"/>
    <w:basedOn w:val="32"/>
    <w:link w:val="19"/>
    <w:semiHidden/>
    <w:qFormat/>
    <w:uiPriority w:val="99"/>
    <w:rPr>
      <w:rFonts w:ascii="Times New Roman" w:hAnsi="Times New Roman" w:eastAsia="仿宋"/>
      <w:sz w:val="28"/>
      <w:szCs w:val="28"/>
    </w:rPr>
  </w:style>
  <w:style w:type="character" w:customStyle="1" w:styleId="90">
    <w:name w:val="正文文本 字符"/>
    <w:basedOn w:val="32"/>
    <w:link w:val="15"/>
    <w:qFormat/>
    <w:uiPriority w:val="1"/>
    <w:rPr>
      <w:rFonts w:ascii="仿宋" w:hAnsi="仿宋" w:eastAsia="仿宋" w:cs="仿宋"/>
      <w:kern w:val="0"/>
      <w:sz w:val="30"/>
      <w:szCs w:val="30"/>
      <w:lang w:eastAsia="en-US"/>
    </w:rPr>
  </w:style>
  <w:style w:type="character" w:customStyle="1" w:styleId="91">
    <w:name w:val="Unresolved Mention"/>
    <w:basedOn w:val="32"/>
    <w:semiHidden/>
    <w:unhideWhenUsed/>
    <w:qFormat/>
    <w:uiPriority w:val="99"/>
    <w:rPr>
      <w:color w:val="605E5C"/>
      <w:shd w:val="clear" w:color="auto" w:fill="E1DFDD"/>
    </w:rPr>
  </w:style>
  <w:style w:type="character" w:customStyle="1" w:styleId="92">
    <w:name w:val="未处理的提及2"/>
    <w:basedOn w:val="32"/>
    <w:semiHidden/>
    <w:unhideWhenUsed/>
    <w:qFormat/>
    <w:uiPriority w:val="99"/>
    <w:rPr>
      <w:color w:val="605E5C"/>
      <w:shd w:val="clear" w:color="auto" w:fill="E1DFDD"/>
    </w:rPr>
  </w:style>
  <w:style w:type="paragraph" w:customStyle="1" w:styleId="93">
    <w:name w:val="Revision"/>
    <w:hidden/>
    <w:semiHidden/>
    <w:qFormat/>
    <w:uiPriority w:val="99"/>
    <w:rPr>
      <w:rFonts w:ascii="Times New Roman" w:hAnsi="Times New Roman" w:eastAsia="仿宋"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chart" Target="charts/chart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5060;&#25215;&#25935;\&#26611;&#22478;&#21439;&#27700;&#20445;&#35268;&#21010;\&#26611;&#22478;&#21439;&#22303;&#22756;&#20405;&#34432;&#24378;&#24230;&#20998;&#324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0"/>
          <c:dPt>
            <c:idx val="0"/>
            <c:bubble3D val="0"/>
            <c:spPr>
              <a:solidFill>
                <a:schemeClr val="accent2">
                  <a:tint val="54000"/>
                </a:schemeClr>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tint val="77000"/>
                </a:schemeClr>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2">
                  <a:shade val="76000"/>
                </a:schemeClr>
              </a:solidFill>
              <a:ln w="25400">
                <a:solidFill>
                  <a:schemeClr val="lt1"/>
                </a:solidFill>
              </a:ln>
              <a:effectLst/>
              <a:scene3d>
                <a:camera prst="orthographicFront"/>
                <a:lightRig rig="threePt" dir="t"/>
              </a:scene3d>
              <a:sp3d contourW="25400">
                <a:contourClr>
                  <a:schemeClr val="lt1"/>
                </a:contourClr>
              </a:sp3d>
            </c:spPr>
          </c:dPt>
          <c:dPt>
            <c:idx val="4"/>
            <c:bubble3D val="0"/>
            <c:spPr>
              <a:solidFill>
                <a:schemeClr val="accent2">
                  <a:shade val="53000"/>
                </a:schemeClr>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186111111111111"/>
                  <c:y val="-0.161466535433071"/>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sz="1000"/>
                      <a:t>轻度侵蚀</a:t>
                    </a:r>
                    <a:endParaRPr lang="zh-CN" altLang="en-US" sz="1000"/>
                  </a:p>
                  <a:p>
                    <a:pPr>
                      <a:defRPr lang="zh-CN" sz="1000" b="0" i="0" u="none" strike="noStrike" kern="1200" baseline="0">
                        <a:solidFill>
                          <a:schemeClr val="tx1">
                            <a:lumMod val="75000"/>
                            <a:lumOff val="25000"/>
                          </a:schemeClr>
                        </a:solidFill>
                        <a:latin typeface="+mn-lt"/>
                        <a:ea typeface="+mn-ea"/>
                        <a:cs typeface="+mn-cs"/>
                      </a:defRPr>
                    </a:pPr>
                    <a:r>
                      <a:rPr lang="en-US" altLang="zh-CN" sz="1000"/>
                      <a:t>54.94%</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中度侵蚀</a:t>
                    </a:r>
                    <a:endParaRPr lang="zh-CN" altLang="en-US"/>
                  </a:p>
                  <a:p>
                    <a:pPr>
                      <a:defRPr lang="zh-CN" sz="1000" b="0" i="0" u="none" strike="noStrike" kern="1200" baseline="0">
                        <a:solidFill>
                          <a:schemeClr val="tx1">
                            <a:lumMod val="75000"/>
                            <a:lumOff val="25000"/>
                          </a:schemeClr>
                        </a:solidFill>
                        <a:latin typeface="+mn-lt"/>
                        <a:ea typeface="+mn-ea"/>
                        <a:cs typeface="+mn-cs"/>
                      </a:defRPr>
                    </a:pPr>
                    <a:r>
                      <a:rPr lang="en-US" altLang="zh-CN"/>
                      <a:t>19.39%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00656975655041587"/>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强烈侵蚀</a:t>
                    </a:r>
                    <a:endParaRPr lang="zh-CN" altLang="en-US"/>
                  </a:p>
                  <a:p>
                    <a:pPr>
                      <a:defRPr lang="zh-CN" sz="1000" b="0" i="0" u="none" strike="noStrike" kern="1200" baseline="0">
                        <a:solidFill>
                          <a:schemeClr val="tx1">
                            <a:lumMod val="75000"/>
                            <a:lumOff val="25000"/>
                          </a:schemeClr>
                        </a:solidFill>
                        <a:latin typeface="+mn-lt"/>
                        <a:ea typeface="+mn-ea"/>
                        <a:cs typeface="+mn-cs"/>
                      </a:defRPr>
                    </a:pPr>
                    <a:r>
                      <a:rPr lang="en-US" altLang="zh-CN"/>
                      <a:t>7.90%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极强烈侵蚀</a:t>
                    </a:r>
                    <a:endParaRPr lang="zh-CN" altLang="en-US"/>
                  </a:p>
                  <a:p>
                    <a:pPr>
                      <a:defRPr lang="zh-CN" sz="1000" b="0" i="0" u="none" strike="noStrike" kern="1200" baseline="0">
                        <a:solidFill>
                          <a:schemeClr val="tx1">
                            <a:lumMod val="75000"/>
                            <a:lumOff val="25000"/>
                          </a:schemeClr>
                        </a:solidFill>
                        <a:latin typeface="+mn-lt"/>
                        <a:ea typeface="+mn-ea"/>
                        <a:cs typeface="+mn-cs"/>
                      </a:defRPr>
                    </a:pPr>
                    <a:r>
                      <a:rPr lang="en-US" altLang="zh-CN"/>
                      <a:t>8.80%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0.0648996655372325"/>
                  <c:y val="-0.0192230354186953"/>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zh-CN" altLang="en-US"/>
                      <a:t>剧烈侵蚀</a:t>
                    </a:r>
                    <a:endParaRPr lang="zh-CN" altLang="en-US"/>
                  </a:p>
                  <a:p>
                    <a:pPr>
                      <a:defRPr lang="zh-CN" sz="1000" b="0" i="0" u="none" strike="noStrike" kern="1200" baseline="0">
                        <a:solidFill>
                          <a:schemeClr val="tx1">
                            <a:lumMod val="75000"/>
                            <a:lumOff val="25000"/>
                          </a:schemeClr>
                        </a:solidFill>
                        <a:latin typeface="+mn-lt"/>
                        <a:ea typeface="+mn-ea"/>
                        <a:cs typeface="+mn-cs"/>
                      </a:defRPr>
                    </a:pPr>
                    <a:r>
                      <a:rPr lang="en-US" altLang="zh-CN"/>
                      <a:t>8.98%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侵蚀面积!$AF$8:$AJ$8</c:f>
              <c:strCache>
                <c:ptCount val="5"/>
                <c:pt idx="0">
                  <c:v>轻度侵蚀</c:v>
                </c:pt>
                <c:pt idx="1">
                  <c:v>中度侵蚀</c:v>
                </c:pt>
                <c:pt idx="2">
                  <c:v>强烈侵蚀</c:v>
                </c:pt>
                <c:pt idx="3">
                  <c:v>极强烈侵蚀</c:v>
                </c:pt>
                <c:pt idx="4">
                  <c:v>剧烈侵蚀</c:v>
                </c:pt>
              </c:strCache>
            </c:strRef>
          </c:cat>
          <c:val>
            <c:numRef>
              <c:f>侵蚀面积!$AF$9:$AJ$9</c:f>
              <c:numCache>
                <c:formatCode>0.00%</c:formatCode>
                <c:ptCount val="5"/>
                <c:pt idx="0">
                  <c:v>0.5494</c:v>
                </c:pt>
                <c:pt idx="1">
                  <c:v>0.1939</c:v>
                </c:pt>
                <c:pt idx="2">
                  <c:v>0.0790000000000001</c:v>
                </c:pt>
                <c:pt idx="3">
                  <c:v>0.0880000000000001</c:v>
                </c:pt>
                <c:pt idx="4">
                  <c:v>0.0898</c:v>
                </c:pt>
              </c:numCache>
            </c:numRef>
          </c:val>
        </c:ser>
        <c:dLbls>
          <c:showLegendKey val="0"/>
          <c:showVal val="1"/>
          <c:showCatName val="0"/>
          <c:showSerName val="0"/>
          <c:showPercent val="0"/>
          <c:showBubbleSize val="0"/>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C4BCC-BFB0-4961-99DE-740DF1F66B22}">
  <ds:schemaRefs/>
</ds:datastoreItem>
</file>

<file path=docProps/app.xml><?xml version="1.0" encoding="utf-8"?>
<Properties xmlns="http://schemas.openxmlformats.org/officeDocument/2006/extended-properties" xmlns:vt="http://schemas.openxmlformats.org/officeDocument/2006/docPropsVTypes">
  <Template>Normal</Template>
  <Pages>150</Pages>
  <Words>67508</Words>
  <Characters>77349</Characters>
  <Lines>593</Lines>
  <Paragraphs>167</Paragraphs>
  <TotalTime>128</TotalTime>
  <ScaleCrop>false</ScaleCrop>
  <LinksUpToDate>false</LinksUpToDate>
  <CharactersWithSpaces>78915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2022-11-22T01:40:00Z</dcterms:created>
  <dc:creator>sbs</dc:creator>
  <cp:lastModifiedBy>区信息中心</cp:lastModifiedBy>
  <cp:lastPrinted>2023-01-16T01:18:00Z</cp:lastPrinted>
  <dcterms:modified xsi:type="dcterms:W3CDTF">2023-12-05T08:59:14Z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3F46FDF9550E4D11AA8B12CFA44CC809_13</vt:lpwstr>
  </property>
</Properties>
</file>